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2D" w:rsidRPr="005327BA" w:rsidRDefault="003B102D" w:rsidP="005327BA">
      <w:pPr>
        <w:pStyle w:val="datumtevilka"/>
        <w:rPr>
          <w:rFonts w:cs="Arial"/>
        </w:rPr>
      </w:pPr>
    </w:p>
    <w:p w:rsidR="003636EA" w:rsidRPr="005327BA" w:rsidRDefault="003636EA" w:rsidP="005327BA">
      <w:pPr>
        <w:pStyle w:val="datumtevilka"/>
        <w:rPr>
          <w:rFonts w:cs="Arial"/>
        </w:rPr>
      </w:pPr>
      <w:r w:rsidRPr="005327BA">
        <w:rPr>
          <w:rFonts w:cs="Arial"/>
        </w:rPr>
        <w:t xml:space="preserve">Številka: </w:t>
      </w:r>
      <w:r w:rsidRPr="005327BA">
        <w:rPr>
          <w:rFonts w:cs="Arial"/>
        </w:rPr>
        <w:tab/>
      </w:r>
      <w:r w:rsidR="005327BA">
        <w:rPr>
          <w:rFonts w:cs="Arial"/>
          <w:color w:val="000000"/>
        </w:rPr>
        <w:t>35000-15/2024/4</w:t>
      </w:r>
    </w:p>
    <w:p w:rsidR="003636EA" w:rsidRPr="005327BA" w:rsidRDefault="003636EA" w:rsidP="005327BA">
      <w:pPr>
        <w:pStyle w:val="datumtevilka"/>
        <w:rPr>
          <w:rFonts w:cs="Arial"/>
        </w:rPr>
      </w:pPr>
      <w:r w:rsidRPr="005327BA">
        <w:rPr>
          <w:rFonts w:cs="Arial"/>
        </w:rPr>
        <w:t xml:space="preserve">Datum: </w:t>
      </w:r>
      <w:r w:rsidRPr="005327BA">
        <w:rPr>
          <w:rFonts w:cs="Arial"/>
        </w:rPr>
        <w:tab/>
      </w:r>
      <w:r w:rsidR="005327BA">
        <w:rPr>
          <w:rFonts w:cs="Arial"/>
          <w:color w:val="000000"/>
        </w:rPr>
        <w:t>28</w:t>
      </w:r>
      <w:r w:rsidR="00924096" w:rsidRPr="005327BA">
        <w:rPr>
          <w:rFonts w:cs="Arial"/>
          <w:color w:val="000000"/>
        </w:rPr>
        <w:t xml:space="preserve">. </w:t>
      </w:r>
      <w:r w:rsidR="005327BA">
        <w:rPr>
          <w:rFonts w:cs="Arial"/>
          <w:color w:val="000000"/>
        </w:rPr>
        <w:t>1</w:t>
      </w:r>
      <w:r w:rsidR="00924096" w:rsidRPr="005327BA">
        <w:rPr>
          <w:rFonts w:cs="Arial"/>
          <w:color w:val="000000"/>
        </w:rPr>
        <w:t>1. 2024</w:t>
      </w:r>
      <w:r w:rsidRPr="005327BA">
        <w:rPr>
          <w:rFonts w:cs="Arial"/>
        </w:rPr>
        <w:t xml:space="preserve"> </w:t>
      </w:r>
    </w:p>
    <w:p w:rsidR="003636EA" w:rsidRPr="005327BA" w:rsidRDefault="003636EA" w:rsidP="005327BA">
      <w:pPr>
        <w:rPr>
          <w:rFonts w:cs="Arial"/>
          <w:szCs w:val="20"/>
        </w:rPr>
      </w:pPr>
    </w:p>
    <w:p w:rsidR="003636EA" w:rsidRPr="005327BA" w:rsidRDefault="003636EA" w:rsidP="005327BA">
      <w:pPr>
        <w:autoSpaceDE w:val="0"/>
        <w:autoSpaceDN w:val="0"/>
        <w:adjustRightInd w:val="0"/>
        <w:rPr>
          <w:rFonts w:cs="Arial"/>
          <w:color w:val="000000"/>
          <w:szCs w:val="20"/>
        </w:rPr>
      </w:pPr>
    </w:p>
    <w:p w:rsidR="005327BA" w:rsidRPr="005327BA" w:rsidRDefault="005327BA" w:rsidP="005327BA">
      <w:pPr>
        <w:tabs>
          <w:tab w:val="center" w:pos="4320"/>
          <w:tab w:val="right" w:pos="8640"/>
        </w:tabs>
        <w:jc w:val="both"/>
        <w:rPr>
          <w:rFonts w:cs="Arial"/>
          <w:szCs w:val="20"/>
        </w:rPr>
      </w:pPr>
      <w:r w:rsidRPr="005327BA">
        <w:rPr>
          <w:rFonts w:cs="Arial"/>
          <w:szCs w:val="20"/>
        </w:rPr>
        <w:t>Na podlagi prvega odstavka 93. člena Zakona o urejanj</w:t>
      </w:r>
      <w:r w:rsidR="003D697F">
        <w:rPr>
          <w:rFonts w:cs="Arial"/>
          <w:szCs w:val="20"/>
        </w:rPr>
        <w:t xml:space="preserve">u prostora (Uradni list RS, št. </w:t>
      </w:r>
      <w:hyperlink r:id="rId7" w:tgtFrame="_blank" w:tooltip="Zakon o urejanju prostora (ZUreP-3)" w:history="1">
        <w:r w:rsidRPr="005327BA">
          <w:rPr>
            <w:rFonts w:cs="Arial"/>
            <w:szCs w:val="20"/>
          </w:rPr>
          <w:t>199/21</w:t>
        </w:r>
      </w:hyperlink>
      <w:r w:rsidR="003D697F">
        <w:rPr>
          <w:rFonts w:cs="Arial"/>
          <w:szCs w:val="20"/>
        </w:rPr>
        <w:t xml:space="preserve">, </w:t>
      </w:r>
      <w:hyperlink r:id="rId8" w:tgtFrame="_blank" w:tooltip="Zakon o spremembah in dopolnitvah Zakona o državni upravi" w:history="1">
        <w:r w:rsidRPr="005327BA">
          <w:rPr>
            <w:rFonts w:cs="Arial"/>
            <w:szCs w:val="20"/>
          </w:rPr>
          <w:t>18/23</w:t>
        </w:r>
      </w:hyperlink>
      <w:r w:rsidR="003D697F">
        <w:rPr>
          <w:rFonts w:cs="Arial"/>
          <w:szCs w:val="20"/>
        </w:rPr>
        <w:t xml:space="preserve"> </w:t>
      </w:r>
      <w:r w:rsidRPr="005327BA">
        <w:rPr>
          <w:rFonts w:cs="Arial"/>
          <w:szCs w:val="20"/>
        </w:rPr>
        <w:t>– ZDU-1O</w:t>
      </w:r>
      <w:r w:rsidR="008009A0">
        <w:rPr>
          <w:rFonts w:cs="Arial"/>
          <w:szCs w:val="20"/>
        </w:rPr>
        <w:t xml:space="preserve">, </w:t>
      </w:r>
      <w:hyperlink r:id="rId9" w:tgtFrame="_blank" w:tooltip="Zakon o uvajanju naprav za proizvodnjo električne energije iz obnovljivih virov energije" w:history="1">
        <w:r w:rsidR="008009A0" w:rsidRPr="005327BA">
          <w:rPr>
            <w:rFonts w:cs="Arial"/>
            <w:color w:val="000000"/>
            <w:szCs w:val="20"/>
          </w:rPr>
          <w:t>78/23</w:t>
        </w:r>
      </w:hyperlink>
      <w:r w:rsidR="003D697F">
        <w:rPr>
          <w:rFonts w:cs="Arial"/>
          <w:color w:val="000000"/>
          <w:szCs w:val="20"/>
        </w:rPr>
        <w:t xml:space="preserve"> – ZUNPEOVE, </w:t>
      </w:r>
      <w:hyperlink r:id="rId10" w:tgtFrame="_blank" w:tooltip="Zakon o interventnih ukrepih za odpravo posledic poplav in zemeljskih plazov iz avgusta 2023" w:history="1">
        <w:r w:rsidR="008009A0" w:rsidRPr="005327BA">
          <w:rPr>
            <w:rFonts w:cs="Arial"/>
            <w:color w:val="000000"/>
            <w:szCs w:val="20"/>
          </w:rPr>
          <w:t>95/23</w:t>
        </w:r>
      </w:hyperlink>
      <w:r w:rsidR="003D697F">
        <w:rPr>
          <w:rFonts w:cs="Arial"/>
          <w:color w:val="000000"/>
          <w:szCs w:val="20"/>
        </w:rPr>
        <w:t xml:space="preserve"> </w:t>
      </w:r>
      <w:r w:rsidR="008009A0">
        <w:rPr>
          <w:rFonts w:cs="Arial"/>
          <w:color w:val="000000"/>
          <w:szCs w:val="20"/>
        </w:rPr>
        <w:t>– ZIUOPZP</w:t>
      </w:r>
      <w:r w:rsidRPr="005327BA">
        <w:rPr>
          <w:rFonts w:cs="Arial"/>
          <w:szCs w:val="20"/>
        </w:rPr>
        <w:t xml:space="preserve"> in </w:t>
      </w:r>
      <w:hyperlink r:id="rId11" w:tgtFrame="_blank" w:tooltip="Zakon o spremembah in dopolnitvi Zakona o urejanju prostora (ZUreP-3A)" w:history="1">
        <w:r w:rsidRPr="005327BA">
          <w:rPr>
            <w:rFonts w:cs="Arial"/>
            <w:szCs w:val="20"/>
          </w:rPr>
          <w:t>23/24</w:t>
        </w:r>
      </w:hyperlink>
      <w:r w:rsidRPr="005327BA">
        <w:rPr>
          <w:rFonts w:cs="Arial"/>
          <w:szCs w:val="20"/>
        </w:rPr>
        <w:t>) je</w:t>
      </w:r>
      <w:r>
        <w:rPr>
          <w:rFonts w:cs="Arial"/>
          <w:szCs w:val="20"/>
        </w:rPr>
        <w:t xml:space="preserve"> Vlada Republike Slovenije na 130. redni seji dne 28. 11. 2024 pod točko </w:t>
      </w:r>
      <w:r w:rsidR="003D697F">
        <w:rPr>
          <w:rFonts w:cs="Arial"/>
          <w:szCs w:val="20"/>
        </w:rPr>
        <w:t>1.6</w:t>
      </w:r>
      <w:r w:rsidRPr="005327BA">
        <w:rPr>
          <w:rFonts w:cs="Arial"/>
          <w:szCs w:val="20"/>
        </w:rPr>
        <w:t xml:space="preserve"> sprejela </w:t>
      </w:r>
    </w:p>
    <w:p w:rsidR="005327BA" w:rsidRPr="005327BA" w:rsidRDefault="005327BA" w:rsidP="005327BA">
      <w:pPr>
        <w:tabs>
          <w:tab w:val="center" w:pos="4320"/>
          <w:tab w:val="right" w:pos="8640"/>
        </w:tabs>
        <w:jc w:val="both"/>
        <w:rPr>
          <w:rFonts w:cs="Arial"/>
          <w:szCs w:val="20"/>
        </w:rPr>
      </w:pPr>
    </w:p>
    <w:p w:rsidR="005327BA" w:rsidRPr="005327BA" w:rsidRDefault="005327BA" w:rsidP="005327BA">
      <w:pPr>
        <w:tabs>
          <w:tab w:val="center" w:pos="4320"/>
          <w:tab w:val="right" w:pos="8640"/>
        </w:tabs>
        <w:jc w:val="both"/>
        <w:rPr>
          <w:rFonts w:cs="Arial"/>
          <w:szCs w:val="20"/>
        </w:rPr>
      </w:pPr>
    </w:p>
    <w:p w:rsidR="005327BA" w:rsidRPr="005327BA" w:rsidRDefault="005327BA" w:rsidP="005327BA">
      <w:pPr>
        <w:tabs>
          <w:tab w:val="center" w:pos="4320"/>
          <w:tab w:val="center" w:pos="4536"/>
          <w:tab w:val="right" w:pos="8640"/>
          <w:tab w:val="right" w:pos="9072"/>
        </w:tabs>
        <w:jc w:val="center"/>
        <w:rPr>
          <w:rFonts w:cs="Arial"/>
          <w:b/>
          <w:caps/>
          <w:szCs w:val="20"/>
        </w:rPr>
      </w:pPr>
      <w:r w:rsidRPr="005327BA">
        <w:rPr>
          <w:rFonts w:cs="Arial"/>
          <w:b/>
          <w:caps/>
          <w:szCs w:val="20"/>
        </w:rPr>
        <w:t xml:space="preserve">S k l e p </w:t>
      </w:r>
    </w:p>
    <w:p w:rsidR="005327BA" w:rsidRPr="005327BA" w:rsidRDefault="005327BA" w:rsidP="005327BA">
      <w:pPr>
        <w:tabs>
          <w:tab w:val="center" w:pos="4320"/>
          <w:tab w:val="center" w:pos="4536"/>
          <w:tab w:val="right" w:pos="8640"/>
          <w:tab w:val="right" w:pos="9072"/>
        </w:tabs>
        <w:jc w:val="center"/>
        <w:rPr>
          <w:rFonts w:cs="Arial"/>
          <w:b/>
          <w:szCs w:val="20"/>
        </w:rPr>
      </w:pPr>
    </w:p>
    <w:p w:rsidR="005327BA" w:rsidRPr="005327BA" w:rsidRDefault="005327BA" w:rsidP="005327BA">
      <w:pPr>
        <w:pStyle w:val="Glava"/>
        <w:spacing w:line="260" w:lineRule="exact"/>
        <w:jc w:val="center"/>
        <w:rPr>
          <w:rFonts w:cs="Arial"/>
          <w:b/>
          <w:szCs w:val="20"/>
        </w:rPr>
      </w:pPr>
      <w:r w:rsidRPr="005327BA">
        <w:rPr>
          <w:rFonts w:cs="Arial"/>
          <w:b/>
          <w:szCs w:val="20"/>
        </w:rPr>
        <w:t xml:space="preserve">o pripravi državnega prostorskega načrta za </w:t>
      </w:r>
    </w:p>
    <w:p w:rsidR="005327BA" w:rsidRPr="005327BA" w:rsidRDefault="005327BA" w:rsidP="005327BA">
      <w:pPr>
        <w:pStyle w:val="Glava"/>
        <w:spacing w:line="260" w:lineRule="exact"/>
        <w:jc w:val="center"/>
        <w:rPr>
          <w:rFonts w:cs="Arial"/>
          <w:b/>
          <w:szCs w:val="20"/>
        </w:rPr>
      </w:pPr>
      <w:r w:rsidRPr="005327BA">
        <w:rPr>
          <w:rFonts w:cs="Arial"/>
          <w:b/>
          <w:szCs w:val="20"/>
        </w:rPr>
        <w:t>plavajočo sončno elektrarno Družmirje</w:t>
      </w:r>
    </w:p>
    <w:p w:rsidR="005327BA" w:rsidRPr="005327BA" w:rsidRDefault="005327BA" w:rsidP="005327BA">
      <w:pPr>
        <w:tabs>
          <w:tab w:val="center" w:pos="4320"/>
          <w:tab w:val="center" w:pos="4536"/>
          <w:tab w:val="right" w:pos="8640"/>
          <w:tab w:val="right" w:pos="9072"/>
        </w:tabs>
        <w:jc w:val="center"/>
        <w:rPr>
          <w:rFonts w:cs="Arial"/>
          <w:b/>
          <w:bCs/>
          <w:szCs w:val="20"/>
        </w:rPr>
      </w:pPr>
    </w:p>
    <w:p w:rsidR="005327BA" w:rsidRPr="005327BA" w:rsidRDefault="005327BA" w:rsidP="005327BA">
      <w:pPr>
        <w:tabs>
          <w:tab w:val="center" w:pos="4320"/>
          <w:tab w:val="right" w:pos="8640"/>
        </w:tabs>
        <w:jc w:val="center"/>
        <w:rPr>
          <w:rFonts w:cs="Arial"/>
          <w:b/>
          <w:bCs/>
          <w:szCs w:val="20"/>
          <w:highlight w:val="yellow"/>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zCs w:val="20"/>
        </w:rPr>
      </w:pPr>
      <w:r w:rsidRPr="005327BA">
        <w:rPr>
          <w:rFonts w:cs="Arial"/>
          <w:b/>
          <w:snapToGrid w:val="0"/>
          <w:color w:val="000000"/>
          <w:spacing w:val="-2"/>
          <w:szCs w:val="20"/>
        </w:rPr>
        <w:t>Vrsta postopka državnega prostorskega načrtovanja</w:t>
      </w:r>
    </w:p>
    <w:p w:rsidR="005327BA" w:rsidRPr="005327BA" w:rsidRDefault="005327BA" w:rsidP="005327BA">
      <w:pPr>
        <w:jc w:val="both"/>
        <w:rPr>
          <w:rFonts w:cs="Arial"/>
          <w:bCs/>
          <w:color w:val="000000"/>
          <w:szCs w:val="20"/>
        </w:rPr>
      </w:pPr>
    </w:p>
    <w:p w:rsidR="005327BA" w:rsidRPr="005327BA" w:rsidRDefault="005327BA" w:rsidP="005327BA">
      <w:pPr>
        <w:jc w:val="both"/>
        <w:rPr>
          <w:rFonts w:cs="Arial"/>
          <w:color w:val="000000"/>
          <w:szCs w:val="20"/>
        </w:rPr>
      </w:pPr>
      <w:r w:rsidRPr="005327BA">
        <w:rPr>
          <w:rFonts w:cs="Arial"/>
          <w:color w:val="000000"/>
          <w:szCs w:val="20"/>
        </w:rPr>
        <w:t>Postopek priprave in sprejetja državnega prostorskega načrta za plavajočo sončno elektrarno Družmirje</w:t>
      </w:r>
      <w:r w:rsidRPr="005327BA" w:rsidDel="00EA466E">
        <w:rPr>
          <w:rFonts w:cs="Arial"/>
          <w:color w:val="000000"/>
          <w:szCs w:val="20"/>
        </w:rPr>
        <w:t xml:space="preserve"> </w:t>
      </w:r>
      <w:r w:rsidRPr="005327BA">
        <w:rPr>
          <w:rFonts w:cs="Arial"/>
          <w:color w:val="000000"/>
          <w:szCs w:val="20"/>
        </w:rPr>
        <w:t>se izvede na podlagi 91. do 97. člena Zakona o ure</w:t>
      </w:r>
      <w:r w:rsidR="00A71733">
        <w:rPr>
          <w:rFonts w:cs="Arial"/>
          <w:color w:val="000000"/>
          <w:szCs w:val="20"/>
        </w:rPr>
        <w:t>janju prostora (Uradni list RS</w:t>
      </w:r>
      <w:r w:rsidR="003D697F">
        <w:rPr>
          <w:rFonts w:cs="Arial"/>
          <w:color w:val="000000"/>
          <w:szCs w:val="20"/>
        </w:rPr>
        <w:t xml:space="preserve">, </w:t>
      </w:r>
      <w:r w:rsidR="003D697F">
        <w:rPr>
          <w:rFonts w:cs="Arial"/>
          <w:color w:val="000000"/>
          <w:szCs w:val="20"/>
        </w:rPr>
        <w:br/>
        <w:t xml:space="preserve">št. </w:t>
      </w:r>
      <w:hyperlink r:id="rId12" w:tgtFrame="_blank" w:tooltip="Zakon o urejanju prostora (ZUreP-3)" w:history="1">
        <w:r w:rsidRPr="005327BA">
          <w:rPr>
            <w:rFonts w:cs="Arial"/>
            <w:color w:val="000000"/>
            <w:szCs w:val="20"/>
          </w:rPr>
          <w:t>199/21</w:t>
        </w:r>
      </w:hyperlink>
      <w:r w:rsidR="003D697F">
        <w:rPr>
          <w:rFonts w:cs="Arial"/>
          <w:color w:val="000000"/>
          <w:szCs w:val="20"/>
        </w:rPr>
        <w:t xml:space="preserve">, </w:t>
      </w:r>
      <w:hyperlink r:id="rId13" w:tgtFrame="_blank" w:tooltip="Zakon o spremembah in dopolnitvah Zakona o državni upravi" w:history="1">
        <w:r w:rsidRPr="005327BA">
          <w:rPr>
            <w:rFonts w:cs="Arial"/>
            <w:color w:val="000000"/>
            <w:szCs w:val="20"/>
          </w:rPr>
          <w:t>18/23</w:t>
        </w:r>
      </w:hyperlink>
      <w:r w:rsidR="003D697F">
        <w:rPr>
          <w:rFonts w:cs="Arial"/>
          <w:color w:val="000000"/>
          <w:szCs w:val="20"/>
        </w:rPr>
        <w:t xml:space="preserve"> – ZDU-1O, </w:t>
      </w:r>
      <w:hyperlink r:id="rId14" w:tgtFrame="_blank" w:tooltip="Zakon o uvajanju naprav za proizvodnjo električne energije iz obnovljivih virov energije" w:history="1">
        <w:r w:rsidRPr="005327BA">
          <w:rPr>
            <w:rFonts w:cs="Arial"/>
            <w:color w:val="000000"/>
            <w:szCs w:val="20"/>
          </w:rPr>
          <w:t>78/23</w:t>
        </w:r>
      </w:hyperlink>
      <w:r w:rsidR="003D697F">
        <w:rPr>
          <w:rFonts w:cs="Arial"/>
          <w:color w:val="000000"/>
          <w:szCs w:val="20"/>
        </w:rPr>
        <w:t xml:space="preserve"> </w:t>
      </w:r>
      <w:r w:rsidRPr="005327BA">
        <w:rPr>
          <w:rFonts w:cs="Arial"/>
          <w:color w:val="000000"/>
          <w:szCs w:val="20"/>
        </w:rPr>
        <w:t xml:space="preserve">– </w:t>
      </w:r>
      <w:r w:rsidR="003D697F">
        <w:rPr>
          <w:rFonts w:cs="Arial"/>
          <w:color w:val="000000"/>
          <w:szCs w:val="20"/>
        </w:rPr>
        <w:t xml:space="preserve">ZUNPEOVE, </w:t>
      </w:r>
      <w:hyperlink r:id="rId15" w:tgtFrame="_blank" w:tooltip="Zakon o interventnih ukrepih za odpravo posledic poplav in zemeljskih plazov iz avgusta 2023" w:history="1">
        <w:r w:rsidRPr="005327BA">
          <w:rPr>
            <w:rFonts w:cs="Arial"/>
            <w:color w:val="000000"/>
            <w:szCs w:val="20"/>
          </w:rPr>
          <w:t>95/23</w:t>
        </w:r>
      </w:hyperlink>
      <w:r w:rsidR="003D697F">
        <w:rPr>
          <w:rFonts w:cs="Arial"/>
          <w:color w:val="000000"/>
          <w:szCs w:val="20"/>
        </w:rPr>
        <w:t xml:space="preserve"> </w:t>
      </w:r>
      <w:r w:rsidR="008009A0">
        <w:rPr>
          <w:rFonts w:cs="Arial"/>
          <w:color w:val="000000"/>
          <w:szCs w:val="20"/>
        </w:rPr>
        <w:t>– ZIUOPZP in 23/24;</w:t>
      </w:r>
      <w:r w:rsidRPr="005327BA">
        <w:rPr>
          <w:rFonts w:cs="Arial"/>
          <w:color w:val="000000"/>
          <w:szCs w:val="20"/>
        </w:rPr>
        <w:t xml:space="preserve"> v nadaljnjem besedilu: ZUreP-3).</w:t>
      </w:r>
    </w:p>
    <w:p w:rsidR="005327BA" w:rsidRPr="005327BA" w:rsidRDefault="005327BA" w:rsidP="005327BA">
      <w:pPr>
        <w:jc w:val="both"/>
        <w:rPr>
          <w:rFonts w:cs="Arial"/>
          <w:color w:val="000000"/>
          <w:szCs w:val="20"/>
        </w:rPr>
      </w:pPr>
    </w:p>
    <w:p w:rsidR="005327BA" w:rsidRPr="005327BA" w:rsidRDefault="005327BA" w:rsidP="005327BA">
      <w:pPr>
        <w:autoSpaceDE w:val="0"/>
        <w:autoSpaceDN w:val="0"/>
        <w:jc w:val="both"/>
        <w:rPr>
          <w:rFonts w:cs="Arial"/>
          <w:color w:val="000000"/>
          <w:szCs w:val="20"/>
        </w:rPr>
      </w:pPr>
      <w:r w:rsidRPr="005327BA">
        <w:rPr>
          <w:rFonts w:cs="Arial"/>
          <w:color w:val="000000"/>
          <w:szCs w:val="20"/>
        </w:rPr>
        <w:t xml:space="preserve">Sklep o pripravi državnega prostorskega načrta (v nadaljnjem besedilu: DPN) za plavajočo sončno elektrarno Družmirje je pripravljen na podlagi pobude Direktorata za energijo pri Ministrstvu za okolje, podnebje in energijo (dopis: 360-259/2023-2570/7 z dne 21.2. 2024), elaborata Pobuda za državni prostorski načrt za plavajočo sončno elektrarno Družmirje (HSE Invest d. o. o., št. projekta HIDJ-8338/2023, januar 2024) in analize smernic, ki jo je izdelal HSE Invest d. o. o. (št. proj.: HIDJ-8338/2023, avgusta 2024, dopolnitev oktobra 2024). Predlog sklepa je v skladu z drugim odstavkom 92. člena ZUreP-3 na seji dne 6. 11. 2024 pripravila projektna skupina, imenovana s sklepom Ministrstva za </w:t>
      </w:r>
      <w:r w:rsidRPr="005327BA">
        <w:rPr>
          <w:rFonts w:cs="Arial"/>
          <w:bCs/>
          <w:szCs w:val="20"/>
        </w:rPr>
        <w:t>naravne vire in prostor št.</w:t>
      </w:r>
      <w:r w:rsidRPr="005327BA">
        <w:rPr>
          <w:rFonts w:cs="Arial"/>
          <w:color w:val="000000"/>
          <w:szCs w:val="20"/>
        </w:rPr>
        <w:t xml:space="preserve"> 35009-1/2024-2560-24 z dne: 4. 6. 2024 (v nadaljnjem besedilu: projektna skupina).</w:t>
      </w:r>
    </w:p>
    <w:p w:rsidR="005327BA" w:rsidRPr="005327BA" w:rsidRDefault="005327BA" w:rsidP="005327BA">
      <w:pPr>
        <w:jc w:val="both"/>
        <w:rPr>
          <w:rFonts w:cs="Arial"/>
          <w:color w:val="000000"/>
          <w:szCs w:val="20"/>
          <w:lang w:eastAsia="sl-SI"/>
        </w:rPr>
      </w:pPr>
      <w:r w:rsidRPr="005327BA">
        <w:rPr>
          <w:rFonts w:cs="Arial"/>
          <w:color w:val="000000"/>
          <w:szCs w:val="20"/>
          <w:lang w:eastAsia="sl-SI"/>
        </w:rPr>
        <w:t xml:space="preserve"> </w:t>
      </w:r>
    </w:p>
    <w:p w:rsidR="005327BA" w:rsidRPr="005327BA" w:rsidRDefault="005327BA" w:rsidP="005327BA">
      <w:pPr>
        <w:jc w:val="both"/>
        <w:rPr>
          <w:rFonts w:cs="Arial"/>
          <w:color w:val="000000"/>
          <w:szCs w:val="20"/>
          <w:lang w:eastAsia="sl-SI"/>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snapToGrid w:val="0"/>
          <w:color w:val="000000"/>
          <w:spacing w:val="-2"/>
          <w:szCs w:val="20"/>
        </w:rPr>
        <w:t>Cilj načrtovane prostorske ureditve</w:t>
      </w:r>
    </w:p>
    <w:p w:rsidR="005327BA" w:rsidRPr="005327BA" w:rsidRDefault="005327BA" w:rsidP="005327BA">
      <w:pPr>
        <w:ind w:left="567" w:right="-1"/>
        <w:jc w:val="both"/>
        <w:rPr>
          <w:rFonts w:cs="Arial"/>
          <w:b/>
          <w:snapToGrid w:val="0"/>
          <w:color w:val="000000"/>
          <w:spacing w:val="-2"/>
          <w:szCs w:val="20"/>
        </w:rPr>
      </w:pPr>
    </w:p>
    <w:p w:rsidR="005327BA" w:rsidRPr="005327BA" w:rsidRDefault="005327BA" w:rsidP="005327BA">
      <w:pPr>
        <w:ind w:right="-1"/>
        <w:jc w:val="both"/>
        <w:rPr>
          <w:rFonts w:cs="Arial"/>
          <w:b/>
          <w:snapToGrid w:val="0"/>
          <w:color w:val="000000"/>
          <w:spacing w:val="-2"/>
          <w:szCs w:val="20"/>
        </w:rPr>
      </w:pPr>
      <w:r w:rsidRPr="005327BA">
        <w:rPr>
          <w:rFonts w:cs="Arial"/>
          <w:color w:val="000000"/>
          <w:szCs w:val="20"/>
        </w:rPr>
        <w:t>Osnovni cilj načrtovane prostorske ureditve je izgradnja sončne elektrarne ter s tem prispevati k izpolnjevanju ključnih ciljev nacionalne energetske politike k zanesljivi, trajnostni in konkurenčni oskrbi z energijo ter povečanju oskrbe z energijo iz obnovljivih virov energije. Za zanesljivo oskrbo države je treba zagotoviti dobro razvita in zanesljiva omrežja in čezmejne povezave, primerno razpršitev virov in dobavnih poti ter določeno mero samooskrbe in skladiščenja, kjer je to okoljsko in ekonomsko upravičeno. Okoljski cilji so vezani na skupna prizadevanja za zmanjšanje izpustov toplogrednih plinov v ozračje, zato je potrebno zagotavljanje rabe obnovljivih in nizkoogljičnih virov energije, diverzifikacija primarnih virov energije, okoljska sprejemljivost pri pridobivanju, proizvodnji, transportu in rabi vseh vrst energije.</w:t>
      </w:r>
    </w:p>
    <w:p w:rsidR="005327BA" w:rsidRPr="005327BA" w:rsidRDefault="005327BA" w:rsidP="005327BA">
      <w:pPr>
        <w:autoSpaceDE w:val="0"/>
        <w:autoSpaceDN w:val="0"/>
        <w:adjustRightInd w:val="0"/>
        <w:rPr>
          <w:rFonts w:cs="Arial"/>
          <w:szCs w:val="20"/>
        </w:rPr>
      </w:pPr>
    </w:p>
    <w:p w:rsidR="005327BA" w:rsidRPr="005327BA" w:rsidRDefault="005327BA" w:rsidP="005327BA">
      <w:pPr>
        <w:jc w:val="both"/>
        <w:rPr>
          <w:rFonts w:cs="Arial"/>
          <w:bCs/>
          <w:color w:val="000000"/>
          <w:szCs w:val="20"/>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snapToGrid w:val="0"/>
          <w:color w:val="000000"/>
          <w:spacing w:val="-2"/>
          <w:szCs w:val="20"/>
        </w:rPr>
        <w:lastRenderedPageBreak/>
        <w:t>Opis načrtovane prostorske ureditve z osnovnimi značilnostmi ter okvirno območje in občine, na območju katerih bo predvidoma načrtovana prostorska ureditev</w:t>
      </w:r>
    </w:p>
    <w:p w:rsidR="005327BA" w:rsidRPr="005327BA" w:rsidRDefault="005327BA" w:rsidP="005327BA">
      <w:pPr>
        <w:ind w:left="567" w:right="-1"/>
        <w:jc w:val="both"/>
        <w:rPr>
          <w:rFonts w:cs="Arial"/>
          <w:b/>
          <w:snapToGrid w:val="0"/>
          <w:color w:val="000000"/>
          <w:spacing w:val="-2"/>
          <w:szCs w:val="20"/>
        </w:rPr>
      </w:pPr>
    </w:p>
    <w:p w:rsidR="005327BA" w:rsidRPr="005327BA" w:rsidRDefault="005327BA" w:rsidP="005327BA">
      <w:pPr>
        <w:jc w:val="both"/>
        <w:rPr>
          <w:rFonts w:cs="Arial"/>
          <w:color w:val="000000"/>
          <w:szCs w:val="20"/>
        </w:rPr>
      </w:pPr>
      <w:r w:rsidRPr="005327BA">
        <w:rPr>
          <w:rFonts w:cs="Arial"/>
          <w:color w:val="000000"/>
          <w:szCs w:val="20"/>
        </w:rPr>
        <w:t>Predmet pobude za pričetek državnega prostorskega načrtovanja je umestitev plavajoče sončne elektrarne Družmirje</w:t>
      </w:r>
      <w:r w:rsidRPr="005327BA">
        <w:rPr>
          <w:rFonts w:cs="Arial"/>
          <w:b/>
          <w:bCs/>
          <w:color w:val="000000"/>
          <w:szCs w:val="20"/>
        </w:rPr>
        <w:t xml:space="preserve"> </w:t>
      </w:r>
      <w:r w:rsidRPr="005327BA">
        <w:rPr>
          <w:rFonts w:cs="Arial"/>
          <w:color w:val="000000"/>
          <w:szCs w:val="20"/>
        </w:rPr>
        <w:t xml:space="preserve">(v nadaljnjem besedilu: PSE Družmirje), moči okvirno 140 </w:t>
      </w:r>
      <w:proofErr w:type="spellStart"/>
      <w:r w:rsidRPr="005327BA">
        <w:rPr>
          <w:rFonts w:cs="Arial"/>
          <w:color w:val="000000"/>
          <w:szCs w:val="20"/>
        </w:rPr>
        <w:t>MWp</w:t>
      </w:r>
      <w:proofErr w:type="spellEnd"/>
      <w:r w:rsidRPr="005327BA">
        <w:rPr>
          <w:rFonts w:cs="Arial"/>
          <w:color w:val="000000"/>
          <w:szCs w:val="20"/>
        </w:rPr>
        <w:t xml:space="preserve"> na Družmirskem jezeru s spremljajočimi in funkcionalno povezanimi prostorskimi ureditvami. Poleg PSE Družmirje bodo izvedene še dostopne poti, elektroenergetski kablovodi, razdelilna transformatorska postaja ter ukrepi za zagotavljanje varnosti uporabnikov jezera in ohranjanje narave.</w:t>
      </w:r>
    </w:p>
    <w:p w:rsidR="005327BA" w:rsidRPr="005327BA" w:rsidRDefault="005327BA" w:rsidP="005327BA">
      <w:pPr>
        <w:rPr>
          <w:rFonts w:cs="Arial"/>
          <w:color w:val="000000"/>
          <w:szCs w:val="20"/>
        </w:rPr>
      </w:pPr>
    </w:p>
    <w:p w:rsidR="005327BA" w:rsidRPr="005327BA" w:rsidRDefault="005327BA" w:rsidP="005327BA">
      <w:pPr>
        <w:rPr>
          <w:rFonts w:cs="Arial"/>
          <w:szCs w:val="20"/>
        </w:rPr>
      </w:pPr>
      <w:r w:rsidRPr="005327BA">
        <w:rPr>
          <w:rFonts w:cs="Arial"/>
          <w:color w:val="000000"/>
          <w:szCs w:val="20"/>
        </w:rPr>
        <w:t>Območje pobude se v celoti nahaja v občini Šoštanj.</w:t>
      </w:r>
      <w:r w:rsidRPr="005327BA">
        <w:rPr>
          <w:rFonts w:cs="Arial"/>
          <w:szCs w:val="20"/>
        </w:rPr>
        <w:t xml:space="preserve"> </w:t>
      </w:r>
    </w:p>
    <w:p w:rsidR="005327BA" w:rsidRPr="005327BA" w:rsidRDefault="005327BA" w:rsidP="005327BA">
      <w:pPr>
        <w:jc w:val="both"/>
        <w:rPr>
          <w:rFonts w:cs="Arial"/>
          <w:bCs/>
          <w:color w:val="000000"/>
          <w:szCs w:val="20"/>
        </w:rPr>
      </w:pPr>
    </w:p>
    <w:p w:rsidR="005327BA" w:rsidRPr="005327BA" w:rsidRDefault="005327BA" w:rsidP="005327BA">
      <w:pPr>
        <w:jc w:val="both"/>
        <w:rPr>
          <w:rFonts w:cs="Arial"/>
          <w:bCs/>
          <w:color w:val="000000"/>
          <w:szCs w:val="20"/>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snapToGrid w:val="0"/>
          <w:color w:val="000000"/>
          <w:spacing w:val="-2"/>
          <w:szCs w:val="20"/>
        </w:rPr>
        <w:t>Odločitev o načrtovanju v variantah z obrazložitvijo ter opis izvedljivih variant, ki se preverijo v študiji variant</w:t>
      </w:r>
    </w:p>
    <w:p w:rsidR="005327BA" w:rsidRPr="005327BA" w:rsidRDefault="005327BA" w:rsidP="005327BA">
      <w:pPr>
        <w:ind w:left="567" w:right="-1"/>
        <w:jc w:val="both"/>
        <w:rPr>
          <w:rFonts w:cs="Arial"/>
          <w:b/>
          <w:snapToGrid w:val="0"/>
          <w:color w:val="000000"/>
          <w:spacing w:val="-2"/>
          <w:szCs w:val="20"/>
        </w:rPr>
      </w:pPr>
    </w:p>
    <w:p w:rsidR="005327BA" w:rsidRPr="005327BA" w:rsidRDefault="005327BA" w:rsidP="005327BA">
      <w:pPr>
        <w:ind w:right="-1"/>
        <w:jc w:val="both"/>
        <w:rPr>
          <w:rFonts w:cs="Arial"/>
          <w:color w:val="000000"/>
          <w:szCs w:val="20"/>
        </w:rPr>
      </w:pPr>
      <w:r w:rsidRPr="005327BA">
        <w:rPr>
          <w:rFonts w:cs="Arial"/>
          <w:szCs w:val="20"/>
        </w:rPr>
        <w:t xml:space="preserve">Strokovna rešitev načrtovane sončne elektrarne se utemelji v študiji variant (utemeljitvi rešitve). </w:t>
      </w:r>
      <w:r w:rsidRPr="005327BA">
        <w:rPr>
          <w:rFonts w:cs="Arial"/>
          <w:color w:val="000000"/>
          <w:szCs w:val="20"/>
        </w:rPr>
        <w:t>PSE Družmirje se postavi na vodno zemljišče v obliki plavajoče konstrukcije, s površino do maksimalno 50</w:t>
      </w:r>
      <w:proofErr w:type="gramStart"/>
      <w:r w:rsidR="00766ADC">
        <w:rPr>
          <w:rFonts w:cs="Arial"/>
          <w:color w:val="000000"/>
          <w:szCs w:val="20"/>
        </w:rPr>
        <w:t xml:space="preserve"> </w:t>
      </w:r>
      <w:r w:rsidRPr="005327BA">
        <w:rPr>
          <w:rFonts w:cs="Arial"/>
          <w:color w:val="000000"/>
          <w:szCs w:val="20"/>
        </w:rPr>
        <w:t>%</w:t>
      </w:r>
      <w:proofErr w:type="gramEnd"/>
      <w:r w:rsidRPr="005327BA">
        <w:rPr>
          <w:rFonts w:cs="Arial"/>
          <w:color w:val="000000"/>
          <w:szCs w:val="20"/>
        </w:rPr>
        <w:t xml:space="preserve"> površine jezera.</w:t>
      </w:r>
    </w:p>
    <w:p w:rsidR="005327BA" w:rsidRPr="005327BA" w:rsidRDefault="005327BA" w:rsidP="005327BA">
      <w:pPr>
        <w:jc w:val="both"/>
        <w:rPr>
          <w:rFonts w:cs="Arial"/>
          <w:snapToGrid w:val="0"/>
          <w:color w:val="000000"/>
          <w:spacing w:val="-2"/>
          <w:szCs w:val="20"/>
        </w:rPr>
      </w:pPr>
    </w:p>
    <w:p w:rsidR="005327BA" w:rsidRPr="005327BA" w:rsidRDefault="005327BA" w:rsidP="005327BA">
      <w:pPr>
        <w:jc w:val="both"/>
        <w:rPr>
          <w:rFonts w:cs="Arial"/>
          <w:bCs/>
          <w:szCs w:val="20"/>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snapToGrid w:val="0"/>
          <w:color w:val="000000"/>
          <w:spacing w:val="-2"/>
          <w:szCs w:val="20"/>
        </w:rPr>
        <w:t>Odločitev o obveznosti izvedbe celovite presoje vplivov na okolje in presoje sprejemljivosti državnega prostorskega načrta</w:t>
      </w:r>
    </w:p>
    <w:p w:rsidR="005327BA" w:rsidRPr="005327BA" w:rsidRDefault="005327BA" w:rsidP="005327BA">
      <w:pPr>
        <w:ind w:left="567" w:right="-1"/>
        <w:jc w:val="both"/>
        <w:rPr>
          <w:rFonts w:cs="Arial"/>
          <w:b/>
          <w:snapToGrid w:val="0"/>
          <w:color w:val="000000"/>
          <w:spacing w:val="-2"/>
          <w:szCs w:val="20"/>
        </w:rPr>
      </w:pPr>
    </w:p>
    <w:p w:rsidR="005327BA" w:rsidRPr="005327BA" w:rsidRDefault="005327BA" w:rsidP="005327BA">
      <w:pPr>
        <w:jc w:val="both"/>
        <w:rPr>
          <w:rFonts w:cs="Arial"/>
          <w:color w:val="000000"/>
          <w:szCs w:val="20"/>
          <w:lang w:eastAsia="sl-SI"/>
        </w:rPr>
      </w:pPr>
      <w:r w:rsidRPr="005327BA">
        <w:rPr>
          <w:rFonts w:cs="Arial"/>
          <w:color w:val="000000"/>
          <w:szCs w:val="20"/>
          <w:lang w:eastAsia="sl-SI"/>
        </w:rPr>
        <w:t xml:space="preserve">V postopku priprave državnega prostorskega načrta se, kot določa prvi odstavek </w:t>
      </w:r>
      <w:r w:rsidR="00C50A9D">
        <w:rPr>
          <w:rFonts w:cs="Arial"/>
          <w:color w:val="000000"/>
          <w:szCs w:val="20"/>
          <w:lang w:eastAsia="sl-SI"/>
        </w:rPr>
        <w:br/>
      </w:r>
      <w:r w:rsidRPr="005327BA">
        <w:rPr>
          <w:rFonts w:cs="Arial"/>
          <w:color w:val="000000"/>
          <w:szCs w:val="20"/>
          <w:lang w:eastAsia="sl-SI"/>
        </w:rPr>
        <w:t xml:space="preserve">84. člena ZureP-3, izvede postopek celovite presoje vplivov na okolje. </w:t>
      </w:r>
    </w:p>
    <w:p w:rsidR="005327BA" w:rsidRPr="005327BA" w:rsidRDefault="005327BA" w:rsidP="005327BA">
      <w:pPr>
        <w:ind w:right="-1"/>
        <w:jc w:val="both"/>
        <w:rPr>
          <w:rFonts w:cs="Arial"/>
          <w:snapToGrid w:val="0"/>
          <w:color w:val="FF0000"/>
          <w:spacing w:val="-2"/>
          <w:szCs w:val="20"/>
          <w:highlight w:val="yellow"/>
        </w:rPr>
      </w:pPr>
    </w:p>
    <w:p w:rsidR="005327BA" w:rsidRPr="005327BA" w:rsidRDefault="005327BA" w:rsidP="005327BA">
      <w:pPr>
        <w:ind w:right="-1"/>
        <w:jc w:val="both"/>
        <w:rPr>
          <w:rFonts w:cs="Arial"/>
          <w:i/>
          <w:snapToGrid w:val="0"/>
          <w:color w:val="000000"/>
          <w:spacing w:val="-2"/>
          <w:szCs w:val="20"/>
        </w:rPr>
      </w:pPr>
    </w:p>
    <w:p w:rsidR="005327BA" w:rsidRPr="005327BA" w:rsidRDefault="005327BA" w:rsidP="005327BA">
      <w:pPr>
        <w:numPr>
          <w:ilvl w:val="0"/>
          <w:numId w:val="5"/>
        </w:numPr>
        <w:tabs>
          <w:tab w:val="clear" w:pos="357"/>
          <w:tab w:val="num" w:pos="567"/>
        </w:tabs>
        <w:ind w:left="567" w:right="-1" w:hanging="567"/>
        <w:jc w:val="both"/>
        <w:rPr>
          <w:rFonts w:cs="Arial"/>
          <w:b/>
          <w:bCs/>
          <w:szCs w:val="20"/>
        </w:rPr>
      </w:pPr>
      <w:r w:rsidRPr="005327BA">
        <w:rPr>
          <w:rFonts w:cs="Arial"/>
          <w:b/>
          <w:bCs/>
          <w:szCs w:val="20"/>
        </w:rPr>
        <w:t>Udeleženci postopka državnega prostorskega načrta</w:t>
      </w:r>
    </w:p>
    <w:p w:rsidR="005327BA" w:rsidRPr="005327BA" w:rsidRDefault="005327BA" w:rsidP="005327BA">
      <w:pPr>
        <w:ind w:right="-1"/>
        <w:jc w:val="both"/>
        <w:rPr>
          <w:rFonts w:cs="Arial"/>
          <w:b/>
          <w:snapToGrid w:val="0"/>
          <w:color w:val="000000"/>
          <w:spacing w:val="-2"/>
          <w:szCs w:val="20"/>
        </w:rPr>
      </w:pPr>
    </w:p>
    <w:p w:rsidR="005327BA" w:rsidRPr="005327BA" w:rsidRDefault="005327BA" w:rsidP="005327BA">
      <w:pPr>
        <w:numPr>
          <w:ilvl w:val="0"/>
          <w:numId w:val="8"/>
        </w:numPr>
        <w:ind w:hanging="283"/>
        <w:jc w:val="both"/>
        <w:rPr>
          <w:rFonts w:cs="Arial"/>
          <w:bCs/>
          <w:color w:val="000000"/>
          <w:szCs w:val="20"/>
        </w:rPr>
      </w:pPr>
      <w:r w:rsidRPr="005327BA">
        <w:rPr>
          <w:rFonts w:cs="Arial"/>
          <w:b/>
          <w:bCs/>
          <w:szCs w:val="20"/>
        </w:rPr>
        <w:t xml:space="preserve">Pobudnik </w:t>
      </w:r>
      <w:r w:rsidRPr="005327BA">
        <w:rPr>
          <w:rFonts w:cs="Arial"/>
          <w:bCs/>
          <w:szCs w:val="20"/>
        </w:rPr>
        <w:t>je Ministrstvo za okolje, podnebje in energijo, Direktorat za energijo</w:t>
      </w:r>
      <w:r w:rsidR="00C50A9D">
        <w:rPr>
          <w:rFonts w:cs="Arial"/>
          <w:bCs/>
          <w:szCs w:val="20"/>
        </w:rPr>
        <w:t>,</w:t>
      </w:r>
      <w:r w:rsidRPr="005327BA">
        <w:rPr>
          <w:rFonts w:cs="Arial"/>
          <w:bCs/>
          <w:szCs w:val="20"/>
        </w:rPr>
        <w:t xml:space="preserve"> </w:t>
      </w:r>
      <w:r w:rsidR="00C50A9D">
        <w:rPr>
          <w:rFonts w:cs="Arial"/>
          <w:bCs/>
          <w:szCs w:val="20"/>
        </w:rPr>
        <w:br/>
      </w:r>
      <w:r w:rsidRPr="005327BA">
        <w:rPr>
          <w:rFonts w:cs="Arial"/>
          <w:bCs/>
          <w:szCs w:val="20"/>
        </w:rPr>
        <w:t>Langusova ulica 4, Ljubljana (v nadaljnjem besedilu: pobudnik).</w:t>
      </w:r>
    </w:p>
    <w:p w:rsidR="005327BA" w:rsidRPr="005327BA" w:rsidRDefault="005327BA" w:rsidP="005327BA">
      <w:pPr>
        <w:ind w:hanging="283"/>
        <w:jc w:val="both"/>
        <w:rPr>
          <w:rFonts w:cs="Arial"/>
          <w:bCs/>
          <w:color w:val="000000"/>
          <w:szCs w:val="20"/>
        </w:rPr>
      </w:pPr>
    </w:p>
    <w:p w:rsidR="005327BA" w:rsidRPr="005327BA" w:rsidRDefault="005327BA" w:rsidP="005327BA">
      <w:pPr>
        <w:numPr>
          <w:ilvl w:val="0"/>
          <w:numId w:val="8"/>
        </w:numPr>
        <w:ind w:hanging="283"/>
        <w:jc w:val="both"/>
        <w:rPr>
          <w:rFonts w:cs="Arial"/>
          <w:bCs/>
          <w:szCs w:val="20"/>
        </w:rPr>
      </w:pPr>
      <w:r w:rsidRPr="005327BA">
        <w:rPr>
          <w:rFonts w:cs="Arial"/>
          <w:b/>
          <w:bCs/>
          <w:szCs w:val="20"/>
        </w:rPr>
        <w:t xml:space="preserve">Pripravljavec </w:t>
      </w:r>
      <w:r w:rsidRPr="005327BA">
        <w:rPr>
          <w:rFonts w:cs="Arial"/>
          <w:bCs/>
          <w:szCs w:val="20"/>
        </w:rPr>
        <w:t>sta Ministrstvo za naravne vire in prostor, Dunajska cesta 48, Ljubljana, in projektna skupina.</w:t>
      </w:r>
    </w:p>
    <w:p w:rsidR="005327BA" w:rsidRPr="005327BA" w:rsidRDefault="005327BA" w:rsidP="005327BA">
      <w:pPr>
        <w:pStyle w:val="Odstavekseznama"/>
        <w:rPr>
          <w:rFonts w:cs="Arial"/>
          <w:b/>
          <w:bCs/>
          <w:szCs w:val="20"/>
        </w:rPr>
      </w:pPr>
    </w:p>
    <w:p w:rsidR="005327BA" w:rsidRPr="005327BA" w:rsidRDefault="005327BA" w:rsidP="005327BA">
      <w:pPr>
        <w:numPr>
          <w:ilvl w:val="0"/>
          <w:numId w:val="8"/>
        </w:numPr>
        <w:ind w:hanging="283"/>
        <w:jc w:val="both"/>
        <w:rPr>
          <w:rFonts w:cs="Arial"/>
          <w:bCs/>
          <w:szCs w:val="20"/>
        </w:rPr>
      </w:pPr>
      <w:r w:rsidRPr="005327BA">
        <w:rPr>
          <w:rFonts w:cs="Arial"/>
          <w:b/>
          <w:bCs/>
          <w:szCs w:val="20"/>
        </w:rPr>
        <w:t xml:space="preserve">Investitor priprave državnega prostorskega načrta </w:t>
      </w:r>
      <w:r w:rsidRPr="005327BA">
        <w:rPr>
          <w:rFonts w:cs="Arial"/>
          <w:bCs/>
          <w:szCs w:val="20"/>
        </w:rPr>
        <w:t xml:space="preserve">je Holding Slovenske </w:t>
      </w:r>
      <w:r w:rsidR="006C60F7">
        <w:rPr>
          <w:rFonts w:cs="Arial"/>
          <w:bCs/>
          <w:szCs w:val="20"/>
        </w:rPr>
        <w:br/>
      </w:r>
      <w:r w:rsidRPr="005327BA">
        <w:rPr>
          <w:rFonts w:cs="Arial"/>
          <w:bCs/>
          <w:szCs w:val="20"/>
        </w:rPr>
        <w:t>elektrarne d. o. o., Koprska ulica 92, 1000 Ljubljana (v nadaljnjem besedilu: investitor).</w:t>
      </w:r>
    </w:p>
    <w:p w:rsidR="005327BA" w:rsidRPr="005327BA" w:rsidRDefault="005327BA" w:rsidP="005327BA">
      <w:pPr>
        <w:pStyle w:val="Odstavekseznama"/>
        <w:rPr>
          <w:rFonts w:cs="Arial"/>
          <w:b/>
          <w:snapToGrid w:val="0"/>
          <w:color w:val="000000"/>
          <w:spacing w:val="-2"/>
          <w:szCs w:val="20"/>
        </w:rPr>
      </w:pPr>
    </w:p>
    <w:p w:rsidR="005327BA" w:rsidRPr="005327BA" w:rsidRDefault="005327BA" w:rsidP="005327BA">
      <w:pPr>
        <w:numPr>
          <w:ilvl w:val="0"/>
          <w:numId w:val="8"/>
        </w:numPr>
        <w:ind w:hanging="283"/>
        <w:jc w:val="both"/>
        <w:rPr>
          <w:rFonts w:cs="Arial"/>
          <w:snapToGrid w:val="0"/>
          <w:color w:val="000000"/>
          <w:spacing w:val="-2"/>
          <w:szCs w:val="20"/>
        </w:rPr>
      </w:pPr>
      <w:r w:rsidRPr="005327BA">
        <w:rPr>
          <w:rFonts w:cs="Arial"/>
          <w:b/>
          <w:snapToGrid w:val="0"/>
          <w:color w:val="000000"/>
          <w:spacing w:val="-2"/>
          <w:szCs w:val="20"/>
        </w:rPr>
        <w:t>Državni nosilci urejanja prostora</w:t>
      </w:r>
      <w:r w:rsidRPr="005327BA">
        <w:rPr>
          <w:rFonts w:cs="Arial"/>
          <w:bCs/>
          <w:snapToGrid w:val="0"/>
          <w:color w:val="000000"/>
          <w:spacing w:val="-2"/>
          <w:szCs w:val="20"/>
        </w:rPr>
        <w:t>, ki</w:t>
      </w:r>
      <w:r w:rsidRPr="005327BA">
        <w:rPr>
          <w:rFonts w:cs="Arial"/>
          <w:snapToGrid w:val="0"/>
          <w:color w:val="000000"/>
          <w:spacing w:val="-2"/>
          <w:szCs w:val="20"/>
        </w:rPr>
        <w:t xml:space="preserve"> sodelujejo pri pripravi državnega prostorskega načrta v okviru projektne skupine, so predstavn</w:t>
      </w:r>
      <w:r w:rsidR="00C50A9D">
        <w:rPr>
          <w:rFonts w:cs="Arial"/>
          <w:snapToGrid w:val="0"/>
          <w:color w:val="000000"/>
          <w:spacing w:val="-2"/>
          <w:szCs w:val="20"/>
        </w:rPr>
        <w:t>iki naslednjih ministrstev:</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naravne vire in prostor,</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okolje, podnebje in energijo,</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infrastrukturo,</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kulturo,</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kmetijstvo, gozdarstvo in prehrano,</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zdravje,</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obrambo in</w:t>
      </w:r>
    </w:p>
    <w:p w:rsidR="005327BA" w:rsidRPr="005327BA" w:rsidRDefault="005327BA" w:rsidP="005327BA">
      <w:pPr>
        <w:pStyle w:val="Odstavekseznama"/>
        <w:numPr>
          <w:ilvl w:val="0"/>
          <w:numId w:val="10"/>
        </w:numPr>
        <w:autoSpaceDE w:val="0"/>
        <w:autoSpaceDN w:val="0"/>
        <w:adjustRightInd w:val="0"/>
        <w:ind w:left="1134" w:hanging="567"/>
        <w:jc w:val="both"/>
        <w:rPr>
          <w:rFonts w:cs="Arial"/>
          <w:szCs w:val="20"/>
          <w:lang w:eastAsia="sl-SI"/>
        </w:rPr>
      </w:pPr>
      <w:r w:rsidRPr="005327BA">
        <w:rPr>
          <w:rFonts w:cs="Arial"/>
          <w:szCs w:val="20"/>
          <w:lang w:eastAsia="sl-SI"/>
        </w:rPr>
        <w:t>Ministrstva za digitalno preobrazbo.</w:t>
      </w:r>
    </w:p>
    <w:p w:rsidR="005327BA" w:rsidRPr="005327BA" w:rsidRDefault="005327BA" w:rsidP="005327BA">
      <w:pPr>
        <w:pStyle w:val="Odstavekseznama"/>
        <w:autoSpaceDE w:val="0"/>
        <w:autoSpaceDN w:val="0"/>
        <w:adjustRightInd w:val="0"/>
        <w:ind w:left="792"/>
        <w:jc w:val="both"/>
        <w:rPr>
          <w:rFonts w:cs="Arial"/>
          <w:snapToGrid w:val="0"/>
          <w:color w:val="000000"/>
          <w:spacing w:val="-2"/>
          <w:szCs w:val="20"/>
        </w:rPr>
      </w:pPr>
    </w:p>
    <w:p w:rsidR="005327BA" w:rsidRPr="005327BA" w:rsidRDefault="005327BA" w:rsidP="005327BA">
      <w:pPr>
        <w:numPr>
          <w:ilvl w:val="0"/>
          <w:numId w:val="8"/>
        </w:numPr>
        <w:ind w:hanging="283"/>
        <w:jc w:val="both"/>
        <w:rPr>
          <w:rFonts w:cs="Arial"/>
          <w:bCs/>
          <w:szCs w:val="20"/>
        </w:rPr>
      </w:pPr>
      <w:r w:rsidRPr="005327BA">
        <w:rPr>
          <w:rFonts w:cs="Arial"/>
          <w:b/>
          <w:bCs/>
          <w:szCs w:val="20"/>
        </w:rPr>
        <w:t>Lokalni nosilec urejanja prostora</w:t>
      </w:r>
      <w:r w:rsidRPr="005327BA">
        <w:rPr>
          <w:rFonts w:cs="Arial"/>
          <w:bCs/>
          <w:szCs w:val="20"/>
        </w:rPr>
        <w:t>, ki sodeluje pri pripravi državnega prostorskega načrta, je Občna Šoštanj.</w:t>
      </w:r>
    </w:p>
    <w:p w:rsidR="005327BA" w:rsidRPr="005327BA" w:rsidRDefault="005327BA" w:rsidP="005327BA">
      <w:pPr>
        <w:jc w:val="both"/>
        <w:rPr>
          <w:rFonts w:cs="Arial"/>
          <w:szCs w:val="20"/>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bCs/>
          <w:szCs w:val="20"/>
        </w:rPr>
        <w:lastRenderedPageBreak/>
        <w:t xml:space="preserve">Seznam podatkov in strokovnih podlag, ki se pripravijo v </w:t>
      </w:r>
      <w:r w:rsidRPr="005327BA">
        <w:rPr>
          <w:rFonts w:cs="Arial"/>
          <w:b/>
          <w:snapToGrid w:val="0"/>
          <w:color w:val="000000"/>
          <w:spacing w:val="-2"/>
          <w:szCs w:val="20"/>
        </w:rPr>
        <w:t>fazi načrtovanja rešitve in sprejema državnega prostorskega načrta</w:t>
      </w:r>
    </w:p>
    <w:p w:rsidR="005327BA" w:rsidRPr="005327BA" w:rsidRDefault="005327BA" w:rsidP="005327BA">
      <w:pPr>
        <w:pStyle w:val="Odstavekseznama"/>
        <w:numPr>
          <w:ilvl w:val="0"/>
          <w:numId w:val="6"/>
        </w:numPr>
        <w:tabs>
          <w:tab w:val="clear" w:pos="567"/>
          <w:tab w:val="num" w:pos="1134"/>
        </w:tabs>
        <w:ind w:left="1134"/>
        <w:jc w:val="both"/>
        <w:rPr>
          <w:rFonts w:cs="Arial"/>
          <w:color w:val="000000"/>
          <w:szCs w:val="20"/>
        </w:rPr>
      </w:pPr>
      <w:r w:rsidRPr="005327BA">
        <w:rPr>
          <w:rFonts w:cs="Arial"/>
          <w:color w:val="000000"/>
          <w:szCs w:val="20"/>
        </w:rPr>
        <w:t xml:space="preserve">podrobnejše idejne rešitve;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zCs w:val="20"/>
          <w:lang w:eastAsia="sl-SI"/>
        </w:rPr>
        <w:t>geodetski načrt;</w:t>
      </w:r>
    </w:p>
    <w:p w:rsidR="005327BA" w:rsidRPr="005327BA" w:rsidRDefault="005327BA" w:rsidP="005327BA">
      <w:pPr>
        <w:pStyle w:val="Odstavekseznama"/>
        <w:numPr>
          <w:ilvl w:val="0"/>
          <w:numId w:val="6"/>
        </w:numPr>
        <w:tabs>
          <w:tab w:val="clear" w:pos="567"/>
          <w:tab w:val="num" w:pos="1134"/>
        </w:tabs>
        <w:ind w:left="1134"/>
        <w:jc w:val="both"/>
        <w:rPr>
          <w:rFonts w:cs="Arial"/>
          <w:color w:val="000000"/>
          <w:szCs w:val="20"/>
        </w:rPr>
      </w:pPr>
      <w:r w:rsidRPr="005327BA">
        <w:rPr>
          <w:rFonts w:cs="Arial"/>
          <w:color w:val="000000"/>
          <w:szCs w:val="20"/>
        </w:rPr>
        <w:t>okoljsko poročilo, vključno s posebnimi strokovnimi podlagami za njegovo izdelavo, predvsem:</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popis habitatnih tipov in rastlinskih vrst,</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 xml:space="preserve">študija vpliva na ptice in za izdelavo potrebne ornitološke raziskave, </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 xml:space="preserve">ihtiološka študija in zanjo izvedene potrebne raziskave, </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študija vplivov na dvoživke,</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študija vplivov na rake,</w:t>
      </w:r>
    </w:p>
    <w:p w:rsidR="005327BA" w:rsidRPr="005327BA" w:rsidRDefault="005327BA" w:rsidP="005327BA">
      <w:pPr>
        <w:numPr>
          <w:ilvl w:val="0"/>
          <w:numId w:val="21"/>
        </w:numPr>
        <w:tabs>
          <w:tab w:val="clear" w:pos="567"/>
          <w:tab w:val="num" w:pos="1701"/>
        </w:tabs>
        <w:ind w:left="1701"/>
        <w:jc w:val="both"/>
        <w:rPr>
          <w:rFonts w:cs="Arial"/>
          <w:szCs w:val="20"/>
          <w:lang w:eastAsia="sl-SI"/>
        </w:rPr>
      </w:pPr>
      <w:r w:rsidRPr="005327BA">
        <w:rPr>
          <w:rFonts w:cs="Arial"/>
          <w:szCs w:val="20"/>
        </w:rPr>
        <w:t xml:space="preserve">popis flore v </w:t>
      </w:r>
      <w:proofErr w:type="spellStart"/>
      <w:r w:rsidRPr="005327BA">
        <w:rPr>
          <w:rFonts w:cs="Arial"/>
          <w:szCs w:val="20"/>
        </w:rPr>
        <w:t>litoralnem</w:t>
      </w:r>
      <w:proofErr w:type="spellEnd"/>
      <w:r w:rsidRPr="005327BA">
        <w:rPr>
          <w:rFonts w:cs="Arial"/>
          <w:szCs w:val="20"/>
        </w:rPr>
        <w:t xml:space="preserve"> pasu;</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popis invazivnih in tujerodnih vodnih živalskih vrst;</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vpliva na kmetijska zemljišča;</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 xml:space="preserve">ocena vplivov na stanje podzemnih voda (vsebine po prilogi 5 splošnih smernic s področja upravljanja z vodami); </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vplivov na stanje površinskih voda (vsebine po prilogi 3 splošnih smernic s področja upravljanja z vodami za stoječe vode);</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analiza tveganja za onesnaženje podzemne vode;</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analiza tveganja na podnebne spremembe;</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vpliva na svetlobno onesnaženje (bleščanje);</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hrupa v času gradnje in obratovanja;</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vpliva na termiko jezera;</w:t>
      </w:r>
    </w:p>
    <w:p w:rsidR="005327BA" w:rsidRPr="005327BA" w:rsidRDefault="005327BA" w:rsidP="005327BA">
      <w:pPr>
        <w:pStyle w:val="Odstavekseznama"/>
        <w:numPr>
          <w:ilvl w:val="0"/>
          <w:numId w:val="6"/>
        </w:numPr>
        <w:tabs>
          <w:tab w:val="clear" w:pos="567"/>
          <w:tab w:val="num" w:pos="1134"/>
        </w:tabs>
        <w:ind w:left="1134"/>
        <w:contextualSpacing w:val="0"/>
        <w:jc w:val="both"/>
        <w:rPr>
          <w:rFonts w:cs="Arial"/>
          <w:szCs w:val="20"/>
          <w:lang w:eastAsia="sl-SI"/>
        </w:rPr>
      </w:pPr>
      <w:r w:rsidRPr="005327BA">
        <w:rPr>
          <w:rFonts w:cs="Arial"/>
          <w:szCs w:val="20"/>
        </w:rPr>
        <w:t>strokovna podlaga z vidika varstva krajinskih značilnosti in vizualnih kakovosti prostora;</w:t>
      </w:r>
    </w:p>
    <w:p w:rsidR="005327BA" w:rsidRPr="005327BA" w:rsidRDefault="005327BA" w:rsidP="005327BA">
      <w:pPr>
        <w:pStyle w:val="Odstavekseznama"/>
        <w:numPr>
          <w:ilvl w:val="0"/>
          <w:numId w:val="6"/>
        </w:numPr>
        <w:tabs>
          <w:tab w:val="clear" w:pos="567"/>
          <w:tab w:val="num" w:pos="1134"/>
        </w:tabs>
        <w:ind w:left="1134"/>
        <w:contextualSpacing w:val="0"/>
        <w:jc w:val="both"/>
        <w:rPr>
          <w:rFonts w:cs="Arial"/>
          <w:szCs w:val="20"/>
          <w:lang w:eastAsia="sl-SI"/>
        </w:rPr>
      </w:pPr>
      <w:r w:rsidRPr="005327BA">
        <w:rPr>
          <w:rFonts w:cs="Arial"/>
          <w:szCs w:val="20"/>
        </w:rPr>
        <w:t>načrt ravnanja z odpadki;</w:t>
      </w:r>
    </w:p>
    <w:p w:rsidR="005327BA" w:rsidRPr="005327BA" w:rsidRDefault="005327BA" w:rsidP="005327BA">
      <w:pPr>
        <w:pStyle w:val="Telobesedila"/>
        <w:numPr>
          <w:ilvl w:val="0"/>
          <w:numId w:val="6"/>
        </w:numPr>
        <w:tabs>
          <w:tab w:val="clear" w:pos="284"/>
          <w:tab w:val="clear" w:pos="567"/>
          <w:tab w:val="clear" w:pos="851"/>
          <w:tab w:val="clear" w:pos="1418"/>
          <w:tab w:val="num" w:pos="1134"/>
        </w:tabs>
        <w:spacing w:line="260" w:lineRule="exact"/>
        <w:ind w:left="1134"/>
        <w:rPr>
          <w:rFonts w:cs="Arial"/>
          <w:b/>
        </w:rPr>
      </w:pPr>
      <w:r w:rsidRPr="005327BA">
        <w:rPr>
          <w:rFonts w:cs="Arial"/>
        </w:rPr>
        <w:t>ocena ogroženosti in načrt ravnanja med naravnimi in drugimi nesrečami;</w:t>
      </w:r>
    </w:p>
    <w:p w:rsidR="005327BA" w:rsidRPr="005327BA" w:rsidRDefault="005327BA" w:rsidP="005327BA">
      <w:pPr>
        <w:pStyle w:val="alineja"/>
        <w:numPr>
          <w:ilvl w:val="0"/>
          <w:numId w:val="6"/>
        </w:numPr>
        <w:tabs>
          <w:tab w:val="clear" w:pos="567"/>
          <w:tab w:val="num" w:pos="1134"/>
        </w:tabs>
        <w:spacing w:line="260" w:lineRule="exact"/>
        <w:ind w:left="1134"/>
        <w:rPr>
          <w:szCs w:val="20"/>
        </w:rPr>
      </w:pPr>
      <w:r w:rsidRPr="005327BA">
        <w:rPr>
          <w:szCs w:val="20"/>
        </w:rPr>
        <w:t>načrt ureditve gradbišča, vključno z ukrepi v času gradnje;</w:t>
      </w:r>
    </w:p>
    <w:p w:rsidR="005327BA" w:rsidRPr="005327BA" w:rsidRDefault="005327BA" w:rsidP="005327BA">
      <w:pPr>
        <w:pStyle w:val="alineja"/>
        <w:numPr>
          <w:ilvl w:val="0"/>
          <w:numId w:val="6"/>
        </w:numPr>
        <w:tabs>
          <w:tab w:val="clear" w:pos="567"/>
          <w:tab w:val="num" w:pos="1134"/>
        </w:tabs>
        <w:spacing w:line="260" w:lineRule="exact"/>
        <w:ind w:left="1134"/>
        <w:rPr>
          <w:szCs w:val="20"/>
        </w:rPr>
      </w:pPr>
      <w:r w:rsidRPr="005327BA">
        <w:rPr>
          <w:szCs w:val="20"/>
        </w:rPr>
        <w:t>morebitne druge strokovne podlage, potrebne za vrednotenje in utemeljitev rešitve;</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rPr>
        <w:t>sintezni predlog najustreznejše variante oziroma utemeljitev rešitve</w:t>
      </w:r>
      <w:r w:rsidRPr="005327BA">
        <w:rPr>
          <w:rFonts w:cs="Arial"/>
          <w:szCs w:val="20"/>
          <w:lang w:eastAsia="sl-SI"/>
        </w:rPr>
        <w:t>;</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strokovne podlage, potrebne za izdelavo državnega prostorskega načrta;</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predlog državnega prostorskega načrta.</w:t>
      </w:r>
    </w:p>
    <w:p w:rsidR="005327BA" w:rsidRPr="005327BA" w:rsidRDefault="005327BA" w:rsidP="005327BA">
      <w:pPr>
        <w:ind w:left="993"/>
        <w:jc w:val="both"/>
        <w:rPr>
          <w:rFonts w:cs="Arial"/>
          <w:szCs w:val="20"/>
          <w:lang w:eastAsia="sl-SI"/>
        </w:rPr>
      </w:pPr>
    </w:p>
    <w:p w:rsidR="005327BA" w:rsidRPr="005327BA" w:rsidRDefault="005327BA" w:rsidP="005327BA">
      <w:pPr>
        <w:numPr>
          <w:ilvl w:val="0"/>
          <w:numId w:val="5"/>
        </w:numPr>
        <w:tabs>
          <w:tab w:val="clear" w:pos="357"/>
          <w:tab w:val="num" w:pos="567"/>
        </w:tabs>
        <w:ind w:left="567" w:right="-1" w:hanging="567"/>
        <w:jc w:val="both"/>
        <w:rPr>
          <w:rFonts w:cs="Arial"/>
          <w:b/>
          <w:snapToGrid w:val="0"/>
          <w:spacing w:val="-2"/>
          <w:szCs w:val="20"/>
        </w:rPr>
      </w:pPr>
      <w:r w:rsidRPr="005327BA">
        <w:rPr>
          <w:rFonts w:cs="Arial"/>
          <w:b/>
          <w:snapToGrid w:val="0"/>
          <w:color w:val="000000"/>
          <w:spacing w:val="-2"/>
          <w:szCs w:val="20"/>
        </w:rPr>
        <w:t>Obveznosti udeležencev glede zagotavljanja podatkov, strokovnih podlag in izvedbe postopka državnega prostorskega načrta ter s tem povezani roki in financiranje</w:t>
      </w:r>
      <w:r w:rsidRPr="005327BA">
        <w:rPr>
          <w:rFonts w:cs="Arial"/>
          <w:b/>
          <w:snapToGrid w:val="0"/>
          <w:spacing w:val="-2"/>
          <w:szCs w:val="20"/>
        </w:rPr>
        <w:t xml:space="preserve"> </w:t>
      </w:r>
    </w:p>
    <w:p w:rsidR="005327BA" w:rsidRPr="005327BA" w:rsidRDefault="005327BA" w:rsidP="005327BA">
      <w:pPr>
        <w:ind w:left="567" w:right="-1"/>
        <w:jc w:val="both"/>
        <w:rPr>
          <w:rFonts w:cs="Arial"/>
          <w:b/>
          <w:snapToGrid w:val="0"/>
          <w:color w:val="000000"/>
          <w:spacing w:val="-2"/>
          <w:szCs w:val="20"/>
        </w:rPr>
      </w:pPr>
    </w:p>
    <w:p w:rsidR="005327BA" w:rsidRPr="005327BA" w:rsidRDefault="005327BA" w:rsidP="005327BA">
      <w:pPr>
        <w:numPr>
          <w:ilvl w:val="0"/>
          <w:numId w:val="9"/>
        </w:numPr>
        <w:jc w:val="both"/>
        <w:rPr>
          <w:rFonts w:cs="Arial"/>
          <w:szCs w:val="20"/>
        </w:rPr>
      </w:pPr>
      <w:r w:rsidRPr="005327BA">
        <w:rPr>
          <w:rFonts w:cs="Arial"/>
          <w:szCs w:val="20"/>
        </w:rPr>
        <w:t xml:space="preserve">Pobudnik: </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 xml:space="preserve">sodeluje pri objavah javnih naznanil v posameznih fazah priprave državnega prostorskega načrta; </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 xml:space="preserve">sodeluje pri pripravi vseh gradiv, potrebnih za izdelavo državnega prostorskega načrta; </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se udeležuje vseh sestankov v zvezi s pripravo državnega prostorskega načrta, javnih obravnav, razprav in drugih dogodkov v postopku priprave državnega prostorskega načrta;</w:t>
      </w:r>
    </w:p>
    <w:p w:rsidR="005327BA" w:rsidRPr="005327BA" w:rsidRDefault="005327BA" w:rsidP="005327BA">
      <w:pPr>
        <w:numPr>
          <w:ilvl w:val="0"/>
          <w:numId w:val="6"/>
        </w:numPr>
        <w:tabs>
          <w:tab w:val="clear" w:pos="567"/>
          <w:tab w:val="num" w:pos="1134"/>
        </w:tabs>
        <w:ind w:left="1134"/>
        <w:jc w:val="both"/>
        <w:rPr>
          <w:rFonts w:cs="Arial"/>
          <w:szCs w:val="20"/>
          <w:lang w:eastAsia="sl-SI"/>
        </w:rPr>
      </w:pPr>
      <w:r w:rsidRPr="005327BA">
        <w:rPr>
          <w:rFonts w:cs="Arial"/>
          <w:szCs w:val="20"/>
          <w:lang w:eastAsia="sl-SI"/>
        </w:rPr>
        <w:t>sodeluje pri pripravi gradiv za Vlado Republike Slovenije.</w:t>
      </w:r>
    </w:p>
    <w:p w:rsidR="005327BA" w:rsidRPr="005327BA" w:rsidRDefault="005327BA" w:rsidP="005327BA">
      <w:pPr>
        <w:ind w:right="-1"/>
        <w:jc w:val="both"/>
        <w:rPr>
          <w:rFonts w:cs="Arial"/>
          <w:szCs w:val="20"/>
        </w:rPr>
      </w:pPr>
    </w:p>
    <w:p w:rsidR="005327BA" w:rsidRPr="005327BA" w:rsidRDefault="005327BA" w:rsidP="005327BA">
      <w:pPr>
        <w:numPr>
          <w:ilvl w:val="0"/>
          <w:numId w:val="9"/>
        </w:numPr>
        <w:jc w:val="both"/>
        <w:rPr>
          <w:rFonts w:cs="Arial"/>
          <w:szCs w:val="20"/>
        </w:rPr>
      </w:pPr>
      <w:bookmarkStart w:id="0" w:name="_Hlk147143284"/>
      <w:r w:rsidRPr="005327BA">
        <w:rPr>
          <w:rFonts w:cs="Arial"/>
          <w:szCs w:val="20"/>
        </w:rPr>
        <w:t>Projektna skupina opravlja naloge, ki jih določa ZUreP-3.</w:t>
      </w:r>
      <w:bookmarkEnd w:id="0"/>
      <w:r w:rsidRPr="005327BA">
        <w:rPr>
          <w:rFonts w:cs="Arial"/>
          <w:szCs w:val="20"/>
        </w:rPr>
        <w:t xml:space="preserve"> </w:t>
      </w:r>
    </w:p>
    <w:p w:rsidR="005327BA" w:rsidRPr="005327BA" w:rsidRDefault="005327BA" w:rsidP="005327BA">
      <w:pPr>
        <w:ind w:right="-1"/>
        <w:jc w:val="both"/>
        <w:rPr>
          <w:rFonts w:cs="Arial"/>
          <w:szCs w:val="20"/>
        </w:rPr>
      </w:pPr>
    </w:p>
    <w:p w:rsidR="005327BA" w:rsidRPr="005327BA" w:rsidRDefault="005327BA" w:rsidP="005327BA">
      <w:pPr>
        <w:numPr>
          <w:ilvl w:val="0"/>
          <w:numId w:val="9"/>
        </w:numPr>
        <w:jc w:val="both"/>
        <w:rPr>
          <w:rFonts w:cs="Arial"/>
          <w:szCs w:val="20"/>
        </w:rPr>
      </w:pPr>
      <w:r w:rsidRPr="005327BA">
        <w:rPr>
          <w:rFonts w:cs="Arial"/>
          <w:szCs w:val="20"/>
        </w:rPr>
        <w:t xml:space="preserve">Investitor: </w:t>
      </w:r>
    </w:p>
    <w:p w:rsidR="005327BA" w:rsidRPr="005327BA" w:rsidRDefault="005327BA" w:rsidP="005327BA">
      <w:pPr>
        <w:numPr>
          <w:ilvl w:val="0"/>
          <w:numId w:val="6"/>
        </w:numPr>
        <w:tabs>
          <w:tab w:val="clear" w:pos="567"/>
          <w:tab w:val="num" w:pos="1134"/>
        </w:tabs>
        <w:ind w:left="1134"/>
        <w:jc w:val="both"/>
        <w:rPr>
          <w:rFonts w:cs="Arial"/>
          <w:b/>
          <w:snapToGrid w:val="0"/>
          <w:color w:val="000000"/>
          <w:spacing w:val="-2"/>
          <w:szCs w:val="20"/>
          <w:lang w:eastAsia="sl-SI"/>
        </w:rPr>
      </w:pPr>
      <w:r w:rsidRPr="005327BA">
        <w:rPr>
          <w:rFonts w:cs="Arial"/>
          <w:snapToGrid w:val="0"/>
          <w:color w:val="000000"/>
          <w:spacing w:val="-2"/>
          <w:szCs w:val="20"/>
          <w:lang w:eastAsia="sl-SI"/>
        </w:rPr>
        <w:t>pripravi projektne naloge za dokumentacijo v postopku priprave državnega prostorskega načrta in jih pred izvedbo razpisov uskladi s pripravljavcem</w:t>
      </w:r>
      <w:r w:rsidRPr="005327BA">
        <w:rPr>
          <w:rFonts w:cs="Arial"/>
          <w:bCs/>
          <w:snapToGrid w:val="0"/>
          <w:color w:val="000000"/>
          <w:spacing w:val="-2"/>
          <w:szCs w:val="20"/>
          <w:lang w:eastAsia="sl-SI"/>
        </w:rPr>
        <w:t>;</w:t>
      </w:r>
      <w:r w:rsidRPr="005327BA">
        <w:rPr>
          <w:rFonts w:cs="Arial"/>
          <w:b/>
          <w:snapToGrid w:val="0"/>
          <w:color w:val="000000"/>
          <w:spacing w:val="-2"/>
          <w:szCs w:val="20"/>
          <w:lang w:eastAsia="sl-SI"/>
        </w:rPr>
        <w:t xml:space="preserve">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napToGrid w:val="0"/>
          <w:color w:val="000000"/>
          <w:spacing w:val="-2"/>
          <w:szCs w:val="20"/>
          <w:lang w:eastAsia="sl-SI"/>
        </w:rPr>
        <w:t xml:space="preserve">izbere izdelovalca te dokumentacije in strokovnih podlag za njeno izdelavo;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napToGrid w:val="0"/>
          <w:color w:val="000000"/>
          <w:spacing w:val="-2"/>
          <w:szCs w:val="20"/>
          <w:lang w:eastAsia="sl-SI"/>
        </w:rPr>
        <w:t xml:space="preserve">sodeluje pri pripravi dokumentacije ter gradiv za Vlado Republike Slovenije;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napToGrid w:val="0"/>
          <w:color w:val="000000"/>
          <w:spacing w:val="-2"/>
          <w:szCs w:val="20"/>
          <w:lang w:eastAsia="sl-SI"/>
        </w:rPr>
        <w:lastRenderedPageBreak/>
        <w:t xml:space="preserve">udeležuje se sestankov, javnih obravnav in drugih dogodkov v postopku priprave državnega prostorskega načrta, skupaj z izdelovalci dokumentacije, ki jo naroča;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napToGrid w:val="0"/>
          <w:color w:val="000000"/>
          <w:spacing w:val="-2"/>
          <w:szCs w:val="20"/>
          <w:lang w:eastAsia="sl-SI"/>
        </w:rPr>
        <w:t xml:space="preserve">naroči in plača dokumentacijo v postopku priprave državnega prostorskega načrta; </w:t>
      </w:r>
    </w:p>
    <w:p w:rsidR="005327BA" w:rsidRPr="005327BA" w:rsidRDefault="005327BA" w:rsidP="005327BA">
      <w:pPr>
        <w:numPr>
          <w:ilvl w:val="0"/>
          <w:numId w:val="6"/>
        </w:numPr>
        <w:tabs>
          <w:tab w:val="clear" w:pos="567"/>
          <w:tab w:val="num" w:pos="1134"/>
        </w:tabs>
        <w:ind w:left="1134"/>
        <w:jc w:val="both"/>
        <w:rPr>
          <w:rFonts w:cs="Arial"/>
          <w:snapToGrid w:val="0"/>
          <w:color w:val="000000"/>
          <w:spacing w:val="-2"/>
          <w:szCs w:val="20"/>
          <w:lang w:eastAsia="sl-SI"/>
        </w:rPr>
      </w:pPr>
      <w:r w:rsidRPr="005327BA">
        <w:rPr>
          <w:rFonts w:cs="Arial"/>
          <w:snapToGrid w:val="0"/>
          <w:color w:val="000000"/>
          <w:spacing w:val="-2"/>
          <w:szCs w:val="20"/>
          <w:lang w:eastAsia="sl-SI"/>
        </w:rPr>
        <w:t>naroči in plača morebitne druge strokovne podlage, če se v postopku priprave državnega prostorskega načrta izkaže, da je njihova izdelava potrebna in utemeljena.</w:t>
      </w:r>
    </w:p>
    <w:p w:rsidR="005327BA" w:rsidRPr="005327BA" w:rsidRDefault="005327BA" w:rsidP="005327BA">
      <w:pPr>
        <w:jc w:val="both"/>
        <w:rPr>
          <w:rFonts w:cs="Arial"/>
          <w:snapToGrid w:val="0"/>
          <w:color w:val="000000"/>
          <w:spacing w:val="-2"/>
          <w:szCs w:val="20"/>
          <w:lang w:eastAsia="sl-SI"/>
        </w:rPr>
      </w:pPr>
    </w:p>
    <w:p w:rsidR="005327BA" w:rsidRPr="005327BA" w:rsidRDefault="005327BA" w:rsidP="005327BA">
      <w:pPr>
        <w:numPr>
          <w:ilvl w:val="0"/>
          <w:numId w:val="9"/>
        </w:numPr>
        <w:jc w:val="both"/>
        <w:rPr>
          <w:rFonts w:cs="Arial"/>
          <w:szCs w:val="20"/>
        </w:rPr>
      </w:pPr>
      <w:r w:rsidRPr="005327BA">
        <w:rPr>
          <w:rFonts w:cs="Arial"/>
          <w:szCs w:val="20"/>
        </w:rPr>
        <w:t>Roki in financiranje:</w:t>
      </w:r>
    </w:p>
    <w:p w:rsidR="005327BA" w:rsidRPr="005327BA" w:rsidRDefault="005327BA" w:rsidP="005327BA">
      <w:pPr>
        <w:pStyle w:val="Telobesedila"/>
        <w:spacing w:line="260" w:lineRule="exact"/>
        <w:ind w:left="567" w:hanging="283"/>
        <w:rPr>
          <w:rFonts w:cs="Arial"/>
        </w:rPr>
      </w:pPr>
      <w:r w:rsidRPr="005327BA">
        <w:rPr>
          <w:rFonts w:cs="Arial"/>
        </w:rPr>
        <w:tab/>
        <w:t>Roki za izvedbo posameznih aktivnos</w:t>
      </w:r>
      <w:r w:rsidR="00C50A9D">
        <w:rPr>
          <w:rFonts w:cs="Arial"/>
        </w:rPr>
        <w:t>ti še niso določeni. Investitor</w:t>
      </w:r>
      <w:r w:rsidRPr="005327BA">
        <w:rPr>
          <w:rFonts w:cs="Arial"/>
        </w:rPr>
        <w:t xml:space="preserve"> zagotovi sredstva za pripravo strokovnih podlag in dokumentacije v postopku priprave državnega prostorskega načrta.</w:t>
      </w:r>
    </w:p>
    <w:p w:rsidR="005327BA" w:rsidRPr="005327BA" w:rsidRDefault="005327BA" w:rsidP="005327BA">
      <w:pPr>
        <w:ind w:right="-1"/>
        <w:jc w:val="both"/>
        <w:rPr>
          <w:rFonts w:cs="Arial"/>
          <w:snapToGrid w:val="0"/>
          <w:color w:val="000000"/>
          <w:spacing w:val="-2"/>
          <w:szCs w:val="20"/>
        </w:rPr>
      </w:pPr>
    </w:p>
    <w:p w:rsidR="005327BA" w:rsidRPr="005327BA" w:rsidRDefault="005327BA" w:rsidP="005327BA">
      <w:pPr>
        <w:numPr>
          <w:ilvl w:val="0"/>
          <w:numId w:val="5"/>
        </w:numPr>
        <w:tabs>
          <w:tab w:val="clear" w:pos="357"/>
          <w:tab w:val="num" w:pos="567"/>
        </w:tabs>
        <w:ind w:left="567" w:right="-1" w:hanging="567"/>
        <w:jc w:val="both"/>
        <w:rPr>
          <w:rFonts w:cs="Arial"/>
          <w:b/>
          <w:snapToGrid w:val="0"/>
          <w:color w:val="000000"/>
          <w:spacing w:val="-2"/>
          <w:szCs w:val="20"/>
        </w:rPr>
      </w:pPr>
      <w:r w:rsidRPr="005327BA">
        <w:rPr>
          <w:rFonts w:cs="Arial"/>
          <w:b/>
          <w:snapToGrid w:val="0"/>
          <w:color w:val="000000"/>
          <w:spacing w:val="-2"/>
          <w:szCs w:val="20"/>
        </w:rPr>
        <w:t>Aktivnosti v zvezi s sodelovanjem javnosti</w:t>
      </w:r>
    </w:p>
    <w:p w:rsidR="005327BA" w:rsidRPr="005327BA" w:rsidRDefault="005327BA" w:rsidP="005327BA">
      <w:pPr>
        <w:ind w:right="-1"/>
        <w:jc w:val="both"/>
        <w:rPr>
          <w:rFonts w:cs="Arial"/>
          <w:snapToGrid w:val="0"/>
          <w:color w:val="000000"/>
          <w:spacing w:val="-2"/>
          <w:szCs w:val="20"/>
        </w:rPr>
      </w:pPr>
    </w:p>
    <w:p w:rsidR="005327BA" w:rsidRPr="005327BA" w:rsidRDefault="005327BA" w:rsidP="005327BA">
      <w:pPr>
        <w:ind w:right="-1"/>
        <w:jc w:val="both"/>
        <w:rPr>
          <w:rFonts w:cs="Arial"/>
          <w:snapToGrid w:val="0"/>
          <w:color w:val="000000"/>
          <w:spacing w:val="-2"/>
          <w:szCs w:val="20"/>
        </w:rPr>
      </w:pPr>
      <w:r w:rsidRPr="005327BA">
        <w:rPr>
          <w:rFonts w:cs="Arial"/>
          <w:snapToGrid w:val="0"/>
          <w:color w:val="000000"/>
          <w:spacing w:val="-2"/>
          <w:szCs w:val="20"/>
        </w:rPr>
        <w:t>Izvedejo se vse aktivnosti, ki jih določa ZUreP-3, po potrebi pa tudi dodatne aktivnosti in sicer:</w:t>
      </w:r>
    </w:p>
    <w:p w:rsidR="005327BA" w:rsidRPr="005327BA" w:rsidRDefault="005327BA" w:rsidP="005327BA">
      <w:pPr>
        <w:numPr>
          <w:ilvl w:val="0"/>
          <w:numId w:val="20"/>
        </w:numPr>
        <w:ind w:left="567" w:hanging="567"/>
        <w:contextualSpacing/>
        <w:jc w:val="both"/>
        <w:rPr>
          <w:rFonts w:cs="Arial"/>
          <w:szCs w:val="20"/>
          <w:lang w:eastAsia="sl-SI"/>
        </w:rPr>
      </w:pPr>
      <w:r w:rsidRPr="005327BA">
        <w:rPr>
          <w:rFonts w:cs="Arial"/>
          <w:szCs w:val="20"/>
          <w:lang w:eastAsia="sl-SI"/>
        </w:rPr>
        <w:t xml:space="preserve">Investitor bo sprotno objavljal informacije o poteku projekta tudi na svoji spletni strani </w:t>
      </w:r>
      <w:proofErr w:type="spellStart"/>
      <w:r w:rsidRPr="005327BA">
        <w:rPr>
          <w:rStyle w:val="Hiperpovezava"/>
          <w:rFonts w:cs="Arial"/>
          <w:color w:val="auto"/>
          <w:szCs w:val="20"/>
          <w:u w:val="none"/>
          <w:lang w:eastAsia="sl-SI"/>
        </w:rPr>
        <w:t>www.</w:t>
      </w:r>
      <w:r w:rsidRPr="005327BA">
        <w:rPr>
          <w:rFonts w:cs="Arial"/>
          <w:szCs w:val="20"/>
          <w:lang w:eastAsia="sl-SI"/>
        </w:rPr>
        <w:t>hse.si/sl/projekti/plavajoca</w:t>
      </w:r>
      <w:proofErr w:type="spellEnd"/>
      <w:r w:rsidRPr="005327BA">
        <w:rPr>
          <w:rFonts w:cs="Arial"/>
          <w:szCs w:val="20"/>
          <w:lang w:eastAsia="sl-SI"/>
        </w:rPr>
        <w:t>-</w:t>
      </w:r>
      <w:proofErr w:type="spellStart"/>
      <w:r w:rsidRPr="005327BA">
        <w:rPr>
          <w:rFonts w:cs="Arial"/>
          <w:szCs w:val="20"/>
          <w:lang w:eastAsia="sl-SI"/>
        </w:rPr>
        <w:t>soncna</w:t>
      </w:r>
      <w:proofErr w:type="spellEnd"/>
      <w:r w:rsidRPr="005327BA">
        <w:rPr>
          <w:rFonts w:cs="Arial"/>
          <w:szCs w:val="20"/>
          <w:lang w:eastAsia="sl-SI"/>
        </w:rPr>
        <w:t xml:space="preserve"> -elektrarna-</w:t>
      </w:r>
      <w:proofErr w:type="spellStart"/>
      <w:r w:rsidRPr="005327BA">
        <w:rPr>
          <w:rFonts w:cs="Arial"/>
          <w:szCs w:val="20"/>
          <w:lang w:eastAsia="sl-SI"/>
        </w:rPr>
        <w:t>druzmirje</w:t>
      </w:r>
      <w:proofErr w:type="spellEnd"/>
      <w:r w:rsidRPr="005327BA">
        <w:rPr>
          <w:rFonts w:cs="Arial"/>
          <w:szCs w:val="20"/>
          <w:lang w:eastAsia="sl-SI"/>
        </w:rPr>
        <w:t>/.</w:t>
      </w:r>
    </w:p>
    <w:p w:rsidR="005327BA" w:rsidRPr="005327BA" w:rsidRDefault="005327BA" w:rsidP="005327BA">
      <w:pPr>
        <w:numPr>
          <w:ilvl w:val="0"/>
          <w:numId w:val="20"/>
        </w:numPr>
        <w:ind w:left="567" w:hanging="567"/>
        <w:contextualSpacing/>
        <w:jc w:val="both"/>
        <w:rPr>
          <w:rFonts w:cs="Arial"/>
          <w:szCs w:val="20"/>
          <w:lang w:eastAsia="sl-SI"/>
        </w:rPr>
      </w:pPr>
      <w:r w:rsidRPr="005327BA">
        <w:rPr>
          <w:rFonts w:cs="Arial"/>
          <w:szCs w:val="20"/>
          <w:lang w:eastAsia="sl-SI"/>
        </w:rPr>
        <w:t>Na spletni strani investitorja bo naveden e-naslov, preko katerega bo mogoče podajati pobude, vprašanja in predloge.</w:t>
      </w:r>
    </w:p>
    <w:p w:rsidR="005327BA" w:rsidRPr="005327BA" w:rsidRDefault="005327BA" w:rsidP="005327BA">
      <w:pPr>
        <w:numPr>
          <w:ilvl w:val="0"/>
          <w:numId w:val="20"/>
        </w:numPr>
        <w:ind w:left="567" w:hanging="567"/>
        <w:contextualSpacing/>
        <w:jc w:val="both"/>
        <w:rPr>
          <w:rFonts w:cs="Arial"/>
          <w:szCs w:val="20"/>
          <w:lang w:eastAsia="sl-SI"/>
        </w:rPr>
      </w:pPr>
      <w:r w:rsidRPr="005327BA">
        <w:rPr>
          <w:rFonts w:cs="Arial"/>
          <w:szCs w:val="20"/>
          <w:lang w:eastAsia="sl-SI"/>
        </w:rPr>
        <w:t>Vzpostavljena bo informacijska točka v lokalnem okolju, kjer bo predstavnik investitorja na razpo</w:t>
      </w:r>
      <w:r w:rsidR="00C50A9D">
        <w:rPr>
          <w:rFonts w:cs="Arial"/>
          <w:szCs w:val="20"/>
          <w:lang w:eastAsia="sl-SI"/>
        </w:rPr>
        <w:t>lago za podrobnejše informacije</w:t>
      </w:r>
      <w:r w:rsidRPr="005327BA">
        <w:rPr>
          <w:rFonts w:cs="Arial"/>
          <w:szCs w:val="20"/>
          <w:lang w:eastAsia="sl-SI"/>
        </w:rPr>
        <w:t xml:space="preserve"> o investiciji najmanj enkrat mesečno. </w:t>
      </w:r>
      <w:proofErr w:type="spellStart"/>
      <w:r w:rsidRPr="005327BA">
        <w:rPr>
          <w:rFonts w:cs="Arial"/>
          <w:szCs w:val="20"/>
          <w:lang w:eastAsia="sl-SI"/>
        </w:rPr>
        <w:t>Info</w:t>
      </w:r>
      <w:proofErr w:type="spellEnd"/>
      <w:r w:rsidRPr="005327BA">
        <w:rPr>
          <w:rFonts w:cs="Arial"/>
          <w:szCs w:val="20"/>
          <w:lang w:eastAsia="sl-SI"/>
        </w:rPr>
        <w:t xml:space="preserve"> točka se nahaja na sedežu Občine Šoštanj, Trg svobode 12, 3325 Šoštanj.</w:t>
      </w:r>
    </w:p>
    <w:p w:rsidR="005327BA" w:rsidRPr="005327BA" w:rsidRDefault="005327BA" w:rsidP="005327BA">
      <w:pPr>
        <w:ind w:right="-1"/>
        <w:jc w:val="both"/>
        <w:rPr>
          <w:rFonts w:cs="Arial"/>
          <w:snapToGrid w:val="0"/>
          <w:color w:val="000000"/>
          <w:spacing w:val="-2"/>
          <w:szCs w:val="20"/>
        </w:rPr>
      </w:pPr>
    </w:p>
    <w:p w:rsidR="005327BA" w:rsidRPr="005327BA" w:rsidRDefault="005327BA" w:rsidP="005327BA">
      <w:pPr>
        <w:ind w:right="-1"/>
        <w:jc w:val="both"/>
        <w:rPr>
          <w:rFonts w:cs="Arial"/>
          <w:snapToGrid w:val="0"/>
          <w:color w:val="000000"/>
          <w:spacing w:val="-2"/>
          <w:szCs w:val="20"/>
        </w:rPr>
      </w:pPr>
    </w:p>
    <w:p w:rsidR="00E130AD" w:rsidRPr="005327BA" w:rsidRDefault="00E130AD" w:rsidP="005327BA">
      <w:pPr>
        <w:tabs>
          <w:tab w:val="left" w:pos="1134"/>
          <w:tab w:val="center" w:pos="4320"/>
          <w:tab w:val="right" w:pos="8640"/>
        </w:tabs>
        <w:jc w:val="both"/>
        <w:rPr>
          <w:rFonts w:cs="Arial"/>
          <w:b/>
          <w:snapToGrid w:val="0"/>
          <w:spacing w:val="-2"/>
          <w:szCs w:val="20"/>
        </w:rPr>
      </w:pPr>
      <w:bookmarkStart w:id="1" w:name="_GoBack"/>
      <w:bookmarkEnd w:id="1"/>
    </w:p>
    <w:p w:rsidR="009C7E23" w:rsidRPr="005327BA" w:rsidRDefault="009C7E23" w:rsidP="005327BA">
      <w:pPr>
        <w:tabs>
          <w:tab w:val="left" w:pos="7920"/>
        </w:tabs>
        <w:autoSpaceDE w:val="0"/>
        <w:autoSpaceDN w:val="0"/>
        <w:adjustRightInd w:val="0"/>
        <w:ind w:left="3400"/>
        <w:rPr>
          <w:rFonts w:cs="Arial"/>
          <w:color w:val="000000"/>
          <w:szCs w:val="20"/>
        </w:rPr>
      </w:pPr>
    </w:p>
    <w:p w:rsidR="003B102D" w:rsidRPr="005327BA" w:rsidRDefault="003B102D" w:rsidP="005327BA">
      <w:pPr>
        <w:tabs>
          <w:tab w:val="left" w:pos="7920"/>
        </w:tabs>
        <w:autoSpaceDE w:val="0"/>
        <w:autoSpaceDN w:val="0"/>
        <w:adjustRightInd w:val="0"/>
        <w:rPr>
          <w:rFonts w:cs="Arial"/>
          <w:color w:val="000000"/>
          <w:szCs w:val="20"/>
        </w:rPr>
      </w:pPr>
    </w:p>
    <w:p w:rsidR="003B102D" w:rsidRPr="005327BA" w:rsidRDefault="003B102D" w:rsidP="005327BA">
      <w:pPr>
        <w:tabs>
          <w:tab w:val="left" w:pos="7920"/>
        </w:tabs>
        <w:autoSpaceDE w:val="0"/>
        <w:autoSpaceDN w:val="0"/>
        <w:adjustRightInd w:val="0"/>
        <w:ind w:left="3400"/>
        <w:rPr>
          <w:rFonts w:cs="Arial"/>
          <w:color w:val="000000"/>
          <w:szCs w:val="20"/>
        </w:rPr>
      </w:pPr>
    </w:p>
    <w:p w:rsidR="009C7E23" w:rsidRPr="005327BA" w:rsidRDefault="009C7E23" w:rsidP="005327BA">
      <w:pPr>
        <w:tabs>
          <w:tab w:val="left" w:pos="7920"/>
        </w:tabs>
        <w:autoSpaceDE w:val="0"/>
        <w:autoSpaceDN w:val="0"/>
        <w:adjustRightInd w:val="0"/>
        <w:ind w:left="3400" w:firstLine="1136"/>
        <w:rPr>
          <w:rFonts w:cs="Arial"/>
          <w:color w:val="000000"/>
          <w:szCs w:val="20"/>
          <w:lang w:eastAsia="sl-SI"/>
        </w:rPr>
      </w:pPr>
      <w:r w:rsidRPr="005327BA">
        <w:rPr>
          <w:rFonts w:cs="Arial"/>
          <w:color w:val="000000"/>
          <w:szCs w:val="20"/>
        </w:rPr>
        <w:t>Barbara Kolenko Helbl</w:t>
      </w:r>
    </w:p>
    <w:p w:rsidR="009C7E23" w:rsidRPr="005327BA" w:rsidRDefault="009C7E23" w:rsidP="005327BA">
      <w:pPr>
        <w:autoSpaceDE w:val="0"/>
        <w:autoSpaceDN w:val="0"/>
        <w:adjustRightInd w:val="0"/>
        <w:ind w:left="3402" w:firstLine="1136"/>
        <w:rPr>
          <w:rFonts w:cs="Arial"/>
          <w:color w:val="000000"/>
          <w:szCs w:val="20"/>
        </w:rPr>
      </w:pPr>
      <w:r w:rsidRPr="005327BA">
        <w:rPr>
          <w:rFonts w:cs="Arial"/>
          <w:color w:val="000000"/>
          <w:szCs w:val="20"/>
        </w:rPr>
        <w:t>generalna sekretarka</w:t>
      </w:r>
    </w:p>
    <w:p w:rsidR="00E130AD" w:rsidRPr="005327BA" w:rsidRDefault="00E130AD" w:rsidP="005327BA">
      <w:pPr>
        <w:tabs>
          <w:tab w:val="left" w:pos="1134"/>
          <w:tab w:val="center" w:pos="4320"/>
          <w:tab w:val="right" w:pos="8640"/>
        </w:tabs>
        <w:jc w:val="both"/>
        <w:rPr>
          <w:rFonts w:cs="Arial"/>
          <w:szCs w:val="20"/>
        </w:rPr>
      </w:pPr>
    </w:p>
    <w:sectPr w:rsidR="00E130AD" w:rsidRPr="005327BA" w:rsidSect="005C3E50">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7C" w:rsidRDefault="00DA4D7C" w:rsidP="00767987">
      <w:pPr>
        <w:spacing w:line="240" w:lineRule="auto"/>
      </w:pPr>
      <w:r>
        <w:separator/>
      </w:r>
    </w:p>
  </w:endnote>
  <w:endnote w:type="continuationSeparator" w:id="0">
    <w:p w:rsidR="00DA4D7C" w:rsidRDefault="00DA4D7C"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Frutiger">
    <w:altName w:val="Times New Roman"/>
    <w:charset w:val="EE"/>
    <w:family w:val="swiss"/>
    <w:pitch w:val="variable"/>
    <w:sig w:usb0="00000005"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C5" w:rsidRDefault="00131EC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766ADC">
          <w:rPr>
            <w:noProof/>
          </w:rPr>
          <w:t>4</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7C" w:rsidRDefault="00DA4D7C" w:rsidP="00767987">
      <w:pPr>
        <w:spacing w:line="240" w:lineRule="auto"/>
      </w:pPr>
      <w:r>
        <w:separator/>
      </w:r>
    </w:p>
  </w:footnote>
  <w:footnote w:type="continuationSeparator" w:id="0">
    <w:p w:rsidR="00DA4D7C" w:rsidRDefault="00DA4D7C"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C5" w:rsidRDefault="00131EC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C5" w:rsidRDefault="00131EC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E39"/>
    <w:multiLevelType w:val="hybridMultilevel"/>
    <w:tmpl w:val="EB604502"/>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 w15:restartNumberingAfterBreak="0">
    <w:nsid w:val="1AB30C84"/>
    <w:multiLevelType w:val="hybridMultilevel"/>
    <w:tmpl w:val="DDD4C49E"/>
    <w:lvl w:ilvl="0" w:tplc="0424000F">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C00547C"/>
    <w:multiLevelType w:val="hybridMultilevel"/>
    <w:tmpl w:val="D57C9248"/>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3" w15:restartNumberingAfterBreak="0">
    <w:nsid w:val="1E137EAE"/>
    <w:multiLevelType w:val="hybridMultilevel"/>
    <w:tmpl w:val="00A8AAA8"/>
    <w:lvl w:ilvl="0" w:tplc="77521EFC">
      <w:start w:val="1"/>
      <w:numFmt w:val="upperRoman"/>
      <w:lvlText w:val="%1."/>
      <w:lvlJc w:val="left"/>
      <w:pPr>
        <w:tabs>
          <w:tab w:val="num" w:pos="357"/>
        </w:tabs>
        <w:ind w:left="0" w:firstLine="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13E094A"/>
    <w:multiLevelType w:val="hybridMultilevel"/>
    <w:tmpl w:val="2EE43856"/>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5" w15:restartNumberingAfterBreak="0">
    <w:nsid w:val="2ADA1D48"/>
    <w:multiLevelType w:val="hybridMultilevel"/>
    <w:tmpl w:val="5F769E34"/>
    <w:lvl w:ilvl="0" w:tplc="819EF7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277537"/>
    <w:multiLevelType w:val="hybridMultilevel"/>
    <w:tmpl w:val="18DE6490"/>
    <w:lvl w:ilvl="0" w:tplc="0A28F758">
      <w:start w:val="1"/>
      <w:numFmt w:val="bullet"/>
      <w:pStyle w:val="PROnastevanjecrtica"/>
      <w:lvlText w:val=""/>
      <w:lvlJc w:val="left"/>
      <w:pPr>
        <w:tabs>
          <w:tab w:val="num" w:pos="473"/>
        </w:tabs>
        <w:ind w:left="473" w:hanging="397"/>
      </w:pPr>
      <w:rPr>
        <w:rFonts w:ascii="Symbol" w:hAnsi="Symbol" w:hint="default"/>
      </w:rPr>
    </w:lvl>
    <w:lvl w:ilvl="1" w:tplc="DEE6BE32">
      <w:start w:val="1"/>
      <w:numFmt w:val="bullet"/>
      <w:lvlText w:val=""/>
      <w:lvlJc w:val="left"/>
      <w:pPr>
        <w:tabs>
          <w:tab w:val="num" w:pos="1516"/>
        </w:tabs>
        <w:ind w:left="1516" w:hanging="360"/>
      </w:pPr>
      <w:rPr>
        <w:rFonts w:ascii="Symbol" w:hAnsi="Symbol" w:hint="default"/>
      </w:rPr>
    </w:lvl>
    <w:lvl w:ilvl="2" w:tplc="B5CAAAA8">
      <w:start w:val="3"/>
      <w:numFmt w:val="decimal"/>
      <w:lvlText w:val="%3"/>
      <w:lvlJc w:val="left"/>
      <w:pPr>
        <w:tabs>
          <w:tab w:val="num" w:pos="2416"/>
        </w:tabs>
        <w:ind w:left="2416" w:hanging="360"/>
      </w:pPr>
      <w:rPr>
        <w:rFonts w:hint="default"/>
      </w:rPr>
    </w:lvl>
    <w:lvl w:ilvl="3" w:tplc="CD5E16D6">
      <w:start w:val="61"/>
      <w:numFmt w:val="bullet"/>
      <w:lvlText w:val="-"/>
      <w:lvlJc w:val="left"/>
      <w:pPr>
        <w:tabs>
          <w:tab w:val="num" w:pos="2956"/>
        </w:tabs>
        <w:ind w:left="2956" w:hanging="360"/>
      </w:pPr>
      <w:rPr>
        <w:rFonts w:ascii="Arial" w:eastAsia="Times New Roman" w:hAnsi="Arial" w:cs="Arial" w:hint="default"/>
        <w:w w:val="100"/>
      </w:rPr>
    </w:lvl>
    <w:lvl w:ilvl="4" w:tplc="04240019" w:tentative="1">
      <w:start w:val="1"/>
      <w:numFmt w:val="lowerLetter"/>
      <w:lvlText w:val="%5."/>
      <w:lvlJc w:val="left"/>
      <w:pPr>
        <w:tabs>
          <w:tab w:val="num" w:pos="3676"/>
        </w:tabs>
        <w:ind w:left="3676" w:hanging="360"/>
      </w:pPr>
    </w:lvl>
    <w:lvl w:ilvl="5" w:tplc="0424001B" w:tentative="1">
      <w:start w:val="1"/>
      <w:numFmt w:val="lowerRoman"/>
      <w:lvlText w:val="%6."/>
      <w:lvlJc w:val="right"/>
      <w:pPr>
        <w:tabs>
          <w:tab w:val="num" w:pos="4396"/>
        </w:tabs>
        <w:ind w:left="4396" w:hanging="180"/>
      </w:pPr>
    </w:lvl>
    <w:lvl w:ilvl="6" w:tplc="0424000F" w:tentative="1">
      <w:start w:val="1"/>
      <w:numFmt w:val="decimal"/>
      <w:lvlText w:val="%7."/>
      <w:lvlJc w:val="left"/>
      <w:pPr>
        <w:tabs>
          <w:tab w:val="num" w:pos="5116"/>
        </w:tabs>
        <w:ind w:left="5116" w:hanging="360"/>
      </w:pPr>
    </w:lvl>
    <w:lvl w:ilvl="7" w:tplc="04240019" w:tentative="1">
      <w:start w:val="1"/>
      <w:numFmt w:val="lowerLetter"/>
      <w:lvlText w:val="%8."/>
      <w:lvlJc w:val="left"/>
      <w:pPr>
        <w:tabs>
          <w:tab w:val="num" w:pos="5836"/>
        </w:tabs>
        <w:ind w:left="5836" w:hanging="360"/>
      </w:pPr>
    </w:lvl>
    <w:lvl w:ilvl="8" w:tplc="0424001B" w:tentative="1">
      <w:start w:val="1"/>
      <w:numFmt w:val="lowerRoman"/>
      <w:lvlText w:val="%9."/>
      <w:lvlJc w:val="right"/>
      <w:pPr>
        <w:tabs>
          <w:tab w:val="num" w:pos="6556"/>
        </w:tabs>
        <w:ind w:left="6556" w:hanging="180"/>
      </w:pPr>
    </w:lvl>
  </w:abstractNum>
  <w:abstractNum w:abstractNumId="7" w15:restartNumberingAfterBreak="0">
    <w:nsid w:val="350B26D3"/>
    <w:multiLevelType w:val="hybridMultilevel"/>
    <w:tmpl w:val="1AA22A90"/>
    <w:lvl w:ilvl="0" w:tplc="04240019">
      <w:start w:val="1"/>
      <w:numFmt w:val="lowerLetter"/>
      <w:lvlText w:val="%1."/>
      <w:lvlJc w:val="left"/>
      <w:pPr>
        <w:tabs>
          <w:tab w:val="num" w:pos="567"/>
        </w:tabs>
        <w:ind w:left="567" w:hanging="567"/>
      </w:pPr>
      <w:rPr>
        <w:rFonts w:hint="default"/>
        <w:b w:val="0"/>
        <w:i w:val="0"/>
        <w:strike w:val="0"/>
        <w:sz w:val="18"/>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92211"/>
    <w:multiLevelType w:val="hybridMultilevel"/>
    <w:tmpl w:val="3D5A2D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6723C9"/>
    <w:multiLevelType w:val="hybridMultilevel"/>
    <w:tmpl w:val="14009A0E"/>
    <w:lvl w:ilvl="0" w:tplc="819EF7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24A1F"/>
    <w:multiLevelType w:val="hybridMultilevel"/>
    <w:tmpl w:val="94CE2D84"/>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2" w15:restartNumberingAfterBreak="0">
    <w:nsid w:val="42AA34E9"/>
    <w:multiLevelType w:val="hybridMultilevel"/>
    <w:tmpl w:val="78887838"/>
    <w:lvl w:ilvl="0" w:tplc="7EE6B3AA">
      <w:start w:val="1"/>
      <w:numFmt w:val="bullet"/>
      <w:lvlText w:val=""/>
      <w:lvlJc w:val="left"/>
      <w:pPr>
        <w:ind w:left="1512" w:hanging="360"/>
      </w:pPr>
      <w:rPr>
        <w:rFonts w:ascii="Symbol" w:hAnsi="Symbol"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3" w15:restartNumberingAfterBreak="0">
    <w:nsid w:val="475A7BD3"/>
    <w:multiLevelType w:val="hybridMultilevel"/>
    <w:tmpl w:val="68528768"/>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4"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39F4047"/>
    <w:multiLevelType w:val="hybridMultilevel"/>
    <w:tmpl w:val="00EE0DDA"/>
    <w:lvl w:ilvl="0" w:tplc="DDFC8F00">
      <w:start w:val="1"/>
      <w:numFmt w:val="bullet"/>
      <w:pStyle w:val="alineja"/>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3F05C07"/>
    <w:multiLevelType w:val="hybridMultilevel"/>
    <w:tmpl w:val="85FEE54C"/>
    <w:lvl w:ilvl="0" w:tplc="BEFC76A2">
      <w:start w:val="1"/>
      <w:numFmt w:val="bullet"/>
      <w:lvlText w:val="­"/>
      <w:lvlJc w:val="left"/>
      <w:pPr>
        <w:ind w:left="1512" w:hanging="360"/>
      </w:pPr>
      <w:rPr>
        <w:rFonts w:ascii="Courier New" w:hAnsi="Courier New" w:hint="default"/>
      </w:rPr>
    </w:lvl>
    <w:lvl w:ilvl="1" w:tplc="04240003">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17"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251E7"/>
    <w:multiLevelType w:val="hybridMultilevel"/>
    <w:tmpl w:val="47004610"/>
    <w:lvl w:ilvl="0" w:tplc="29003BEC">
      <w:start w:val="1"/>
      <w:numFmt w:val="decimal"/>
      <w:lvlText w:val="%1."/>
      <w:lvlJc w:val="left"/>
      <w:pPr>
        <w:tabs>
          <w:tab w:val="num" w:pos="567"/>
        </w:tabs>
        <w:ind w:left="567" w:hanging="567"/>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0" w15:restartNumberingAfterBreak="0">
    <w:nsid w:val="738F0509"/>
    <w:multiLevelType w:val="hybridMultilevel"/>
    <w:tmpl w:val="EE387AD4"/>
    <w:lvl w:ilvl="0" w:tplc="1CE00F58">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7"/>
  </w:num>
  <w:num w:numId="4">
    <w:abstractNumId w:val="20"/>
  </w:num>
  <w:num w:numId="5">
    <w:abstractNumId w:val="3"/>
  </w:num>
  <w:num w:numId="6">
    <w:abstractNumId w:val="8"/>
  </w:num>
  <w:num w:numId="7">
    <w:abstractNumId w:val="6"/>
  </w:num>
  <w:num w:numId="8">
    <w:abstractNumId w:val="1"/>
  </w:num>
  <w:num w:numId="9">
    <w:abstractNumId w:val="18"/>
  </w:num>
  <w:num w:numId="10">
    <w:abstractNumId w:val="12"/>
  </w:num>
  <w:num w:numId="11">
    <w:abstractNumId w:val="5"/>
  </w:num>
  <w:num w:numId="12">
    <w:abstractNumId w:val="10"/>
  </w:num>
  <w:num w:numId="13">
    <w:abstractNumId w:val="4"/>
  </w:num>
  <w:num w:numId="14">
    <w:abstractNumId w:val="0"/>
  </w:num>
  <w:num w:numId="15">
    <w:abstractNumId w:val="16"/>
  </w:num>
  <w:num w:numId="16">
    <w:abstractNumId w:val="2"/>
  </w:num>
  <w:num w:numId="17">
    <w:abstractNumId w:val="13"/>
  </w:num>
  <w:num w:numId="18">
    <w:abstractNumId w:val="11"/>
  </w:num>
  <w:num w:numId="19">
    <w:abstractNumId w:val="15"/>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63C8C"/>
    <w:rsid w:val="000718ED"/>
    <w:rsid w:val="000B3FE6"/>
    <w:rsid w:val="000E21B2"/>
    <w:rsid w:val="00131EC5"/>
    <w:rsid w:val="00204177"/>
    <w:rsid w:val="002B0D95"/>
    <w:rsid w:val="003636EA"/>
    <w:rsid w:val="00366636"/>
    <w:rsid w:val="00367DE6"/>
    <w:rsid w:val="003B102D"/>
    <w:rsid w:val="003B3E19"/>
    <w:rsid w:val="003D697F"/>
    <w:rsid w:val="004076C6"/>
    <w:rsid w:val="004914E2"/>
    <w:rsid w:val="004B7F76"/>
    <w:rsid w:val="004E1BCE"/>
    <w:rsid w:val="005127C7"/>
    <w:rsid w:val="005327BA"/>
    <w:rsid w:val="00552E5C"/>
    <w:rsid w:val="005729C6"/>
    <w:rsid w:val="00592079"/>
    <w:rsid w:val="00595BA4"/>
    <w:rsid w:val="005C3E50"/>
    <w:rsid w:val="005D4A93"/>
    <w:rsid w:val="00682FFE"/>
    <w:rsid w:val="00692EB6"/>
    <w:rsid w:val="006C60F7"/>
    <w:rsid w:val="006C69EC"/>
    <w:rsid w:val="006D17B5"/>
    <w:rsid w:val="007039D0"/>
    <w:rsid w:val="00710C90"/>
    <w:rsid w:val="00717DDF"/>
    <w:rsid w:val="00766ADC"/>
    <w:rsid w:val="00767987"/>
    <w:rsid w:val="00772C45"/>
    <w:rsid w:val="0077639E"/>
    <w:rsid w:val="00782FD4"/>
    <w:rsid w:val="007C64D0"/>
    <w:rsid w:val="007D04F3"/>
    <w:rsid w:val="007E1990"/>
    <w:rsid w:val="008009A0"/>
    <w:rsid w:val="00811140"/>
    <w:rsid w:val="00834401"/>
    <w:rsid w:val="00882315"/>
    <w:rsid w:val="008A27E1"/>
    <w:rsid w:val="008A3F94"/>
    <w:rsid w:val="008D30A8"/>
    <w:rsid w:val="00904A48"/>
    <w:rsid w:val="00924096"/>
    <w:rsid w:val="009421A9"/>
    <w:rsid w:val="00980294"/>
    <w:rsid w:val="009C5392"/>
    <w:rsid w:val="009C7E23"/>
    <w:rsid w:val="009E0C40"/>
    <w:rsid w:val="00A50E4B"/>
    <w:rsid w:val="00A715DC"/>
    <w:rsid w:val="00A71733"/>
    <w:rsid w:val="00A9231D"/>
    <w:rsid w:val="00AE2C84"/>
    <w:rsid w:val="00B01357"/>
    <w:rsid w:val="00B40287"/>
    <w:rsid w:val="00B44E95"/>
    <w:rsid w:val="00B75843"/>
    <w:rsid w:val="00B96677"/>
    <w:rsid w:val="00C0216A"/>
    <w:rsid w:val="00C50A9D"/>
    <w:rsid w:val="00C941C6"/>
    <w:rsid w:val="00CA1460"/>
    <w:rsid w:val="00CC6C23"/>
    <w:rsid w:val="00CD6077"/>
    <w:rsid w:val="00CE234E"/>
    <w:rsid w:val="00D004F7"/>
    <w:rsid w:val="00D02973"/>
    <w:rsid w:val="00D476F0"/>
    <w:rsid w:val="00DA09BE"/>
    <w:rsid w:val="00DA4D7C"/>
    <w:rsid w:val="00DE3553"/>
    <w:rsid w:val="00E12BFE"/>
    <w:rsid w:val="00E130AD"/>
    <w:rsid w:val="00E30579"/>
    <w:rsid w:val="00E37094"/>
    <w:rsid w:val="00F31B1A"/>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aliases w:val="Header-PR,Header1"/>
    <w:basedOn w:val="Navaden"/>
    <w:link w:val="GlavaZnak"/>
    <w:unhideWhenUsed/>
    <w:rsid w:val="00767987"/>
    <w:pPr>
      <w:tabs>
        <w:tab w:val="center" w:pos="4536"/>
        <w:tab w:val="right" w:pos="9072"/>
      </w:tabs>
      <w:spacing w:line="240" w:lineRule="auto"/>
    </w:pPr>
  </w:style>
  <w:style w:type="character" w:customStyle="1" w:styleId="GlavaZnak">
    <w:name w:val="Glava Znak"/>
    <w:aliases w:val="Header-PR Znak,Header1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Preglednica,za tekst"/>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aliases w:val="Preglednica Znak,za tekst Znak"/>
    <w:basedOn w:val="Privzetapisavaodstavka"/>
    <w:link w:val="Odstavekseznama"/>
    <w:uiPriority w:val="34"/>
    <w:qFormat/>
    <w:locked/>
    <w:rsid w:val="005D4A93"/>
    <w:rPr>
      <w:rFonts w:ascii="Arial" w:eastAsia="Times New Roman" w:hAnsi="Arial" w:cs="Times New Roman"/>
      <w:sz w:val="20"/>
      <w:szCs w:val="24"/>
    </w:rPr>
  </w:style>
  <w:style w:type="paragraph" w:styleId="Telobesedila">
    <w:name w:val="Body Text"/>
    <w:basedOn w:val="Navaden"/>
    <w:link w:val="TelobesedilaZnak"/>
    <w:rsid w:val="00E130AD"/>
    <w:pPr>
      <w:tabs>
        <w:tab w:val="left" w:pos="284"/>
        <w:tab w:val="left" w:pos="567"/>
        <w:tab w:val="left" w:pos="851"/>
        <w:tab w:val="left" w:pos="1134"/>
        <w:tab w:val="left" w:pos="1418"/>
      </w:tabs>
      <w:spacing w:line="240" w:lineRule="auto"/>
      <w:jc w:val="both"/>
    </w:pPr>
    <w:rPr>
      <w:szCs w:val="20"/>
      <w:lang w:eastAsia="sl-SI"/>
    </w:rPr>
  </w:style>
  <w:style w:type="character" w:customStyle="1" w:styleId="TelobesedilaZnak">
    <w:name w:val="Telo besedila Znak"/>
    <w:basedOn w:val="Privzetapisavaodstavka"/>
    <w:link w:val="Telobesedila"/>
    <w:rsid w:val="00E130AD"/>
    <w:rPr>
      <w:rFonts w:ascii="Arial" w:eastAsia="Times New Roman" w:hAnsi="Arial" w:cs="Times New Roman"/>
      <w:sz w:val="20"/>
      <w:szCs w:val="20"/>
      <w:lang w:eastAsia="sl-SI"/>
    </w:rPr>
  </w:style>
  <w:style w:type="paragraph" w:styleId="Seznam">
    <w:name w:val="List"/>
    <w:basedOn w:val="Telobesedila"/>
    <w:rsid w:val="00E130AD"/>
    <w:pPr>
      <w:tabs>
        <w:tab w:val="left" w:pos="1701"/>
        <w:tab w:val="left" w:pos="2268"/>
        <w:tab w:val="left" w:pos="2835"/>
        <w:tab w:val="left" w:pos="3402"/>
      </w:tabs>
      <w:spacing w:line="259" w:lineRule="auto"/>
      <w:ind w:left="284" w:hanging="284"/>
    </w:pPr>
    <w:rPr>
      <w:rFonts w:ascii="Frutiger" w:hAnsi="Frutiger"/>
      <w:w w:val="90"/>
      <w:sz w:val="22"/>
      <w:lang w:val="x-none" w:eastAsia="x-none"/>
    </w:rPr>
  </w:style>
  <w:style w:type="paragraph" w:customStyle="1" w:styleId="nastevanje">
    <w:name w:val="nastevanje"/>
    <w:basedOn w:val="Navaden"/>
    <w:autoRedefine/>
    <w:rsid w:val="00E130AD"/>
    <w:pPr>
      <w:tabs>
        <w:tab w:val="left" w:pos="993"/>
      </w:tabs>
      <w:autoSpaceDE w:val="0"/>
      <w:autoSpaceDN w:val="0"/>
      <w:adjustRightInd w:val="0"/>
      <w:spacing w:after="240" w:line="276" w:lineRule="auto"/>
      <w:contextualSpacing/>
      <w:jc w:val="both"/>
    </w:pPr>
    <w:rPr>
      <w:rFonts w:asciiTheme="minorHAnsi" w:eastAsiaTheme="minorHAnsi" w:hAnsiTheme="minorHAnsi" w:cs="Arial"/>
      <w:sz w:val="22"/>
      <w:szCs w:val="22"/>
    </w:rPr>
  </w:style>
  <w:style w:type="paragraph" w:customStyle="1" w:styleId="PROnastevanjecrtica">
    <w:name w:val="PRO_nastevanje_crtica"/>
    <w:basedOn w:val="Navaden"/>
    <w:link w:val="PROnastevanjecrticaZnak"/>
    <w:rsid w:val="00E130AD"/>
    <w:pPr>
      <w:numPr>
        <w:numId w:val="7"/>
      </w:numPr>
      <w:spacing w:line="300" w:lineRule="exact"/>
      <w:jc w:val="both"/>
    </w:pPr>
    <w:rPr>
      <w:bCs/>
      <w:sz w:val="22"/>
      <w:szCs w:val="22"/>
      <w:lang w:val="x-none" w:eastAsia="x-none"/>
    </w:rPr>
  </w:style>
  <w:style w:type="character" w:customStyle="1" w:styleId="PROnastevanjecrticaZnak">
    <w:name w:val="PRO_nastevanje_crtica Znak"/>
    <w:link w:val="PROnastevanjecrtica"/>
    <w:rsid w:val="00E130AD"/>
    <w:rPr>
      <w:rFonts w:ascii="Arial" w:eastAsia="Times New Roman" w:hAnsi="Arial" w:cs="Times New Roman"/>
      <w:bCs/>
      <w:lang w:val="x-none" w:eastAsia="x-none"/>
    </w:rPr>
  </w:style>
  <w:style w:type="character" w:styleId="Hiperpovezava">
    <w:name w:val="Hyperlink"/>
    <w:rsid w:val="005327BA"/>
    <w:rPr>
      <w:color w:val="0000FF"/>
      <w:u w:val="single"/>
    </w:rPr>
  </w:style>
  <w:style w:type="paragraph" w:customStyle="1" w:styleId="alineja">
    <w:name w:val="alineja"/>
    <w:basedOn w:val="Odstavekseznama"/>
    <w:qFormat/>
    <w:rsid w:val="005327BA"/>
    <w:pPr>
      <w:numPr>
        <w:numId w:val="19"/>
      </w:numPr>
      <w:spacing w:line="240" w:lineRule="auto"/>
      <w:jc w:val="both"/>
    </w:pPr>
    <w:rPr>
      <w:rFonts w:eastAsiaTheme="minorHAnsi" w:cs="Arial"/>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13" Type="http://schemas.openxmlformats.org/officeDocument/2006/relationships/hyperlink" Target="http://www.uradni-list.si/1/objava.jsp?sop=2023-01-034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uradni-list.si/1/objava.jsp?sop=2021-01-3971" TargetMode="External"/><Relationship Id="rId12" Type="http://schemas.openxmlformats.org/officeDocument/2006/relationships/hyperlink" Target="http://www.uradni-list.si/1/objava.jsp?sop=2021-01-397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0694" TargetMode="External"/><Relationship Id="rId5" Type="http://schemas.openxmlformats.org/officeDocument/2006/relationships/footnotes" Target="footnotes.xml"/><Relationship Id="rId15" Type="http://schemas.openxmlformats.org/officeDocument/2006/relationships/hyperlink" Target="http://www.uradni-list.si/1/objava.jsp?sop=2023-01-2670" TargetMode="External"/><Relationship Id="rId23" Type="http://schemas.openxmlformats.org/officeDocument/2006/relationships/theme" Target="theme/theme1.xml"/><Relationship Id="rId10" Type="http://schemas.openxmlformats.org/officeDocument/2006/relationships/hyperlink" Target="http://www.uradni-list.si/1/objava.jsp?sop=2023-01-267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23-01-2478" TargetMode="External"/><Relationship Id="rId14" Type="http://schemas.openxmlformats.org/officeDocument/2006/relationships/hyperlink" Target="http://www.uradni-list.si/1/objava.jsp?sop=2023-01-247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1500</Words>
  <Characters>8555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Alja Uršula Štravs</cp:lastModifiedBy>
  <cp:revision>8</cp:revision>
  <dcterms:created xsi:type="dcterms:W3CDTF">2024-11-26T10:34:00Z</dcterms:created>
  <dcterms:modified xsi:type="dcterms:W3CDTF">2024-11-27T06:41:00Z</dcterms:modified>
</cp:coreProperties>
</file>