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F34FF5">
      <w:pPr>
        <w:pStyle w:val="datumtevilka"/>
        <w:rPr>
          <w:rFonts w:cs="Arial"/>
          <w:color w:val="000000"/>
        </w:rPr>
      </w:pPr>
    </w:p>
    <w:p w:rsidR="003636EA" w:rsidRDefault="003636EA" w:rsidP="00F34FF5">
      <w:pPr>
        <w:pStyle w:val="datumtevilka"/>
        <w:rPr>
          <w:rFonts w:cs="Arial"/>
          <w:color w:val="000000"/>
        </w:rPr>
      </w:pPr>
    </w:p>
    <w:p w:rsidR="003636EA" w:rsidRPr="002760DC" w:rsidRDefault="003636EA" w:rsidP="00F34FF5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34FF5">
      <w:pPr>
        <w:pStyle w:val="datumtevilka"/>
      </w:pPr>
      <w:r w:rsidRPr="002760DC">
        <w:t xml:space="preserve">Številka: </w:t>
      </w:r>
      <w:r w:rsidRPr="002760DC">
        <w:tab/>
      </w:r>
      <w:r w:rsidR="00FD3FF3">
        <w:rPr>
          <w:rFonts w:cs="Arial"/>
          <w:color w:val="000000"/>
        </w:rPr>
        <w:t>02400-5/2023/5</w:t>
      </w:r>
    </w:p>
    <w:p w:rsidR="003636EA" w:rsidRPr="002760DC" w:rsidRDefault="003636EA" w:rsidP="00F34FF5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D3FF3">
        <w:rPr>
          <w:rFonts w:cs="Arial"/>
          <w:color w:val="000000"/>
        </w:rPr>
        <w:t>4. 5. 2023</w:t>
      </w:r>
      <w:r w:rsidRPr="002760DC">
        <w:t xml:space="preserve"> </w:t>
      </w:r>
    </w:p>
    <w:p w:rsidR="003636EA" w:rsidRPr="002760DC" w:rsidRDefault="003636EA" w:rsidP="00F34FF5"/>
    <w:p w:rsidR="003636EA" w:rsidRDefault="003636EA" w:rsidP="00F34F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D22542" w:rsidP="00F34F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B1FEA">
        <w:rPr>
          <w:iCs/>
          <w:szCs w:val="20"/>
        </w:rPr>
        <w:t xml:space="preserve">Na podlagi šestega odstavka 21. člena Zakona o Vladi Republike Slovenije (Uradni list RS, </w:t>
      </w:r>
      <w:r w:rsidR="00F34FF5">
        <w:rPr>
          <w:iCs/>
          <w:szCs w:val="20"/>
        </w:rPr>
        <w:br/>
      </w:r>
      <w:r w:rsidRPr="006B1FEA">
        <w:rPr>
          <w:iCs/>
          <w:szCs w:val="20"/>
        </w:rPr>
        <w:t xml:space="preserve">št. 24/05 – uradno prečiščeno besedilo, 109/08, 38/10 – ZUKN, 8/12, </w:t>
      </w:r>
      <w:r w:rsidR="00CC3DB0">
        <w:rPr>
          <w:iCs/>
          <w:szCs w:val="20"/>
        </w:rPr>
        <w:t>21/13, 47/13</w:t>
      </w:r>
      <w:r>
        <w:rPr>
          <w:iCs/>
          <w:szCs w:val="20"/>
        </w:rPr>
        <w:t xml:space="preserve"> – ZDU-1G, 65/14, </w:t>
      </w:r>
      <w:r w:rsidRPr="006B1FEA">
        <w:rPr>
          <w:iCs/>
          <w:szCs w:val="20"/>
        </w:rPr>
        <w:t>55/17</w:t>
      </w:r>
      <w:r>
        <w:rPr>
          <w:iCs/>
          <w:szCs w:val="20"/>
        </w:rPr>
        <w:t xml:space="preserve"> </w:t>
      </w:r>
      <w:r w:rsidRPr="00314031">
        <w:rPr>
          <w:iCs/>
          <w:szCs w:val="20"/>
        </w:rPr>
        <w:t>in 163/22</w:t>
      </w:r>
      <w:r w:rsidRPr="006B1FEA">
        <w:rPr>
          <w:iCs/>
          <w:szCs w:val="20"/>
        </w:rPr>
        <w:t>)</w:t>
      </w:r>
      <w:r w:rsidR="00F34FF5">
        <w:rPr>
          <w:rFonts w:cs="Arial"/>
          <w:color w:val="000000"/>
          <w:szCs w:val="20"/>
        </w:rPr>
        <w:t xml:space="preserve"> 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FD3FF3">
        <w:rPr>
          <w:rFonts w:cs="Arial"/>
          <w:color w:val="000000"/>
          <w:szCs w:val="20"/>
        </w:rPr>
        <w:t>47.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FD3FF3">
        <w:rPr>
          <w:rFonts w:cs="Arial"/>
          <w:color w:val="000000"/>
          <w:szCs w:val="20"/>
        </w:rPr>
        <w:t>4. 5. 2023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D3FF3">
        <w:rPr>
          <w:rFonts w:cs="Arial"/>
          <w:color w:val="000000"/>
          <w:szCs w:val="20"/>
        </w:rPr>
        <w:t>1.5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34F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34F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34FF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34F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34F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22542" w:rsidRPr="00256028" w:rsidRDefault="00D22542" w:rsidP="00F34FF5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6B1FEA">
        <w:rPr>
          <w:iCs/>
          <w:sz w:val="20"/>
          <w:szCs w:val="20"/>
        </w:rPr>
        <w:t xml:space="preserve">Vlada Republike Slovenije </w:t>
      </w:r>
      <w:r>
        <w:rPr>
          <w:iCs/>
          <w:sz w:val="20"/>
          <w:szCs w:val="20"/>
        </w:rPr>
        <w:t>se je seznanila</w:t>
      </w:r>
      <w:r w:rsidRPr="004E0A1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s</w:t>
      </w:r>
      <w:r w:rsidRPr="004E0A1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Šestim</w:t>
      </w:r>
      <w:r w:rsidRPr="004E0A12">
        <w:rPr>
          <w:iCs/>
          <w:sz w:val="20"/>
          <w:szCs w:val="20"/>
        </w:rPr>
        <w:t xml:space="preserve"> poročilom Projektnega sveta za civilni nadzor nad izvajanjem projekta izgradnje druge</w:t>
      </w:r>
      <w:r>
        <w:rPr>
          <w:iCs/>
          <w:sz w:val="20"/>
          <w:szCs w:val="20"/>
        </w:rPr>
        <w:t xml:space="preserve">ga tira železniške proge </w:t>
      </w:r>
      <w:r w:rsidRPr="00D03EF6">
        <w:rPr>
          <w:iCs/>
          <w:sz w:val="20"/>
          <w:szCs w:val="20"/>
        </w:rPr>
        <w:t xml:space="preserve">Divača–Koper in </w:t>
      </w:r>
      <w:r>
        <w:rPr>
          <w:iCs/>
          <w:sz w:val="20"/>
          <w:szCs w:val="20"/>
        </w:rPr>
        <w:t>o</w:t>
      </w:r>
      <w:r w:rsidRPr="00D03EF6">
        <w:rPr>
          <w:iCs/>
          <w:sz w:val="20"/>
          <w:szCs w:val="20"/>
        </w:rPr>
        <w:t>dziv</w:t>
      </w:r>
      <w:r>
        <w:rPr>
          <w:iCs/>
          <w:sz w:val="20"/>
          <w:szCs w:val="20"/>
        </w:rPr>
        <w:t>om</w:t>
      </w:r>
      <w:r w:rsidRPr="00D03EF6">
        <w:rPr>
          <w:iCs/>
          <w:sz w:val="20"/>
          <w:szCs w:val="20"/>
        </w:rPr>
        <w:t xml:space="preserve"> 2TDK, Družba za razvoj projekta, d.</w:t>
      </w:r>
      <w:r w:rsidR="00F34FF5">
        <w:rPr>
          <w:iCs/>
          <w:sz w:val="20"/>
          <w:szCs w:val="20"/>
        </w:rPr>
        <w:t xml:space="preserve"> </w:t>
      </w:r>
      <w:r w:rsidRPr="00D03EF6">
        <w:rPr>
          <w:iCs/>
          <w:sz w:val="20"/>
          <w:szCs w:val="20"/>
        </w:rPr>
        <w:t>o.</w:t>
      </w:r>
      <w:r w:rsidR="00F34FF5">
        <w:rPr>
          <w:iCs/>
          <w:sz w:val="20"/>
          <w:szCs w:val="20"/>
        </w:rPr>
        <w:t xml:space="preserve"> </w:t>
      </w:r>
      <w:r w:rsidRPr="00D03EF6">
        <w:rPr>
          <w:iCs/>
          <w:sz w:val="20"/>
          <w:szCs w:val="20"/>
        </w:rPr>
        <w:t xml:space="preserve">o. na </w:t>
      </w:r>
      <w:r w:rsidRPr="007539FF">
        <w:rPr>
          <w:iCs/>
          <w:sz w:val="20"/>
          <w:szCs w:val="20"/>
        </w:rPr>
        <w:t xml:space="preserve">Šesto poročilo Projektnega sveta za civilni nadzor nad izvajanjem projekta izgradnje drugega tira železniške proge Divača–Koper </w:t>
      </w:r>
      <w:r w:rsidRPr="00D03EF6">
        <w:rPr>
          <w:iCs/>
          <w:sz w:val="20"/>
          <w:szCs w:val="20"/>
        </w:rPr>
        <w:t>ter sprejela Stališče k Šestemu poročilu Projektnega sveta za civilni nadzor nad izvajanjem projekta izgradnje</w:t>
      </w:r>
      <w:r w:rsidRPr="004E0A12">
        <w:rPr>
          <w:iCs/>
          <w:sz w:val="20"/>
          <w:szCs w:val="20"/>
        </w:rPr>
        <w:t xml:space="preserve"> druge</w:t>
      </w:r>
      <w:r>
        <w:rPr>
          <w:iCs/>
          <w:sz w:val="20"/>
          <w:szCs w:val="20"/>
        </w:rPr>
        <w:t>ga tira železniške proge Divača–</w:t>
      </w:r>
      <w:r w:rsidRPr="004E0A12">
        <w:rPr>
          <w:iCs/>
          <w:sz w:val="20"/>
          <w:szCs w:val="20"/>
        </w:rPr>
        <w:t>Koper</w:t>
      </w:r>
      <w:r w:rsidRPr="00256028">
        <w:rPr>
          <w:iCs/>
          <w:sz w:val="20"/>
          <w:szCs w:val="20"/>
        </w:rPr>
        <w:t xml:space="preserve">. </w:t>
      </w:r>
    </w:p>
    <w:p w:rsidR="00D22542" w:rsidRDefault="00D22542" w:rsidP="00F34FF5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D22542" w:rsidRDefault="00D22542" w:rsidP="00F34FF5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636EA" w:rsidRPr="002760DC" w:rsidRDefault="003636EA" w:rsidP="00F34F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34F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34FF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FD3FF3" w:rsidP="00F34FF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FD3FF3" w:rsidP="00F34FF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34F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34F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34FF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94DAF" w:rsidRDefault="00894DAF" w:rsidP="00F34F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94DAF" w:rsidRDefault="00C028C0" w:rsidP="00F34F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Prilogi</w:t>
      </w:r>
      <w:r w:rsidR="00985BCC">
        <w:rPr>
          <w:rFonts w:cs="Arial"/>
          <w:color w:val="000000"/>
          <w:szCs w:val="20"/>
        </w:rPr>
        <w:t>:</w:t>
      </w:r>
    </w:p>
    <w:p w:rsidR="00985BCC" w:rsidRPr="00256028" w:rsidRDefault="00985BCC" w:rsidP="00985BCC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D03EF6">
        <w:rPr>
          <w:iCs/>
          <w:sz w:val="20"/>
          <w:szCs w:val="20"/>
        </w:rPr>
        <w:t>Stališče k Šestemu poročilu Projektnega sveta za civilni nadzor nad izvajanjem projekta izgradnje</w:t>
      </w:r>
      <w:r w:rsidRPr="004E0A12">
        <w:rPr>
          <w:iCs/>
          <w:sz w:val="20"/>
          <w:szCs w:val="20"/>
        </w:rPr>
        <w:t xml:space="preserve"> druge</w:t>
      </w:r>
      <w:r>
        <w:rPr>
          <w:iCs/>
          <w:sz w:val="20"/>
          <w:szCs w:val="20"/>
        </w:rPr>
        <w:t>ga tira železniške proge Divača–</w:t>
      </w:r>
      <w:r w:rsidRPr="004E0A12">
        <w:rPr>
          <w:iCs/>
          <w:sz w:val="20"/>
          <w:szCs w:val="20"/>
        </w:rPr>
        <w:t>Koper</w:t>
      </w:r>
      <w:r w:rsidR="00FE7919">
        <w:rPr>
          <w:iCs/>
          <w:sz w:val="20"/>
          <w:szCs w:val="20"/>
        </w:rPr>
        <w:t xml:space="preserve"> </w:t>
      </w:r>
      <w:r w:rsidR="00C028C0">
        <w:rPr>
          <w:iCs/>
          <w:sz w:val="20"/>
          <w:szCs w:val="20"/>
        </w:rPr>
        <w:t>s prilogo</w:t>
      </w:r>
      <w:bookmarkStart w:id="0" w:name="_GoBack"/>
      <w:bookmarkEnd w:id="0"/>
    </w:p>
    <w:p w:rsidR="00985BCC" w:rsidRPr="00985BCC" w:rsidRDefault="00985BCC" w:rsidP="00985BCC">
      <w:pPr>
        <w:pStyle w:val="Odstavekseznama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94DAF" w:rsidRDefault="00894DAF" w:rsidP="00F34F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34F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D3FF3" w:rsidRDefault="00F34FF5" w:rsidP="00F34F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F34FF5" w:rsidRDefault="002C1B53" w:rsidP="00F34FF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iCs/>
          <w:szCs w:val="20"/>
        </w:rPr>
        <w:t>Projektni svet</w:t>
      </w:r>
      <w:r w:rsidR="00F34FF5" w:rsidRPr="004E0A12">
        <w:rPr>
          <w:iCs/>
          <w:szCs w:val="20"/>
        </w:rPr>
        <w:t xml:space="preserve"> za civilni nadzor nad izvajanjem projekta izgradnje druge</w:t>
      </w:r>
      <w:r w:rsidR="00F34FF5">
        <w:rPr>
          <w:iCs/>
          <w:szCs w:val="20"/>
        </w:rPr>
        <w:t xml:space="preserve">ga tira železniške proge </w:t>
      </w:r>
      <w:r w:rsidR="00F34FF5" w:rsidRPr="00D03EF6">
        <w:rPr>
          <w:iCs/>
          <w:szCs w:val="20"/>
        </w:rPr>
        <w:t>Divača–Koper</w:t>
      </w:r>
    </w:p>
    <w:p w:rsidR="00FD3FF3" w:rsidRDefault="00FD3FF3" w:rsidP="00F34F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="00F34FF5">
        <w:rPr>
          <w:rFonts w:cs="Arial"/>
          <w:color w:val="000000"/>
          <w:szCs w:val="20"/>
        </w:rPr>
        <w:t>inistrstvo za finance</w:t>
      </w:r>
    </w:p>
    <w:p w:rsidR="005E6B12" w:rsidRDefault="005E6B12" w:rsidP="00F34F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naravne vire in prostor</w:t>
      </w:r>
    </w:p>
    <w:p w:rsidR="00FD3FF3" w:rsidRDefault="00FD3FF3" w:rsidP="00F34F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</w:t>
      </w:r>
      <w:r w:rsidR="00F34FF5">
        <w:rPr>
          <w:rFonts w:cs="Arial"/>
          <w:color w:val="000000"/>
          <w:szCs w:val="20"/>
        </w:rPr>
        <w:t>lovenije za zakonodajo</w:t>
      </w:r>
    </w:p>
    <w:p w:rsidR="00FD3FF3" w:rsidRDefault="00FD3FF3" w:rsidP="00F34F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F34FF5">
        <w:rPr>
          <w:rFonts w:cs="Arial"/>
          <w:color w:val="000000"/>
          <w:szCs w:val="20"/>
        </w:rPr>
        <w:t>ike Slovenije za komuniciranje</w:t>
      </w:r>
    </w:p>
    <w:p w:rsidR="003636EA" w:rsidRPr="002760DC" w:rsidRDefault="00FD3FF3" w:rsidP="00F34F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2TDK, Družb</w:t>
      </w:r>
      <w:r w:rsidR="00F34FF5">
        <w:rPr>
          <w:rFonts w:cs="Arial"/>
          <w:color w:val="000000"/>
          <w:szCs w:val="20"/>
        </w:rPr>
        <w:t>a za razvoj projekta, d. o. o.</w:t>
      </w:r>
    </w:p>
    <w:p w:rsidR="009E0C40" w:rsidRPr="002760DC" w:rsidRDefault="009E0C40" w:rsidP="00F34F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81" w:rsidRDefault="00125481" w:rsidP="00767987">
      <w:pPr>
        <w:spacing w:line="240" w:lineRule="auto"/>
      </w:pPr>
      <w:r>
        <w:separator/>
      </w:r>
    </w:p>
  </w:endnote>
  <w:endnote w:type="continuationSeparator" w:id="0">
    <w:p w:rsidR="00125481" w:rsidRDefault="0012548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7D" w:rsidRDefault="0041337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B12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81" w:rsidRDefault="00125481" w:rsidP="00767987">
      <w:pPr>
        <w:spacing w:line="240" w:lineRule="auto"/>
      </w:pPr>
      <w:r>
        <w:separator/>
      </w:r>
    </w:p>
  </w:footnote>
  <w:footnote w:type="continuationSeparator" w:id="0">
    <w:p w:rsidR="00125481" w:rsidRDefault="0012548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7D" w:rsidRDefault="0041337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7D" w:rsidRDefault="0041337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D098D"/>
    <w:multiLevelType w:val="hybridMultilevel"/>
    <w:tmpl w:val="B2EED9C0"/>
    <w:lvl w:ilvl="0" w:tplc="C3F62A4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25481"/>
    <w:rsid w:val="00204177"/>
    <w:rsid w:val="002C1B53"/>
    <w:rsid w:val="003636EA"/>
    <w:rsid w:val="00366636"/>
    <w:rsid w:val="00367DE6"/>
    <w:rsid w:val="003B3E19"/>
    <w:rsid w:val="004076C6"/>
    <w:rsid w:val="0041337D"/>
    <w:rsid w:val="004914E2"/>
    <w:rsid w:val="004B7F76"/>
    <w:rsid w:val="004E1BCE"/>
    <w:rsid w:val="00552E5C"/>
    <w:rsid w:val="005729C6"/>
    <w:rsid w:val="00592079"/>
    <w:rsid w:val="005C3E50"/>
    <w:rsid w:val="005E6B12"/>
    <w:rsid w:val="00682FFE"/>
    <w:rsid w:val="00692EB6"/>
    <w:rsid w:val="006C69EC"/>
    <w:rsid w:val="006D17B5"/>
    <w:rsid w:val="006E5F7F"/>
    <w:rsid w:val="007039D0"/>
    <w:rsid w:val="00710C90"/>
    <w:rsid w:val="00717DDF"/>
    <w:rsid w:val="007328B6"/>
    <w:rsid w:val="00767987"/>
    <w:rsid w:val="00782FD4"/>
    <w:rsid w:val="007D04F3"/>
    <w:rsid w:val="00811140"/>
    <w:rsid w:val="00834401"/>
    <w:rsid w:val="00894DAF"/>
    <w:rsid w:val="008A27E1"/>
    <w:rsid w:val="008A3F94"/>
    <w:rsid w:val="008D30A8"/>
    <w:rsid w:val="00904A48"/>
    <w:rsid w:val="00980294"/>
    <w:rsid w:val="00985BCC"/>
    <w:rsid w:val="009C5392"/>
    <w:rsid w:val="009E0C40"/>
    <w:rsid w:val="00A50E4B"/>
    <w:rsid w:val="00A715DC"/>
    <w:rsid w:val="00A9231D"/>
    <w:rsid w:val="00B01357"/>
    <w:rsid w:val="00B40287"/>
    <w:rsid w:val="00C0216A"/>
    <w:rsid w:val="00C028C0"/>
    <w:rsid w:val="00CA1460"/>
    <w:rsid w:val="00CC3DB0"/>
    <w:rsid w:val="00CC6C23"/>
    <w:rsid w:val="00CD6077"/>
    <w:rsid w:val="00CE234E"/>
    <w:rsid w:val="00D02973"/>
    <w:rsid w:val="00D22542"/>
    <w:rsid w:val="00D2263D"/>
    <w:rsid w:val="00D84480"/>
    <w:rsid w:val="00DA09BE"/>
    <w:rsid w:val="00DD0471"/>
    <w:rsid w:val="00DE3553"/>
    <w:rsid w:val="00E30579"/>
    <w:rsid w:val="00E37094"/>
    <w:rsid w:val="00F34FF5"/>
    <w:rsid w:val="00F46C2D"/>
    <w:rsid w:val="00FB00DD"/>
    <w:rsid w:val="00FB7777"/>
    <w:rsid w:val="00FD3FF3"/>
    <w:rsid w:val="00FE168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D22542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22542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11</cp:revision>
  <dcterms:created xsi:type="dcterms:W3CDTF">2023-05-03T12:42:00Z</dcterms:created>
  <dcterms:modified xsi:type="dcterms:W3CDTF">2023-05-03T13:27:00Z</dcterms:modified>
</cp:coreProperties>
</file>