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6EA" w:rsidRDefault="003636EA" w:rsidP="00F34FF5">
      <w:pPr>
        <w:pStyle w:val="datumtevilka"/>
        <w:rPr>
          <w:rFonts w:cs="Arial"/>
          <w:color w:val="000000"/>
        </w:rPr>
      </w:pPr>
    </w:p>
    <w:p w:rsidR="003636EA" w:rsidRDefault="003636EA" w:rsidP="00F34FF5">
      <w:pPr>
        <w:pStyle w:val="datumtevilka"/>
        <w:rPr>
          <w:rFonts w:cs="Arial"/>
          <w:color w:val="000000"/>
        </w:rPr>
      </w:pPr>
    </w:p>
    <w:p w:rsidR="003636EA" w:rsidRPr="002760DC" w:rsidRDefault="003636EA" w:rsidP="00F34FF5">
      <w:pPr>
        <w:pStyle w:val="datumtevilka"/>
      </w:pPr>
      <w:r w:rsidRPr="002760DC">
        <w:rPr>
          <w:rFonts w:cs="Arial"/>
          <w:color w:val="000000"/>
        </w:rPr>
        <w:tab/>
      </w:r>
    </w:p>
    <w:p w:rsidR="003636EA" w:rsidRPr="002760DC" w:rsidRDefault="003636EA" w:rsidP="00F34FF5">
      <w:pPr>
        <w:pStyle w:val="datumtevilka"/>
      </w:pPr>
      <w:r w:rsidRPr="002760DC">
        <w:t xml:space="preserve">Številka: </w:t>
      </w:r>
      <w:r w:rsidRPr="002760DC">
        <w:tab/>
      </w:r>
      <w:r w:rsidR="00FD3FF3">
        <w:rPr>
          <w:rFonts w:cs="Arial"/>
          <w:color w:val="000000"/>
        </w:rPr>
        <w:t>02400-5/2023/5</w:t>
      </w:r>
    </w:p>
    <w:p w:rsidR="003636EA" w:rsidRPr="002760DC" w:rsidRDefault="003636EA" w:rsidP="00F34FF5">
      <w:pPr>
        <w:pStyle w:val="datumtevilka"/>
      </w:pPr>
      <w:r>
        <w:t>Datum:</w:t>
      </w:r>
      <w:r w:rsidRPr="002760DC">
        <w:t xml:space="preserve"> </w:t>
      </w:r>
      <w:r w:rsidRPr="002760DC">
        <w:tab/>
      </w:r>
      <w:r w:rsidR="00FD3FF3">
        <w:rPr>
          <w:rFonts w:cs="Arial"/>
          <w:color w:val="000000"/>
        </w:rPr>
        <w:t>4. 5. 2023</w:t>
      </w:r>
      <w:r w:rsidRPr="002760DC">
        <w:t xml:space="preserve"> </w:t>
      </w:r>
    </w:p>
    <w:p w:rsidR="003636EA" w:rsidRPr="002760DC" w:rsidRDefault="003636EA" w:rsidP="00F34FF5"/>
    <w:p w:rsidR="003636EA" w:rsidRDefault="003636EA" w:rsidP="00F34FF5">
      <w:pPr>
        <w:autoSpaceDE w:val="0"/>
        <w:autoSpaceDN w:val="0"/>
        <w:adjustRightInd w:val="0"/>
        <w:rPr>
          <w:rFonts w:cs="Arial"/>
          <w:color w:val="000000"/>
          <w:szCs w:val="20"/>
        </w:rPr>
      </w:pPr>
    </w:p>
    <w:p w:rsidR="00AF2BC7" w:rsidRDefault="00F154A7" w:rsidP="00F154A7">
      <w:pPr>
        <w:jc w:val="center"/>
        <w:rPr>
          <w:rFonts w:cs="Arial"/>
          <w:b/>
          <w:szCs w:val="20"/>
        </w:rPr>
      </w:pPr>
      <w:r>
        <w:rPr>
          <w:rFonts w:cs="Arial"/>
          <w:b/>
          <w:szCs w:val="20"/>
        </w:rPr>
        <w:t xml:space="preserve">STALIŠČE K ŠESTEMU POROČILU PROJEKTNEGA SVETA </w:t>
      </w:r>
    </w:p>
    <w:p w:rsidR="00F154A7" w:rsidRDefault="00F154A7" w:rsidP="00F154A7">
      <w:pPr>
        <w:jc w:val="center"/>
        <w:rPr>
          <w:rFonts w:cs="Arial"/>
          <w:b/>
          <w:szCs w:val="20"/>
        </w:rPr>
      </w:pPr>
      <w:r>
        <w:rPr>
          <w:rFonts w:cs="Arial"/>
          <w:b/>
          <w:szCs w:val="20"/>
        </w:rPr>
        <w:t>ZA CIVILNI NADZOR NAD IZVAJANJEM PROJEKTA IZGRADNJE DRUGEGA TIRA ŽELEZNIŠKE PROGE DIVAČA–KOPER</w:t>
      </w:r>
    </w:p>
    <w:p w:rsidR="00F154A7" w:rsidRDefault="00F154A7" w:rsidP="00F154A7">
      <w:pPr>
        <w:jc w:val="both"/>
        <w:rPr>
          <w:rFonts w:cs="Arial"/>
          <w:szCs w:val="20"/>
        </w:rPr>
      </w:pPr>
    </w:p>
    <w:p w:rsidR="00F154A7" w:rsidRDefault="00F154A7" w:rsidP="00F154A7">
      <w:pPr>
        <w:jc w:val="both"/>
        <w:rPr>
          <w:rFonts w:cs="Arial"/>
          <w:szCs w:val="20"/>
        </w:rPr>
      </w:pPr>
    </w:p>
    <w:p w:rsidR="00F154A7" w:rsidRDefault="00F154A7" w:rsidP="00F154A7">
      <w:pPr>
        <w:jc w:val="both"/>
        <w:rPr>
          <w:rFonts w:cs="Arial"/>
          <w:szCs w:val="20"/>
        </w:rPr>
      </w:pPr>
      <w:r>
        <w:rPr>
          <w:rFonts w:cs="Arial"/>
          <w:szCs w:val="20"/>
        </w:rPr>
        <w:t>Projektni svet za civilni nadzor nad izvajanjem projekta izgradnje drugega tira železniške pr</w:t>
      </w:r>
      <w:r w:rsidR="00AD3CCD">
        <w:rPr>
          <w:rFonts w:cs="Arial"/>
          <w:szCs w:val="20"/>
        </w:rPr>
        <w:t>oge Divača−Koper (v nadaljnjem besedilu</w:t>
      </w:r>
      <w:r>
        <w:rPr>
          <w:rFonts w:cs="Arial"/>
          <w:szCs w:val="20"/>
        </w:rPr>
        <w:t>: PSCN) je 24. 2. 2023 sprejel svoje Šesto poročilo o izvajanju projekta izgradnje drugega tira Divača−Koper, s katerim sezn</w:t>
      </w:r>
      <w:r w:rsidR="00AD3CCD">
        <w:rPr>
          <w:rFonts w:cs="Arial"/>
          <w:szCs w:val="20"/>
        </w:rPr>
        <w:t>anja Vlado Republike Slovenije (v nadaljnjem besedilu</w:t>
      </w:r>
      <w:r>
        <w:rPr>
          <w:rFonts w:cs="Arial"/>
          <w:szCs w:val="20"/>
        </w:rPr>
        <w:t>: vlada). Šesto poročilo se n</w:t>
      </w:r>
      <w:r w:rsidR="00AD3CCD">
        <w:rPr>
          <w:rFonts w:cs="Arial"/>
          <w:szCs w:val="20"/>
        </w:rPr>
        <w:t>anaša na časovno obdobje od 28. </w:t>
      </w:r>
      <w:r>
        <w:rPr>
          <w:rFonts w:cs="Arial"/>
          <w:szCs w:val="20"/>
        </w:rPr>
        <w:t>februarja 2022 do 24. februarja 2023.</w:t>
      </w:r>
    </w:p>
    <w:p w:rsidR="00F154A7" w:rsidRDefault="00F154A7" w:rsidP="00F154A7">
      <w:pPr>
        <w:jc w:val="both"/>
        <w:rPr>
          <w:rFonts w:cs="Arial"/>
          <w:szCs w:val="20"/>
        </w:rPr>
      </w:pPr>
    </w:p>
    <w:p w:rsidR="00F154A7" w:rsidRDefault="00F154A7" w:rsidP="00F154A7">
      <w:pPr>
        <w:jc w:val="both"/>
        <w:rPr>
          <w:rFonts w:cs="Arial"/>
          <w:szCs w:val="20"/>
        </w:rPr>
      </w:pPr>
      <w:r>
        <w:rPr>
          <w:rFonts w:cs="Arial"/>
          <w:szCs w:val="20"/>
        </w:rPr>
        <w:t xml:space="preserve">V svojem poročilu PSCN vlado seznanja s svojo oceno izvajanja projekta v zadevnem obdobju, pri čemer navaja odprta vprašanja, ki so bila obravnavana v okviru civilnega nadzora, ter podaja svoje ugotovitve in predloge. </w:t>
      </w:r>
    </w:p>
    <w:p w:rsidR="00F154A7" w:rsidRDefault="00F154A7" w:rsidP="00F154A7">
      <w:pPr>
        <w:jc w:val="both"/>
        <w:rPr>
          <w:rFonts w:cs="Arial"/>
          <w:szCs w:val="20"/>
        </w:rPr>
      </w:pPr>
    </w:p>
    <w:p w:rsidR="00F154A7" w:rsidRDefault="00F154A7" w:rsidP="00F154A7">
      <w:pPr>
        <w:jc w:val="both"/>
        <w:rPr>
          <w:rFonts w:cs="Arial"/>
          <w:szCs w:val="20"/>
        </w:rPr>
      </w:pPr>
      <w:r>
        <w:rPr>
          <w:rFonts w:cs="Arial"/>
          <w:szCs w:val="20"/>
        </w:rPr>
        <w:t>Vlada sprejema k poročilu PSCN naslednje stališče:</w:t>
      </w:r>
    </w:p>
    <w:p w:rsidR="00F154A7" w:rsidRDefault="00F154A7" w:rsidP="00F154A7">
      <w:pPr>
        <w:jc w:val="both"/>
        <w:rPr>
          <w:rFonts w:cs="Arial"/>
          <w:szCs w:val="20"/>
        </w:rPr>
      </w:pPr>
    </w:p>
    <w:p w:rsidR="00F154A7" w:rsidRDefault="00E276CE" w:rsidP="00F154A7">
      <w:pPr>
        <w:jc w:val="both"/>
        <w:rPr>
          <w:rFonts w:cs="Arial"/>
          <w:szCs w:val="20"/>
        </w:rPr>
      </w:pPr>
      <w:r>
        <w:rPr>
          <w:rFonts w:cs="Arial"/>
          <w:szCs w:val="20"/>
        </w:rPr>
        <w:t>PSCN v uvodu najprej pojasni</w:t>
      </w:r>
      <w:r w:rsidR="00F154A7">
        <w:rPr>
          <w:rFonts w:cs="Arial"/>
          <w:szCs w:val="20"/>
        </w:rPr>
        <w:t xml:space="preserve"> namen ustanovitve in delovanja PSCN, nato pa povzame glavne težave po mnenju PSCN, med katerimi izpostavlja zlasti nadgradnjo proge Divača–Koper v dvotirno progo, problematiko električnega napajanja na progi Divača–Koper, po mnenju PSCN neučinkovito sodelovanje med državnimi organi ter nedorečenost finančne konstrukcije projekta drugi tir Divača-Koper. V okviru aktualne problematike PSCN opozarja tudi na težave v zvezi z izvedbo projekta, ki vplivajo na lokalne prebivalce v bližini gradbišča.</w:t>
      </w:r>
    </w:p>
    <w:p w:rsidR="00F154A7" w:rsidRDefault="00F154A7" w:rsidP="00F154A7">
      <w:pPr>
        <w:jc w:val="both"/>
        <w:rPr>
          <w:rFonts w:cs="Arial"/>
          <w:szCs w:val="20"/>
        </w:rPr>
      </w:pPr>
    </w:p>
    <w:p w:rsidR="00F154A7" w:rsidRDefault="00F154A7" w:rsidP="00F154A7">
      <w:pPr>
        <w:jc w:val="both"/>
        <w:rPr>
          <w:rFonts w:cs="Arial"/>
          <w:szCs w:val="20"/>
        </w:rPr>
      </w:pPr>
      <w:r>
        <w:rPr>
          <w:rFonts w:cs="Arial"/>
          <w:szCs w:val="20"/>
        </w:rPr>
        <w:t>Glavna pripomba PSCN v zvezi z delovanjem vlade se nanaša na postopek izvedbe dvotirnosti, zlasti postopek prostorskega umeščanja vzporednega levega tira. Čeprav je želja civilne javnosti po čimprejšnji izvedbi dvotirnosti razumljiva in utemeljena, pa je na tem mestu potrebno opozorilo, da je bil PSCN ustanovljen predvsem z namenom civilnega nadzora nad izvajanjem projekta, katerega investitor je 2TDK, Družba za razvoj pr</w:t>
      </w:r>
      <w:r w:rsidR="00E276CE">
        <w:rPr>
          <w:rFonts w:cs="Arial"/>
          <w:szCs w:val="20"/>
        </w:rPr>
        <w:t>ojekta, d. o. o. (v nadaljnjem besedilu</w:t>
      </w:r>
      <w:r>
        <w:rPr>
          <w:rFonts w:cs="Arial"/>
          <w:szCs w:val="20"/>
        </w:rPr>
        <w:t xml:space="preserve">: </w:t>
      </w:r>
      <w:r w:rsidR="00E276CE">
        <w:rPr>
          <w:rFonts w:cs="Arial"/>
          <w:szCs w:val="20"/>
        </w:rPr>
        <w:br/>
      </w:r>
      <w:r>
        <w:rPr>
          <w:rFonts w:cs="Arial"/>
          <w:szCs w:val="20"/>
        </w:rPr>
        <w:t>2TDK</w:t>
      </w:r>
      <w:r w:rsidR="003578C4">
        <w:rPr>
          <w:rFonts w:cs="Arial"/>
          <w:szCs w:val="20"/>
        </w:rPr>
        <w:t>,</w:t>
      </w:r>
      <w:r>
        <w:rPr>
          <w:rFonts w:cs="Arial"/>
          <w:szCs w:val="20"/>
        </w:rPr>
        <w:t xml:space="preserve"> d. o. o.)</w:t>
      </w:r>
      <w:r w:rsidR="00146F35">
        <w:rPr>
          <w:rFonts w:cs="Arial"/>
          <w:szCs w:val="20"/>
        </w:rPr>
        <w:t>,</w:t>
      </w:r>
      <w:r>
        <w:rPr>
          <w:rFonts w:cs="Arial"/>
          <w:szCs w:val="20"/>
        </w:rPr>
        <w:t xml:space="preserve"> v smislu spremljanja zakonite, ekonomične in transparentne izvedbe projekta. V zvezi z nadgradnjo projekta v dvotirno progo vlada pripom</w:t>
      </w:r>
      <w:r w:rsidR="00146F35">
        <w:rPr>
          <w:rFonts w:cs="Arial"/>
          <w:szCs w:val="20"/>
        </w:rPr>
        <w:t>i</w:t>
      </w:r>
      <w:r>
        <w:rPr>
          <w:rFonts w:cs="Arial"/>
          <w:szCs w:val="20"/>
        </w:rPr>
        <w:t xml:space="preserve">nja, da se dvotirna proga izvaja v okviru sprejete </w:t>
      </w:r>
      <w:proofErr w:type="spellStart"/>
      <w:r>
        <w:rPr>
          <w:rFonts w:cs="Arial"/>
          <w:szCs w:val="20"/>
        </w:rPr>
        <w:t>časovnice</w:t>
      </w:r>
      <w:proofErr w:type="spellEnd"/>
      <w:r>
        <w:rPr>
          <w:rFonts w:cs="Arial"/>
          <w:szCs w:val="20"/>
        </w:rPr>
        <w:t xml:space="preserve"> in skladno s postopkom, določenim s predpisi. Po mnenju vlade je sodelovanje vseh pristojnih udeleženih državnih organov ustrezno, zakonito in skladno s </w:t>
      </w:r>
      <w:proofErr w:type="spellStart"/>
      <w:r>
        <w:rPr>
          <w:rFonts w:cs="Arial"/>
          <w:szCs w:val="20"/>
        </w:rPr>
        <w:t>časovnico</w:t>
      </w:r>
      <w:proofErr w:type="spellEnd"/>
      <w:r>
        <w:rPr>
          <w:rFonts w:cs="Arial"/>
          <w:szCs w:val="20"/>
        </w:rPr>
        <w:t xml:space="preserve">, pri medsebojnem sodelovanju pa ni bilo zaznati morebitnih težav. </w:t>
      </w:r>
    </w:p>
    <w:p w:rsidR="00F154A7" w:rsidRDefault="00F154A7" w:rsidP="00F154A7">
      <w:pPr>
        <w:jc w:val="both"/>
        <w:rPr>
          <w:rFonts w:cs="Arial"/>
          <w:szCs w:val="20"/>
        </w:rPr>
      </w:pPr>
    </w:p>
    <w:p w:rsidR="00F154A7" w:rsidRDefault="00F154A7" w:rsidP="00F154A7">
      <w:pPr>
        <w:jc w:val="both"/>
        <w:rPr>
          <w:rFonts w:cs="Arial"/>
          <w:szCs w:val="20"/>
        </w:rPr>
      </w:pPr>
      <w:r>
        <w:rPr>
          <w:rFonts w:cs="Arial"/>
          <w:szCs w:val="20"/>
        </w:rPr>
        <w:t xml:space="preserve">Kar zadeva ustreznost finančne konstrukcije projekta, vlada opozarja, da je potrebna </w:t>
      </w:r>
      <w:proofErr w:type="spellStart"/>
      <w:r>
        <w:rPr>
          <w:rFonts w:cs="Arial"/>
          <w:szCs w:val="20"/>
        </w:rPr>
        <w:t>novelacija</w:t>
      </w:r>
      <w:proofErr w:type="spellEnd"/>
      <w:r>
        <w:rPr>
          <w:rFonts w:cs="Arial"/>
          <w:szCs w:val="20"/>
        </w:rPr>
        <w:t xml:space="preserve"> investicijskega programa, tako zaradi preveritve investicijske vrednosti projekta, predvsem pa v smislu optimizacije </w:t>
      </w:r>
      <w:proofErr w:type="spellStart"/>
      <w:r>
        <w:rPr>
          <w:rFonts w:cs="Arial"/>
          <w:szCs w:val="20"/>
        </w:rPr>
        <w:t>časovnice</w:t>
      </w:r>
      <w:proofErr w:type="spellEnd"/>
      <w:r>
        <w:rPr>
          <w:rFonts w:cs="Arial"/>
          <w:szCs w:val="20"/>
        </w:rPr>
        <w:t xml:space="preserve">. Vlada je zato 2. februarja 2023 prekinila obravnavo Druge </w:t>
      </w:r>
      <w:proofErr w:type="spellStart"/>
      <w:r>
        <w:rPr>
          <w:rFonts w:cs="Arial"/>
          <w:szCs w:val="20"/>
        </w:rPr>
        <w:t>novelacije</w:t>
      </w:r>
      <w:proofErr w:type="spellEnd"/>
      <w:r>
        <w:rPr>
          <w:rFonts w:cs="Arial"/>
          <w:szCs w:val="20"/>
        </w:rPr>
        <w:t xml:space="preserve"> investicijskega programa za projekt Drugi tir Divača–Koper (NIP2) zaradi dodatne preveritve ustreznosti predvidene </w:t>
      </w:r>
      <w:proofErr w:type="spellStart"/>
      <w:r>
        <w:rPr>
          <w:rFonts w:cs="Arial"/>
          <w:szCs w:val="20"/>
        </w:rPr>
        <w:t>časovnice</w:t>
      </w:r>
      <w:proofErr w:type="spellEnd"/>
      <w:r>
        <w:rPr>
          <w:rFonts w:cs="Arial"/>
          <w:szCs w:val="20"/>
        </w:rPr>
        <w:t xml:space="preserve"> izvedbe projekta, razlogov za znižanje rezerv za </w:t>
      </w:r>
      <w:r>
        <w:rPr>
          <w:rFonts w:cs="Arial"/>
          <w:szCs w:val="20"/>
        </w:rPr>
        <w:lastRenderedPageBreak/>
        <w:t xml:space="preserve">nepredvidene izdatke (brez nepredvidenih del) in ustreznosti načina izračuna spreminjanja investicijske vrednosti. </w:t>
      </w:r>
    </w:p>
    <w:p w:rsidR="00F154A7" w:rsidRDefault="00F154A7" w:rsidP="00F154A7">
      <w:pPr>
        <w:jc w:val="both"/>
        <w:rPr>
          <w:rFonts w:cs="Arial"/>
          <w:szCs w:val="20"/>
        </w:rPr>
      </w:pPr>
    </w:p>
    <w:p w:rsidR="00F154A7" w:rsidRDefault="00F154A7" w:rsidP="00F154A7">
      <w:pPr>
        <w:jc w:val="both"/>
        <w:rPr>
          <w:rFonts w:cs="Arial"/>
          <w:szCs w:val="20"/>
        </w:rPr>
      </w:pPr>
      <w:r>
        <w:rPr>
          <w:rFonts w:cs="Arial"/>
          <w:szCs w:val="20"/>
        </w:rPr>
        <w:t xml:space="preserve">V zvezi z vprašanjem elektrifikacije nove železniške povezave Divača–Koper vlada dodaja, da je bil že v letu 2011 na podlagi takrat veljavne zakonodaje projektiran enosmerni sistem napajanja vozne mreže napetosti 3kV z možnostjo kasnejšega prehoda napajanja na 25kV izmenično. </w:t>
      </w:r>
      <w:r>
        <w:rPr>
          <w:rFonts w:cs="Arial"/>
          <w:color w:val="000000"/>
          <w:szCs w:val="20"/>
        </w:rPr>
        <w:t>Elektrifikacija druge</w:t>
      </w:r>
      <w:r w:rsidR="00D1300B">
        <w:rPr>
          <w:rFonts w:cs="Arial"/>
          <w:color w:val="000000"/>
          <w:szCs w:val="20"/>
        </w:rPr>
        <w:t>ga tira železniške proge Divača–</w:t>
      </w:r>
      <w:r>
        <w:rPr>
          <w:rFonts w:cs="Arial"/>
          <w:color w:val="000000"/>
          <w:szCs w:val="20"/>
        </w:rPr>
        <w:t xml:space="preserve">Koper je predvidena s sistemom enosmerne napetosti 3 kV tako, kot so elektrificirane tudi druge glavne proge na javni železniški infrastrukturi v Republiki Sloveniji, pri čemer gre za sistem, uveljavljen tudi v številnih drugih evropskih državah. </w:t>
      </w:r>
      <w:r>
        <w:rPr>
          <w:rFonts w:cs="Arial"/>
          <w:szCs w:val="20"/>
        </w:rPr>
        <w:t>S predvidenimi rešitvami elektrifikacije n</w:t>
      </w:r>
      <w:r w:rsidR="00D1300B">
        <w:rPr>
          <w:rFonts w:cs="Arial"/>
          <w:szCs w:val="20"/>
        </w:rPr>
        <w:t>a novem železniškem tiru Divača–</w:t>
      </w:r>
      <w:r>
        <w:rPr>
          <w:rFonts w:cs="Arial"/>
          <w:szCs w:val="20"/>
        </w:rPr>
        <w:t xml:space="preserve">Koper se omogoča poenotenje pogojev obratovanja in vzdrževanja na celotnem omrežju, </w:t>
      </w:r>
      <w:r w:rsidR="00D1300B">
        <w:rPr>
          <w:rFonts w:cs="Arial"/>
          <w:szCs w:val="20"/>
        </w:rPr>
        <w:t>kar je v vse bolj kompleksnih</w:t>
      </w:r>
      <w:r>
        <w:rPr>
          <w:rFonts w:cs="Arial"/>
          <w:szCs w:val="20"/>
        </w:rPr>
        <w:t xml:space="preserve"> sistemih, ki se vgrajujejo, zelo pomembno. Z načrtovano izgradnjo dodatnega vzporednega tira, torej z dvotirnostjo nove proge, pa se bodo pogoji napajanja precej izboljšali, saj je mogoče za napajanje uporabiti tudi vozno omrežje in tirnice dodatnega tira, kar bi zmanjšalo padce napetosti in s tem izgube pri prenosu, omogočeno pa bi bilo tudi elektrodinamično zaviranje in s tem neposredno vračanje energije zavirajočih vlakov nasproti vozečim vlakom v vzponu. Trenutno Direkcija Republike Slovenije za infrastrukturo zaključuje postopek ponovnega javnega razpisa za izdelavo strokovnih podlag za odločitev o zamenjavi sistema napetosti vozne mreže iz 3kV na 25 kV na celotni javni železniški infrastrukturi. Ko bodo strokovne podlage izdelane (predvidoma v prvi polovici leta 2024), bodo sprejeti nadaljnji koraki o zamenjavi sistema vozne mreže na železniškem omrežju v Republiki Sloveniji, ki bodo usklajeni s sistemskim operaterjem prenosnega elektroenergetskega omrežja Republike Slovenije ter upravljavcem javne železniške infrastrukture.</w:t>
      </w:r>
    </w:p>
    <w:p w:rsidR="00F154A7" w:rsidRDefault="00F154A7" w:rsidP="00F154A7">
      <w:pPr>
        <w:jc w:val="both"/>
        <w:rPr>
          <w:rFonts w:cs="Arial"/>
          <w:szCs w:val="20"/>
        </w:rPr>
      </w:pPr>
    </w:p>
    <w:p w:rsidR="00F154A7" w:rsidRDefault="00F154A7" w:rsidP="00F154A7">
      <w:pPr>
        <w:jc w:val="both"/>
        <w:rPr>
          <w:rFonts w:cs="Arial"/>
          <w:szCs w:val="20"/>
        </w:rPr>
      </w:pPr>
      <w:r>
        <w:rPr>
          <w:rFonts w:cs="Arial"/>
          <w:szCs w:val="20"/>
        </w:rPr>
        <w:t>Glede vprašanj, ki se nanašajo na izvajanje projekta s strani investitorja projektnega podjetja 2TDK</w:t>
      </w:r>
      <w:r w:rsidR="00D1300B">
        <w:rPr>
          <w:rFonts w:cs="Arial"/>
          <w:szCs w:val="20"/>
        </w:rPr>
        <w:t>,</w:t>
      </w:r>
      <w:r>
        <w:rPr>
          <w:rFonts w:cs="Arial"/>
          <w:szCs w:val="20"/>
        </w:rPr>
        <w:t xml:space="preserve"> d. o. o., je ta pripravil svoj odziv, ki je v prilogi in v katerem podaja pojasnila k posameznim izpostavljenim vidikom. </w:t>
      </w:r>
    </w:p>
    <w:p w:rsidR="00F154A7" w:rsidRDefault="00F154A7" w:rsidP="00F154A7">
      <w:pPr>
        <w:jc w:val="both"/>
        <w:rPr>
          <w:rFonts w:cs="Arial"/>
          <w:szCs w:val="20"/>
        </w:rPr>
      </w:pPr>
    </w:p>
    <w:p w:rsidR="00F154A7" w:rsidRDefault="00F154A7" w:rsidP="00F154A7">
      <w:pPr>
        <w:jc w:val="both"/>
        <w:rPr>
          <w:rFonts w:cs="Arial"/>
          <w:szCs w:val="20"/>
        </w:rPr>
      </w:pPr>
      <w:r>
        <w:rPr>
          <w:rFonts w:cs="Arial"/>
          <w:szCs w:val="20"/>
        </w:rPr>
        <w:t>Opozorila PSCN glede težav za lokalne prebivalce v zvezi z izvajanjem projekta so relevantna in pristojna ministrstva jim posvečajo posebno pozornost. Investitorja, družbo 2TDK</w:t>
      </w:r>
      <w:r w:rsidR="004C6B13">
        <w:rPr>
          <w:rFonts w:cs="Arial"/>
          <w:szCs w:val="20"/>
        </w:rPr>
        <w:t>, d. o. o.,</w:t>
      </w:r>
      <w:bookmarkStart w:id="0" w:name="_GoBack"/>
      <w:bookmarkEnd w:id="0"/>
      <w:r>
        <w:rPr>
          <w:rFonts w:cs="Arial"/>
          <w:szCs w:val="20"/>
        </w:rPr>
        <w:t xml:space="preserve"> se opozarja k doslednemu spoštovanju predpisov in zavez iz prostorskega akta ter gradbenega dovoljenja. Določenim imisijam v času gradnje se ni mogoče povsem izogniti, potrebno pa je stalno sodelovanje in ustrezna komunikacija investitorja s prebivalci ter izvajanje potrebnih omilitvenih ukrepov.</w:t>
      </w:r>
    </w:p>
    <w:p w:rsidR="00D22542" w:rsidRDefault="00D22542" w:rsidP="00F34FF5">
      <w:pPr>
        <w:pStyle w:val="Neotevilenodstavek"/>
        <w:spacing w:before="0" w:after="0" w:line="260" w:lineRule="exact"/>
        <w:rPr>
          <w:iCs/>
          <w:sz w:val="20"/>
          <w:szCs w:val="20"/>
        </w:rPr>
      </w:pPr>
    </w:p>
    <w:p w:rsidR="003636EA" w:rsidRDefault="003636EA" w:rsidP="00F34FF5">
      <w:pPr>
        <w:tabs>
          <w:tab w:val="left" w:pos="7920"/>
        </w:tabs>
        <w:autoSpaceDE w:val="0"/>
        <w:autoSpaceDN w:val="0"/>
        <w:adjustRightInd w:val="0"/>
        <w:jc w:val="both"/>
        <w:rPr>
          <w:rFonts w:cs="Arial"/>
          <w:color w:val="000000"/>
          <w:szCs w:val="20"/>
        </w:rPr>
      </w:pPr>
    </w:p>
    <w:p w:rsidR="00F154A7" w:rsidRPr="002760DC" w:rsidRDefault="00F154A7" w:rsidP="00F34FF5">
      <w:pPr>
        <w:tabs>
          <w:tab w:val="left" w:pos="7920"/>
        </w:tabs>
        <w:autoSpaceDE w:val="0"/>
        <w:autoSpaceDN w:val="0"/>
        <w:adjustRightInd w:val="0"/>
        <w:jc w:val="both"/>
        <w:rPr>
          <w:rFonts w:cs="Arial"/>
          <w:color w:val="000000"/>
          <w:szCs w:val="20"/>
        </w:rPr>
      </w:pPr>
    </w:p>
    <w:p w:rsidR="003636EA" w:rsidRPr="002760DC" w:rsidRDefault="003636EA" w:rsidP="00F34FF5">
      <w:pPr>
        <w:tabs>
          <w:tab w:val="left" w:pos="7920"/>
        </w:tabs>
        <w:autoSpaceDE w:val="0"/>
        <w:autoSpaceDN w:val="0"/>
        <w:adjustRightInd w:val="0"/>
        <w:jc w:val="both"/>
        <w:rPr>
          <w:rFonts w:cs="Arial"/>
          <w:color w:val="000000"/>
          <w:szCs w:val="20"/>
        </w:rPr>
      </w:pPr>
    </w:p>
    <w:p w:rsidR="003636EA" w:rsidRDefault="003636EA" w:rsidP="00F34FF5">
      <w:pPr>
        <w:tabs>
          <w:tab w:val="left" w:pos="7920"/>
        </w:tabs>
        <w:autoSpaceDE w:val="0"/>
        <w:autoSpaceDN w:val="0"/>
        <w:adjustRightInd w:val="0"/>
        <w:ind w:left="3400"/>
        <w:rPr>
          <w:rFonts w:cs="Arial"/>
          <w:color w:val="000000"/>
          <w:szCs w:val="20"/>
        </w:rPr>
      </w:pPr>
    </w:p>
    <w:p w:rsidR="003636EA" w:rsidRDefault="00FD3FF3" w:rsidP="00F34FF5">
      <w:pPr>
        <w:tabs>
          <w:tab w:val="left" w:pos="7920"/>
        </w:tabs>
        <w:autoSpaceDE w:val="0"/>
        <w:autoSpaceDN w:val="0"/>
        <w:adjustRightInd w:val="0"/>
        <w:ind w:left="3400"/>
        <w:rPr>
          <w:rFonts w:cs="Arial"/>
          <w:color w:val="000000"/>
          <w:szCs w:val="20"/>
          <w:lang w:eastAsia="sl-SI"/>
        </w:rPr>
      </w:pPr>
      <w:r>
        <w:rPr>
          <w:rFonts w:cs="Arial"/>
          <w:color w:val="000000"/>
          <w:szCs w:val="20"/>
        </w:rPr>
        <w:t xml:space="preserve">Barbara Kolenko </w:t>
      </w:r>
      <w:proofErr w:type="spellStart"/>
      <w:r>
        <w:rPr>
          <w:rFonts w:cs="Arial"/>
          <w:color w:val="000000"/>
          <w:szCs w:val="20"/>
        </w:rPr>
        <w:t>Helbl</w:t>
      </w:r>
      <w:proofErr w:type="spellEnd"/>
    </w:p>
    <w:p w:rsidR="003636EA" w:rsidRPr="003314F7" w:rsidRDefault="00FD3FF3" w:rsidP="00F34FF5">
      <w:pPr>
        <w:autoSpaceDE w:val="0"/>
        <w:autoSpaceDN w:val="0"/>
        <w:adjustRightInd w:val="0"/>
        <w:ind w:left="3402"/>
        <w:rPr>
          <w:rFonts w:cs="Arial"/>
          <w:color w:val="000000"/>
          <w:szCs w:val="20"/>
        </w:rPr>
      </w:pPr>
      <w:r>
        <w:rPr>
          <w:rFonts w:cs="Arial"/>
          <w:color w:val="000000"/>
          <w:szCs w:val="20"/>
        </w:rPr>
        <w:t>generalna sekretarka</w:t>
      </w:r>
    </w:p>
    <w:p w:rsidR="003636EA" w:rsidRPr="002760DC" w:rsidRDefault="003636EA" w:rsidP="00F34FF5">
      <w:pPr>
        <w:tabs>
          <w:tab w:val="left" w:pos="7920"/>
        </w:tabs>
        <w:autoSpaceDE w:val="0"/>
        <w:autoSpaceDN w:val="0"/>
        <w:adjustRightInd w:val="0"/>
        <w:jc w:val="both"/>
        <w:rPr>
          <w:rFonts w:cs="Arial"/>
          <w:color w:val="000000"/>
          <w:szCs w:val="20"/>
        </w:rPr>
      </w:pPr>
    </w:p>
    <w:p w:rsidR="003636EA" w:rsidRPr="002760DC" w:rsidRDefault="003636EA" w:rsidP="00F34FF5">
      <w:pPr>
        <w:tabs>
          <w:tab w:val="left" w:pos="7920"/>
        </w:tabs>
        <w:autoSpaceDE w:val="0"/>
        <w:autoSpaceDN w:val="0"/>
        <w:adjustRightInd w:val="0"/>
        <w:jc w:val="both"/>
        <w:rPr>
          <w:rFonts w:cs="Arial"/>
          <w:color w:val="000000"/>
          <w:szCs w:val="20"/>
        </w:rPr>
      </w:pPr>
    </w:p>
    <w:p w:rsidR="003636EA" w:rsidRPr="002760DC" w:rsidRDefault="003636EA" w:rsidP="00F34FF5">
      <w:pPr>
        <w:tabs>
          <w:tab w:val="left" w:pos="5570"/>
        </w:tabs>
        <w:autoSpaceDE w:val="0"/>
        <w:autoSpaceDN w:val="0"/>
        <w:adjustRightInd w:val="0"/>
        <w:jc w:val="both"/>
        <w:rPr>
          <w:rFonts w:cs="Arial"/>
          <w:color w:val="000000"/>
          <w:szCs w:val="20"/>
        </w:rPr>
      </w:pPr>
    </w:p>
    <w:sectPr w:rsidR="003636EA" w:rsidRPr="002760DC" w:rsidSect="005C3E50">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548" w:rsidRDefault="00F02548" w:rsidP="00767987">
      <w:pPr>
        <w:spacing w:line="240" w:lineRule="auto"/>
      </w:pPr>
      <w:r>
        <w:separator/>
      </w:r>
    </w:p>
  </w:endnote>
  <w:endnote w:type="continuationSeparator" w:id="0">
    <w:p w:rsidR="00F02548" w:rsidRDefault="00F02548"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37D" w:rsidRDefault="0041337D">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5608314"/>
      <w:docPartObj>
        <w:docPartGallery w:val="Page Numbers (Bottom of Page)"/>
        <w:docPartUnique/>
      </w:docPartObj>
    </w:sdtPr>
    <w:sdtEndPr/>
    <w:sdtContent>
      <w:p w:rsidR="00E37094" w:rsidRDefault="00E37094">
        <w:pPr>
          <w:pStyle w:val="Noga"/>
          <w:jc w:val="right"/>
        </w:pPr>
        <w:r>
          <w:fldChar w:fldCharType="begin"/>
        </w:r>
        <w:r>
          <w:instrText>PAGE   \* MERGEFORMAT</w:instrText>
        </w:r>
        <w:r>
          <w:fldChar w:fldCharType="separate"/>
        </w:r>
        <w:r w:rsidR="004C6B13">
          <w:rPr>
            <w:noProof/>
          </w:rPr>
          <w:t>2</w:t>
        </w:r>
        <w:r>
          <w:fldChar w:fldCharType="end"/>
        </w:r>
      </w:p>
    </w:sdtContent>
  </w:sdt>
  <w:p w:rsidR="00E37094" w:rsidRDefault="00E37094">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5C" w:rsidRDefault="00552E5C" w:rsidP="00B01357">
    <w:pPr>
      <w:pStyle w:val="Noga"/>
      <w:jc w:val="right"/>
    </w:pPr>
  </w:p>
  <w:p w:rsidR="006C69EC" w:rsidRDefault="006C69E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548" w:rsidRDefault="00F02548" w:rsidP="00767987">
      <w:pPr>
        <w:spacing w:line="240" w:lineRule="auto"/>
      </w:pPr>
      <w:r>
        <w:separator/>
      </w:r>
    </w:p>
  </w:footnote>
  <w:footnote w:type="continuationSeparator" w:id="0">
    <w:p w:rsidR="00F02548" w:rsidRDefault="00F02548"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37D" w:rsidRDefault="0041337D">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37D" w:rsidRDefault="0041337D">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E50" w:rsidRPr="00A9231D" w:rsidRDefault="005C3E50" w:rsidP="005C3E50">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6A2662D8" wp14:editId="5DAAEB08">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rsidR="005C3E50" w:rsidRPr="00A9231D" w:rsidRDefault="005C3E50" w:rsidP="005C3E50">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http://www.vlada.si/</w:t>
    </w:r>
  </w:p>
  <w:p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718ED"/>
    <w:rsid w:val="000B3FE6"/>
    <w:rsid w:val="000E10EF"/>
    <w:rsid w:val="000E21B2"/>
    <w:rsid w:val="001102FF"/>
    <w:rsid w:val="00146F35"/>
    <w:rsid w:val="00204177"/>
    <w:rsid w:val="003578C4"/>
    <w:rsid w:val="003636EA"/>
    <w:rsid w:val="00366636"/>
    <w:rsid w:val="00367DE6"/>
    <w:rsid w:val="003B3E19"/>
    <w:rsid w:val="004076C6"/>
    <w:rsid w:val="0041337D"/>
    <w:rsid w:val="004914E2"/>
    <w:rsid w:val="004A0750"/>
    <w:rsid w:val="004B7F76"/>
    <w:rsid w:val="004C6B13"/>
    <w:rsid w:val="004E1BCE"/>
    <w:rsid w:val="00552E5C"/>
    <w:rsid w:val="005729C6"/>
    <w:rsid w:val="00592079"/>
    <w:rsid w:val="005C3E50"/>
    <w:rsid w:val="005F516D"/>
    <w:rsid w:val="00682FFE"/>
    <w:rsid w:val="00692EB6"/>
    <w:rsid w:val="006C69EC"/>
    <w:rsid w:val="006D17B5"/>
    <w:rsid w:val="006E5F7F"/>
    <w:rsid w:val="007039D0"/>
    <w:rsid w:val="00710C90"/>
    <w:rsid w:val="00717DDF"/>
    <w:rsid w:val="00767987"/>
    <w:rsid w:val="00782FD4"/>
    <w:rsid w:val="007D04F3"/>
    <w:rsid w:val="00811140"/>
    <w:rsid w:val="00834401"/>
    <w:rsid w:val="00894DAF"/>
    <w:rsid w:val="008A27E1"/>
    <w:rsid w:val="008A3F94"/>
    <w:rsid w:val="008D30A8"/>
    <w:rsid w:val="00904A48"/>
    <w:rsid w:val="00980294"/>
    <w:rsid w:val="009C5392"/>
    <w:rsid w:val="009E0C40"/>
    <w:rsid w:val="00A50E4B"/>
    <w:rsid w:val="00A715DC"/>
    <w:rsid w:val="00A9231D"/>
    <w:rsid w:val="00AA60AE"/>
    <w:rsid w:val="00AD3CCD"/>
    <w:rsid w:val="00AF2BC7"/>
    <w:rsid w:val="00B01357"/>
    <w:rsid w:val="00B40287"/>
    <w:rsid w:val="00C0216A"/>
    <w:rsid w:val="00CA1460"/>
    <w:rsid w:val="00CC6C23"/>
    <w:rsid w:val="00CD6077"/>
    <w:rsid w:val="00CE234E"/>
    <w:rsid w:val="00D02973"/>
    <w:rsid w:val="00D1300B"/>
    <w:rsid w:val="00D155CA"/>
    <w:rsid w:val="00D22542"/>
    <w:rsid w:val="00DA09BE"/>
    <w:rsid w:val="00DD0471"/>
    <w:rsid w:val="00DE3553"/>
    <w:rsid w:val="00E276CE"/>
    <w:rsid w:val="00E30579"/>
    <w:rsid w:val="00E37094"/>
    <w:rsid w:val="00F02548"/>
    <w:rsid w:val="00F154A7"/>
    <w:rsid w:val="00F34FF5"/>
    <w:rsid w:val="00F46C2D"/>
    <w:rsid w:val="00FB00DD"/>
    <w:rsid w:val="00FB7777"/>
    <w:rsid w:val="00FD3FF3"/>
    <w:rsid w:val="00FE1680"/>
  </w:rsids>
  <m:mathPr>
    <m:mathFont m:val="Cambria Math"/>
    <m:brkBin m:val="before"/>
    <m:brkBinSub m:val="--"/>
    <m:smallFrac m:val="0"/>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89029D-D534-4CF9-8555-38669BE2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basedOn w:val="Navaden"/>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paragraph" w:customStyle="1" w:styleId="Neotevilenodstavek">
    <w:name w:val="Neoštevilčen odstavek"/>
    <w:basedOn w:val="Navaden"/>
    <w:link w:val="NeotevilenodstavekZnak"/>
    <w:qFormat/>
    <w:rsid w:val="00D22542"/>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22542"/>
    <w:rPr>
      <w:rFonts w:ascii="Arial" w:eastAsia="Times New Roman" w:hAnsi="Arial" w:cs="Arial"/>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88148">
      <w:bodyDiv w:val="1"/>
      <w:marLeft w:val="0"/>
      <w:marRight w:val="0"/>
      <w:marTop w:val="0"/>
      <w:marBottom w:val="0"/>
      <w:divBdr>
        <w:top w:val="none" w:sz="0" w:space="0" w:color="auto"/>
        <w:left w:val="none" w:sz="0" w:space="0" w:color="auto"/>
        <w:bottom w:val="none" w:sz="0" w:space="0" w:color="auto"/>
        <w:right w:val="none" w:sz="0" w:space="0" w:color="auto"/>
      </w:divBdr>
    </w:div>
    <w:div w:id="171700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817</Words>
  <Characters>4660</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Rajh</dc:creator>
  <cp:keywords/>
  <dc:description/>
  <cp:lastModifiedBy>Katja Plečnik</cp:lastModifiedBy>
  <cp:revision>15</cp:revision>
  <dcterms:created xsi:type="dcterms:W3CDTF">2023-05-03T12:48:00Z</dcterms:created>
  <dcterms:modified xsi:type="dcterms:W3CDTF">2023-05-03T13:24:00Z</dcterms:modified>
</cp:coreProperties>
</file>