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75E7" w14:textId="77777777" w:rsidR="0005565C" w:rsidRDefault="00E16ABD" w:rsidP="0005565C">
      <w:pPr>
        <w:pStyle w:val="TechnicalBlock"/>
        <w:ind w:left="-1134" w:right="-1134"/>
      </w:pPr>
      <w:bookmarkStart w:id="0" w:name="DW_BM_COVERPAGE"/>
      <w:r>
        <w:pict w14:anchorId="3ED28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916/23.&#10;Subject Codes: ACP 92 FIN 1021 PTOM 13.&#10;Heading: PROPOSAL.&#10;Originator: Secretary-General of the European Commission, signed by Ms Martine DEPREZ, Director.&#10;Recipient: Ms Thérèse BLANCHET, Secretary-General of the Council of the European Union.&#10;Subject: Proposal for a COUNCIL DECISION 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10;Commission Document Number: COM(2023) 553 final.&#10;Preceeding Document Number: Not Set.&#10;Location: Brussels.&#10;Date: 6 October 2023.&#10;Interinstitutional Files: 2023/0336(NLE).&#10;Institutional Framework: Council of the European Union.&#10;Language: EN.&#10;Distribution Code: PUBLIC.&#10;GUID: 5499884125789214628_0" style="width:568.5pt;height:435pt">
            <v:imagedata r:id="rId8" o:title=""/>
          </v:shape>
        </w:pict>
      </w:r>
      <w:bookmarkEnd w:id="0"/>
    </w:p>
    <w:p w14:paraId="3F84E9CA" w14:textId="1FB9B6BE" w:rsidR="0005565C" w:rsidRDefault="0005565C" w:rsidP="0005565C">
      <w:pPr>
        <w:pStyle w:val="EntText"/>
        <w:spacing w:before="480"/>
      </w:pPr>
      <w:r w:rsidRPr="0005565C">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05565C">
        <w:instrText>COM(2023) 553 final</w:instrText>
      </w:r>
      <w:r>
        <w:instrText xml:space="preserve">" </w:instrText>
      </w:r>
      <w:r>
        <w:fldChar w:fldCharType="separate"/>
      </w:r>
      <w:r w:rsidRPr="0005565C">
        <w:t>COM(2023) 553 final</w:t>
      </w:r>
      <w:r>
        <w:fldChar w:fldCharType="end"/>
      </w:r>
      <w:r w:rsidRPr="0005565C">
        <w:t>.</w:t>
      </w:r>
    </w:p>
    <w:p w14:paraId="758ACD20" w14:textId="77777777" w:rsidR="0005565C" w:rsidRDefault="0005565C" w:rsidP="0005565C">
      <w:pPr>
        <w:pStyle w:val="Lignefinal"/>
      </w:pPr>
    </w:p>
    <w:p w14:paraId="46D04463" w14:textId="0D7706EB" w:rsidR="0005565C" w:rsidRDefault="0005565C" w:rsidP="0005565C">
      <w:pPr>
        <w:pStyle w:val="pj"/>
        <w:spacing w:before="120"/>
      </w:pPr>
      <w:r w:rsidRPr="0005565C">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05565C">
        <w:instrText>COM(2023) 553 final</w:instrText>
      </w:r>
      <w:r>
        <w:instrText xml:space="preserve">" </w:instrText>
      </w:r>
      <w:r>
        <w:fldChar w:fldCharType="separate"/>
      </w:r>
      <w:r w:rsidRPr="0005565C">
        <w:t>COM(2023) 553 final</w:t>
      </w:r>
      <w:r>
        <w:fldChar w:fldCharType="end"/>
      </w:r>
    </w:p>
    <w:p w14:paraId="794DD552" w14:textId="3B9B1062" w:rsidR="0005565C" w:rsidRPr="0005565C" w:rsidRDefault="0005565C" w:rsidP="0005565C"/>
    <w:p w14:paraId="7EEB641A" w14:textId="77777777" w:rsidR="0005565C" w:rsidRDefault="0005565C" w:rsidP="0005565C">
      <w:pPr>
        <w:rPr>
          <w:noProof/>
        </w:rPr>
        <w:sectPr w:rsidR="0005565C" w:rsidSect="0005565C">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14:paraId="3DA20AC2" w14:textId="02CFCF3C" w:rsidR="00DD439E" w:rsidRDefault="00E16ABD" w:rsidP="00F52539">
      <w:pPr>
        <w:pStyle w:val="Pagedecouverture"/>
        <w:rPr>
          <w:noProof/>
        </w:rPr>
      </w:pPr>
      <w:r>
        <w:rPr>
          <w:noProof/>
        </w:rPr>
        <w:lastRenderedPageBreak/>
        <w:pict w14:anchorId="608B1EEA">
          <v:shape id="_x0000_i1026" type="#_x0000_t75" alt="5EF994BB-FEC2-42F4-BC77-1536AA052194" style="width:455.25pt;height:383.25pt">
            <v:imagedata r:id="rId15" o:title=""/>
          </v:shape>
        </w:pict>
      </w:r>
    </w:p>
    <w:p w14:paraId="0C837FA2" w14:textId="77777777" w:rsidR="00DD439E" w:rsidRDefault="00DD439E" w:rsidP="00DD439E">
      <w:pPr>
        <w:rPr>
          <w:noProof/>
        </w:rPr>
        <w:sectPr w:rsidR="00DD439E" w:rsidSect="00F52539">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14:paraId="2BC42472" w14:textId="77777777" w:rsidR="00DD439E" w:rsidRDefault="00DD439E" w:rsidP="004B3D92">
      <w:pPr>
        <w:pStyle w:val="Exposdesmotifstitre"/>
        <w:rPr>
          <w:noProof/>
        </w:rPr>
      </w:pPr>
      <w:r w:rsidRPr="006F770D">
        <w:rPr>
          <w:noProof/>
        </w:rPr>
        <w:lastRenderedPageBreak/>
        <w:t>EXPLANATORY MEMORANDUM</w:t>
      </w:r>
    </w:p>
    <w:p w14:paraId="1EB704E7" w14:textId="77777777" w:rsidR="00DD439E" w:rsidRPr="006F770D" w:rsidRDefault="00DD439E" w:rsidP="004B3D92">
      <w:pPr>
        <w:pStyle w:val="ManualHeading1"/>
        <w:rPr>
          <w:noProof/>
        </w:rPr>
      </w:pPr>
      <w:r w:rsidRPr="00C567EE">
        <w:rPr>
          <w:noProof/>
        </w:rPr>
        <w:t>1.</w:t>
      </w:r>
      <w:r w:rsidRPr="00C567EE">
        <w:rPr>
          <w:noProof/>
        </w:rPr>
        <w:tab/>
      </w:r>
      <w:r w:rsidRPr="006F770D">
        <w:rPr>
          <w:noProof/>
        </w:rPr>
        <w:t>CONTEXT OF THE PROPOSAL</w:t>
      </w:r>
    </w:p>
    <w:p w14:paraId="6E43E370" w14:textId="77777777" w:rsidR="00DD439E" w:rsidRPr="00044058" w:rsidRDefault="00DD439E" w:rsidP="004B3D92">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7C7FBF81" w14:textId="77777777" w:rsidR="00E20317" w:rsidRPr="00B76F3B" w:rsidRDefault="00E20317" w:rsidP="00E20317">
      <w:pPr>
        <w:pBdr>
          <w:top w:val="nil"/>
          <w:left w:val="nil"/>
          <w:bottom w:val="nil"/>
          <w:right w:val="nil"/>
          <w:between w:val="nil"/>
          <w:bar w:val="nil"/>
        </w:pBdr>
        <w:spacing w:before="0" w:after="240"/>
        <w:rPr>
          <w:noProof/>
        </w:rPr>
      </w:pPr>
      <w:r w:rsidRPr="00B76F3B">
        <w:rPr>
          <w:noProof/>
        </w:rPr>
        <w:t>The proposal covers:</w:t>
      </w:r>
    </w:p>
    <w:p w14:paraId="4BE2B3DF" w14:textId="5826DB69" w:rsidR="00E20317" w:rsidRPr="00EF1264" w:rsidRDefault="00E20317" w:rsidP="00E20317">
      <w:pPr>
        <w:spacing w:before="0"/>
        <w:rPr>
          <w:rFonts w:eastAsia="Arial Unicode MS"/>
          <w:noProof/>
        </w:rPr>
      </w:pPr>
      <w:r w:rsidRPr="00EF1264">
        <w:rPr>
          <w:rFonts w:eastAsia="Arial Unicode MS"/>
          <w:noProof/>
        </w:rPr>
        <w:t>–</w:t>
      </w:r>
      <w:r w:rsidRPr="00EF1264">
        <w:rPr>
          <w:rFonts w:eastAsia="Arial Unicode MS"/>
          <w:noProof/>
        </w:rPr>
        <w:tab/>
        <w:t>The ceiling amou</w:t>
      </w:r>
      <w:r>
        <w:rPr>
          <w:rFonts w:eastAsia="Arial Unicode MS"/>
          <w:noProof/>
        </w:rPr>
        <w:t>nt of the contributions for 2025</w:t>
      </w:r>
      <w:r w:rsidRPr="00EF1264">
        <w:rPr>
          <w:rFonts w:eastAsia="Arial Unicode MS"/>
          <w:noProof/>
        </w:rPr>
        <w:t>;</w:t>
      </w:r>
    </w:p>
    <w:p w14:paraId="531B3D2A" w14:textId="7DE3A937" w:rsidR="00E20317" w:rsidRPr="00EF1264" w:rsidRDefault="00E20317" w:rsidP="00E20317">
      <w:pPr>
        <w:spacing w:before="0"/>
        <w:rPr>
          <w:rFonts w:eastAsia="Arial Unicode MS"/>
          <w:noProof/>
        </w:rPr>
      </w:pPr>
      <w:r w:rsidRPr="00EF1264">
        <w:rPr>
          <w:rFonts w:eastAsia="Arial Unicode MS"/>
          <w:noProof/>
        </w:rPr>
        <w:t>–</w:t>
      </w:r>
      <w:r w:rsidRPr="00EF1264">
        <w:rPr>
          <w:rFonts w:eastAsia="Arial Unicode MS"/>
          <w:noProof/>
        </w:rPr>
        <w:tab/>
        <w:t>The annual amou</w:t>
      </w:r>
      <w:r>
        <w:rPr>
          <w:rFonts w:eastAsia="Arial Unicode MS"/>
          <w:noProof/>
        </w:rPr>
        <w:t>nt of the contributions for 2024</w:t>
      </w:r>
      <w:r w:rsidRPr="00EF1264">
        <w:rPr>
          <w:rFonts w:eastAsia="Arial Unicode MS"/>
          <w:noProof/>
        </w:rPr>
        <w:t>;</w:t>
      </w:r>
    </w:p>
    <w:p w14:paraId="57065537" w14:textId="4541AC31" w:rsidR="00E20317" w:rsidRPr="00EF1264" w:rsidRDefault="00E20317" w:rsidP="00E20317">
      <w:pPr>
        <w:spacing w:before="0"/>
        <w:rPr>
          <w:rFonts w:eastAsia="Arial Unicode MS"/>
          <w:noProof/>
        </w:rPr>
      </w:pPr>
      <w:r w:rsidRPr="00EF1264">
        <w:rPr>
          <w:rFonts w:eastAsia="Arial Unicode MS"/>
          <w:noProof/>
        </w:rPr>
        <w:t>–</w:t>
      </w:r>
      <w:r w:rsidRPr="00EF1264">
        <w:rPr>
          <w:rFonts w:eastAsia="Arial Unicode MS"/>
          <w:noProof/>
        </w:rPr>
        <w:tab/>
        <w:t>The amount of the first instalm</w:t>
      </w:r>
      <w:r>
        <w:rPr>
          <w:rFonts w:eastAsia="Arial Unicode MS"/>
          <w:noProof/>
        </w:rPr>
        <w:t>ent of the contribution for 2024</w:t>
      </w:r>
      <w:r w:rsidRPr="00EF1264">
        <w:rPr>
          <w:rFonts w:eastAsia="Arial Unicode MS"/>
          <w:noProof/>
        </w:rPr>
        <w:t>;</w:t>
      </w:r>
    </w:p>
    <w:p w14:paraId="28FFFA78" w14:textId="7BDAC3E0" w:rsidR="00E20317" w:rsidRPr="00EF1264" w:rsidRDefault="00E20317" w:rsidP="00E20317">
      <w:pPr>
        <w:spacing w:before="0"/>
        <w:ind w:left="709" w:hanging="709"/>
        <w:rPr>
          <w:rFonts w:eastAsia="Arial Unicode MS"/>
          <w:noProof/>
        </w:rPr>
      </w:pPr>
      <w:r w:rsidRPr="00EF1264">
        <w:rPr>
          <w:rFonts w:eastAsia="Arial Unicode MS"/>
          <w:noProof/>
        </w:rPr>
        <w:t>–</w:t>
      </w:r>
      <w:r w:rsidRPr="00EF1264">
        <w:rPr>
          <w:rFonts w:eastAsia="Arial Unicode MS"/>
          <w:noProof/>
        </w:rPr>
        <w:tab/>
        <w:t>Non-binding forecast for the expected a</w:t>
      </w:r>
      <w:r>
        <w:rPr>
          <w:rFonts w:eastAsia="Arial Unicode MS"/>
          <w:noProof/>
        </w:rPr>
        <w:t>nnual amounts of contributions for the years 2026 and 2027</w:t>
      </w:r>
      <w:r w:rsidRPr="00EF1264">
        <w:rPr>
          <w:rFonts w:eastAsia="Arial Unicode MS"/>
          <w:noProof/>
        </w:rPr>
        <w:t>.</w:t>
      </w:r>
    </w:p>
    <w:p w14:paraId="6D6CF867" w14:textId="04EFAAA9" w:rsidR="002A395B" w:rsidRDefault="002A395B" w:rsidP="002A395B">
      <w:pPr>
        <w:spacing w:before="0" w:after="240"/>
        <w:rPr>
          <w:rFonts w:eastAsia="Arial Unicode MS"/>
          <w:noProof/>
        </w:rPr>
      </w:pPr>
      <w:r>
        <w:rPr>
          <w:rFonts w:eastAsia="Arial Unicode MS"/>
          <w:noProof/>
        </w:rPr>
        <w:t>The 11</w:t>
      </w:r>
      <w:r>
        <w:rPr>
          <w:rFonts w:eastAsia="Arial Unicode MS"/>
          <w:noProof/>
          <w:vertAlign w:val="superscript"/>
        </w:rPr>
        <w:t>th</w:t>
      </w:r>
      <w:r>
        <w:rPr>
          <w:rFonts w:eastAsia="Arial Unicode MS"/>
          <w:noProof/>
        </w:rPr>
        <w:t xml:space="preserve"> EDF and other EDF funds that are still open (</w:t>
      </w:r>
      <w:r>
        <w:rPr>
          <w:rFonts w:eastAsia="Arial Unicode MS"/>
          <w:noProof/>
          <w:lang w:val="mt-MT"/>
        </w:rPr>
        <w:t>the</w:t>
      </w:r>
      <w:r>
        <w:rPr>
          <w:rFonts w:eastAsia="Arial Unicode MS"/>
          <w:noProof/>
        </w:rPr>
        <w:t xml:space="preserve"> </w:t>
      </w:r>
      <w:r w:rsidR="00D85086">
        <w:rPr>
          <w:rFonts w:eastAsia="Arial Unicode MS"/>
          <w:noProof/>
        </w:rPr>
        <w:t>9</w:t>
      </w:r>
      <w:r w:rsidR="00D85086" w:rsidRPr="00143E53">
        <w:rPr>
          <w:rFonts w:eastAsia="Arial Unicode MS"/>
          <w:noProof/>
          <w:vertAlign w:val="superscript"/>
        </w:rPr>
        <w:t>th</w:t>
      </w:r>
      <w:r>
        <w:rPr>
          <w:rFonts w:eastAsia="Arial Unicode MS"/>
          <w:noProof/>
        </w:rPr>
        <w:t xml:space="preserve"> and 10</w:t>
      </w:r>
      <w:r>
        <w:rPr>
          <w:rFonts w:eastAsia="Arial Unicode MS"/>
          <w:noProof/>
          <w:vertAlign w:val="superscript"/>
        </w:rPr>
        <w:t>th</w:t>
      </w:r>
      <w:r>
        <w:rPr>
          <w:rFonts w:eastAsia="Arial Unicode MS"/>
          <w:noProof/>
        </w:rPr>
        <w:t xml:space="preserve"> EDF) are managed under the following set of rules: </w:t>
      </w:r>
    </w:p>
    <w:p w14:paraId="08827FC2" w14:textId="10D8CF59" w:rsidR="002A395B" w:rsidRPr="00A42981" w:rsidRDefault="00646139" w:rsidP="00646139">
      <w:pPr>
        <w:pStyle w:val="Point0"/>
        <w:rPr>
          <w:noProof/>
        </w:rPr>
      </w:pPr>
      <w:r w:rsidRPr="00646139">
        <w:t>(a)</w:t>
      </w:r>
      <w:r w:rsidRPr="00646139">
        <w:tab/>
      </w:r>
      <w:r w:rsidR="002A395B">
        <w:rPr>
          <w:noProof/>
          <w:lang w:val="mt-MT"/>
        </w:rPr>
        <w:t>t</w:t>
      </w:r>
      <w:r w:rsidR="002A395B" w:rsidRPr="0092375F">
        <w:rPr>
          <w:noProof/>
        </w:rPr>
        <w:t>he current Partnership Agreement between the members of the African, Caribbean and Pacific (</w:t>
      </w:r>
      <w:r w:rsidR="002A395B" w:rsidRPr="0092375F">
        <w:rPr>
          <w:noProof/>
          <w:lang w:val="mt-MT"/>
        </w:rPr>
        <w:t>‘</w:t>
      </w:r>
      <w:r w:rsidR="002A395B" w:rsidRPr="0092375F">
        <w:rPr>
          <w:noProof/>
        </w:rPr>
        <w:t>ACP</w:t>
      </w:r>
      <w:r w:rsidR="002A395B" w:rsidRPr="0092375F">
        <w:rPr>
          <w:noProof/>
          <w:lang w:val="mt-MT"/>
        </w:rPr>
        <w:t>’</w:t>
      </w:r>
      <w:r w:rsidR="002A395B" w:rsidRPr="0092375F">
        <w:rPr>
          <w:noProof/>
        </w:rPr>
        <w:t>) Group of States on one side, and the European Community and its Member States on the other side (the ‘ACP-EU Partnership Agreement’) as last amended</w:t>
      </w:r>
      <w:r w:rsidR="002A395B">
        <w:rPr>
          <w:rStyle w:val="FootnoteReference"/>
          <w:rFonts w:eastAsia="Arial Unicode MS"/>
          <w:noProof/>
        </w:rPr>
        <w:footnoteReference w:id="1"/>
      </w:r>
      <w:r w:rsidR="002A395B" w:rsidRPr="0092375F">
        <w:rPr>
          <w:noProof/>
          <w:lang w:val="mt-MT"/>
        </w:rPr>
        <w:t>;</w:t>
      </w:r>
    </w:p>
    <w:p w14:paraId="116BDE2A" w14:textId="183DAB14" w:rsidR="002A395B" w:rsidRPr="0092375F" w:rsidRDefault="00646139" w:rsidP="00646139">
      <w:pPr>
        <w:pStyle w:val="Point0"/>
        <w:rPr>
          <w:noProof/>
        </w:rPr>
      </w:pPr>
      <w:r w:rsidRPr="00646139">
        <w:t>(b)</w:t>
      </w:r>
      <w:r w:rsidRPr="00646139">
        <w:tab/>
      </w:r>
      <w:r w:rsidR="002A395B">
        <w:rPr>
          <w:noProof/>
        </w:rPr>
        <w:t>t</w:t>
      </w:r>
      <w:r w:rsidR="002A395B" w:rsidRPr="0092375F">
        <w:rPr>
          <w:noProof/>
        </w:rPr>
        <w:t>he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Functioning of the European Union applies</w:t>
      </w:r>
      <w:r w:rsidR="002A395B">
        <w:rPr>
          <w:rStyle w:val="FootnoteReference"/>
          <w:rFonts w:eastAsia="Arial Unicode MS"/>
          <w:noProof/>
        </w:rPr>
        <w:footnoteReference w:id="2"/>
      </w:r>
      <w:r w:rsidR="002A395B" w:rsidRPr="0092375F">
        <w:rPr>
          <w:noProof/>
        </w:rPr>
        <w:t xml:space="preserve"> (the 11</w:t>
      </w:r>
      <w:r w:rsidR="002A395B" w:rsidRPr="00A42981">
        <w:rPr>
          <w:noProof/>
          <w:vertAlign w:val="superscript"/>
        </w:rPr>
        <w:t>th</w:t>
      </w:r>
      <w:r w:rsidR="002A395B" w:rsidRPr="0092375F">
        <w:rPr>
          <w:noProof/>
        </w:rPr>
        <w:t xml:space="preserve"> EDF ‘Internal Agreement’)</w:t>
      </w:r>
      <w:r w:rsidR="002A395B" w:rsidRPr="00A42981">
        <w:rPr>
          <w:noProof/>
          <w:lang w:val="mt-MT"/>
        </w:rPr>
        <w:t>;</w:t>
      </w:r>
    </w:p>
    <w:p w14:paraId="7236BCEF" w14:textId="61B2824D" w:rsidR="002A395B" w:rsidRPr="0092375F" w:rsidRDefault="00646139" w:rsidP="00646139">
      <w:pPr>
        <w:pStyle w:val="Point0"/>
        <w:rPr>
          <w:noProof/>
        </w:rPr>
      </w:pPr>
      <w:r w:rsidRPr="00646139">
        <w:t>(c)</w:t>
      </w:r>
      <w:r w:rsidRPr="00646139">
        <w:tab/>
      </w:r>
      <w:r w:rsidR="002A395B" w:rsidRPr="0092375F">
        <w:rPr>
          <w:noProof/>
        </w:rPr>
        <w:t>Council Regulation (EU) 2018/1877 on the Financial Regulation applicable to the 11</w:t>
      </w:r>
      <w:r w:rsidR="002A395B" w:rsidRPr="00A42981">
        <w:rPr>
          <w:noProof/>
          <w:vertAlign w:val="superscript"/>
        </w:rPr>
        <w:t>th</w:t>
      </w:r>
      <w:r w:rsidR="002A395B" w:rsidRPr="0092375F">
        <w:rPr>
          <w:noProof/>
        </w:rPr>
        <w:t xml:space="preserve"> European Development Fund</w:t>
      </w:r>
      <w:r w:rsidR="002A395B">
        <w:rPr>
          <w:rStyle w:val="FootnoteReference"/>
          <w:rFonts w:eastAsia="Arial Unicode MS"/>
          <w:noProof/>
        </w:rPr>
        <w:footnoteReference w:id="3"/>
      </w:r>
      <w:r w:rsidR="002A395B" w:rsidRPr="0092375F">
        <w:rPr>
          <w:noProof/>
        </w:rPr>
        <w:t xml:space="preserve"> (the ‘11</w:t>
      </w:r>
      <w:r w:rsidR="002A395B" w:rsidRPr="00A42981">
        <w:rPr>
          <w:noProof/>
          <w:vertAlign w:val="superscript"/>
        </w:rPr>
        <w:t>th</w:t>
      </w:r>
      <w:r w:rsidR="002A395B" w:rsidRPr="0092375F">
        <w:rPr>
          <w:noProof/>
        </w:rPr>
        <w:t xml:space="preserve"> EDF Financial Regulation’)</w:t>
      </w:r>
      <w:r w:rsidR="002A395B">
        <w:rPr>
          <w:noProof/>
        </w:rPr>
        <w:t>.</w:t>
      </w:r>
    </w:p>
    <w:p w14:paraId="38FB0832" w14:textId="398941EA" w:rsidR="002A395B" w:rsidRPr="0092375F" w:rsidRDefault="00646139" w:rsidP="00646139">
      <w:pPr>
        <w:pStyle w:val="Point0"/>
        <w:rPr>
          <w:noProof/>
        </w:rPr>
      </w:pPr>
      <w:r w:rsidRPr="00646139">
        <w:t>(d)</w:t>
      </w:r>
      <w:r w:rsidRPr="00646139">
        <w:tab/>
      </w:r>
      <w:r w:rsidR="002A395B" w:rsidRPr="0092375F">
        <w:rPr>
          <w:noProof/>
        </w:rPr>
        <w:t xml:space="preserve">Decision No </w:t>
      </w:r>
      <w:r w:rsidR="002A395B">
        <w:rPr>
          <w:noProof/>
        </w:rPr>
        <w:t>1</w:t>
      </w:r>
      <w:r w:rsidR="002A395B" w:rsidRPr="0092375F">
        <w:rPr>
          <w:noProof/>
        </w:rPr>
        <w:t>/202</w:t>
      </w:r>
      <w:r w:rsidR="002A395B">
        <w:rPr>
          <w:noProof/>
        </w:rPr>
        <w:t>2</w:t>
      </w:r>
      <w:r w:rsidR="002A395B">
        <w:rPr>
          <w:rStyle w:val="FootnoteReference"/>
          <w:rFonts w:eastAsia="Arial Unicode MS"/>
          <w:noProof/>
        </w:rPr>
        <w:footnoteReference w:id="4"/>
      </w:r>
      <w:r w:rsidR="002A395B" w:rsidRPr="0092375F">
        <w:rPr>
          <w:noProof/>
        </w:rPr>
        <w:t xml:space="preserve"> of the ACP-EU Committee of Ambassadors of </w:t>
      </w:r>
      <w:r w:rsidR="002A395B">
        <w:rPr>
          <w:noProof/>
        </w:rPr>
        <w:t xml:space="preserve"> 21 June 2022 </w:t>
      </w:r>
      <w:r w:rsidR="002A395B" w:rsidRPr="0092375F">
        <w:rPr>
          <w:noProof/>
        </w:rPr>
        <w:t>to amend Decision No 3/2019</w:t>
      </w:r>
      <w:r w:rsidR="002A395B">
        <w:rPr>
          <w:rStyle w:val="FootnoteReference"/>
          <w:rFonts w:eastAsia="Arial Unicode MS"/>
          <w:noProof/>
        </w:rPr>
        <w:footnoteReference w:id="5"/>
      </w:r>
      <w:r w:rsidR="002A395B" w:rsidRPr="0092375F">
        <w:rPr>
          <w:noProof/>
        </w:rPr>
        <w:t xml:space="preserve"> of the ACP-EU Committee of Ambassadors to adopt transitional measures pursuant to Article 95(4) of the ACP-EU Partnership Agreement to further extend the application of the provisions of the ACP-EU Partnership Agreement until 30 </w:t>
      </w:r>
      <w:r w:rsidR="002A395B">
        <w:rPr>
          <w:noProof/>
        </w:rPr>
        <w:t>June 2023</w:t>
      </w:r>
      <w:r w:rsidR="002A395B" w:rsidRPr="0092375F">
        <w:rPr>
          <w:noProof/>
        </w:rPr>
        <w:t xml:space="preserve">, or until the entry into force of </w:t>
      </w:r>
      <w:r w:rsidR="002A395B">
        <w:rPr>
          <w:noProof/>
        </w:rPr>
        <w:t>the</w:t>
      </w:r>
      <w:r w:rsidR="002A395B" w:rsidRPr="0092375F">
        <w:rPr>
          <w:noProof/>
        </w:rPr>
        <w:t xml:space="preserve"> new Agreement, or the provisional application between the Union and the ACP States of the new</w:t>
      </w:r>
      <w:r w:rsidR="00F41219">
        <w:rPr>
          <w:noProof/>
        </w:rPr>
        <w:t xml:space="preserve"> Partnership</w:t>
      </w:r>
      <w:r w:rsidR="002A395B" w:rsidRPr="0092375F">
        <w:rPr>
          <w:noProof/>
        </w:rPr>
        <w:t xml:space="preserve"> Agreement, whichever comes first</w:t>
      </w:r>
      <w:r w:rsidR="002A395B" w:rsidRPr="00D03A93">
        <w:rPr>
          <w:noProof/>
          <w:lang w:val="mt-MT"/>
        </w:rPr>
        <w:t>;</w:t>
      </w:r>
    </w:p>
    <w:p w14:paraId="11764B3F" w14:textId="0356F1DC" w:rsidR="002A395B" w:rsidRPr="00A42981" w:rsidRDefault="00646139" w:rsidP="00646139">
      <w:pPr>
        <w:pStyle w:val="Point0"/>
        <w:rPr>
          <w:noProof/>
        </w:rPr>
      </w:pPr>
      <w:r w:rsidRPr="00646139">
        <w:lastRenderedPageBreak/>
        <w:t>(e)</w:t>
      </w:r>
      <w:r w:rsidRPr="00646139">
        <w:tab/>
      </w:r>
      <w:r w:rsidR="002A395B" w:rsidRPr="00A42981">
        <w:rPr>
          <w:noProof/>
        </w:rPr>
        <w:t>Council Decision (EU) 2020/2233 concerning the commitment of the funds stemming from reflows under the ACP Investment Facility from operations under the 9th, 10th and 11th European Development Funds</w:t>
      </w:r>
      <w:r w:rsidR="002A395B" w:rsidRPr="00A42981">
        <w:rPr>
          <w:rStyle w:val="FootnoteReference"/>
          <w:rFonts w:eastAsia="Arial Unicode MS"/>
          <w:noProof/>
        </w:rPr>
        <w:footnoteReference w:id="6"/>
      </w:r>
      <w:r w:rsidR="002A395B" w:rsidRPr="00A42981">
        <w:rPr>
          <w:noProof/>
          <w:lang w:val="mt-MT"/>
        </w:rPr>
        <w:t>;</w:t>
      </w:r>
    </w:p>
    <w:p w14:paraId="023164A4" w14:textId="17D28C24" w:rsidR="002A395B" w:rsidRPr="0092375F" w:rsidRDefault="00646139" w:rsidP="00646139">
      <w:pPr>
        <w:pStyle w:val="Point0"/>
        <w:rPr>
          <w:noProof/>
        </w:rPr>
      </w:pPr>
      <w:r w:rsidRPr="00646139">
        <w:t>(f)</w:t>
      </w:r>
      <w:r w:rsidRPr="00646139">
        <w:tab/>
      </w:r>
      <w:r w:rsidR="002A395B">
        <w:rPr>
          <w:noProof/>
        </w:rPr>
        <w:t>Council Decision (EU) 2022/1223</w:t>
      </w:r>
      <w:r w:rsidR="002A395B">
        <w:rPr>
          <w:rStyle w:val="FootnoteReference"/>
          <w:noProof/>
        </w:rPr>
        <w:footnoteReference w:id="7"/>
      </w:r>
      <w:r w:rsidR="002A395B">
        <w:rPr>
          <w:noProof/>
        </w:rPr>
        <w:t xml:space="preserve"> concerning the allocation of funds de-committed from projects under the 10th and 11th European Development Funds for the purpose of financing actions addressing the food security crisis and economic shock in African, Caribbean and Pacific (ACP) countries following Russia’s war of aggression against Ukraine.</w:t>
      </w:r>
    </w:p>
    <w:p w14:paraId="3BEE9642" w14:textId="77777777" w:rsidR="002A395B" w:rsidRDefault="002A395B" w:rsidP="002A395B">
      <w:pPr>
        <w:rPr>
          <w:noProof/>
        </w:rPr>
      </w:pPr>
      <w:r>
        <w:rPr>
          <w:noProof/>
        </w:rPr>
        <w:t>The</w:t>
      </w:r>
      <w:r w:rsidRPr="003832B2">
        <w:rPr>
          <w:noProof/>
        </w:rPr>
        <w:t xml:space="preserve"> </w:t>
      </w:r>
      <w:r>
        <w:rPr>
          <w:rFonts w:eastAsia="Arial Unicode MS"/>
          <w:noProof/>
        </w:rPr>
        <w:t xml:space="preserve">documents </w:t>
      </w:r>
      <w:r>
        <w:rPr>
          <w:rFonts w:eastAsia="Arial Unicode MS"/>
          <w:noProof/>
          <w:lang w:val="mt-MT"/>
        </w:rPr>
        <w:t>referred to in points (a) to (f)</w:t>
      </w:r>
      <w:r>
        <w:rPr>
          <w:rFonts w:eastAsia="Arial Unicode MS"/>
          <w:noProof/>
        </w:rPr>
        <w:t xml:space="preserve"> contain multi-annual commitments by the parties to support the EDF treasury financially. The 11</w:t>
      </w:r>
      <w:r>
        <w:rPr>
          <w:rFonts w:eastAsia="Arial Unicode MS"/>
          <w:noProof/>
          <w:vertAlign w:val="superscript"/>
        </w:rPr>
        <w:t>th</w:t>
      </w:r>
      <w:r>
        <w:rPr>
          <w:rFonts w:eastAsia="Arial Unicode MS"/>
          <w:noProof/>
        </w:rPr>
        <w:t xml:space="preserve"> EDF Financial Regulation provides for regular contributions to be made by the parties to the EDF treasury against pre-determined financial commitments. Regular contributions are triggered by technical Council Decisions that reflect the implementation of financial commitments previously decided</w:t>
      </w:r>
      <w:r w:rsidRPr="003832B2">
        <w:rPr>
          <w:noProof/>
        </w:rPr>
        <w:t>.</w:t>
      </w:r>
      <w:r>
        <w:rPr>
          <w:noProof/>
        </w:rPr>
        <w:t xml:space="preserve"> </w:t>
      </w:r>
    </w:p>
    <w:p w14:paraId="4B074209" w14:textId="77777777" w:rsidR="00DD439E" w:rsidRPr="0029266A" w:rsidRDefault="002A395B" w:rsidP="002A395B">
      <w:pPr>
        <w:pBdr>
          <w:top w:val="nil"/>
          <w:left w:val="nil"/>
          <w:bottom w:val="nil"/>
          <w:right w:val="nil"/>
          <w:between w:val="nil"/>
          <w:bar w:val="nil"/>
        </w:pBdr>
        <w:spacing w:before="0" w:after="240"/>
        <w:rPr>
          <w:rFonts w:eastAsia="Arial Unicode MS"/>
          <w:noProof/>
        </w:rPr>
      </w:pPr>
      <w:r>
        <w:rPr>
          <w:rFonts w:eastAsia="Arial Unicode MS"/>
          <w:noProof/>
        </w:rPr>
        <w:t>Some of the headings in the explanatory memorandum are therefore not applicable to regular contribution calls such as this one.</w:t>
      </w:r>
    </w:p>
    <w:p w14:paraId="707D3EDD" w14:textId="77777777" w:rsidR="00DD439E" w:rsidRPr="002D5EE2" w:rsidRDefault="00DD439E" w:rsidP="004B3D92">
      <w:pPr>
        <w:pStyle w:val="ManualHeading1"/>
        <w:rPr>
          <w:noProof/>
        </w:rPr>
      </w:pPr>
      <w:r w:rsidRPr="002D5EE2">
        <w:rPr>
          <w:noProof/>
        </w:rPr>
        <w:t>2.</w:t>
      </w:r>
      <w:r w:rsidRPr="002D5EE2">
        <w:rPr>
          <w:noProof/>
        </w:rPr>
        <w:tab/>
        <w:t>LEGAL BASIS, SUBSIDIARITY AND PROPORTIONALITY</w:t>
      </w:r>
    </w:p>
    <w:p w14:paraId="0FE19E32" w14:textId="77777777" w:rsidR="00DD439E" w:rsidRPr="002D5EE2" w:rsidRDefault="00DD439E" w:rsidP="004B3D92">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435AD6F5" w14:textId="66C9758B" w:rsidR="00E20317" w:rsidRDefault="00E20317" w:rsidP="00E20317">
      <w:pPr>
        <w:spacing w:before="0" w:after="240"/>
        <w:rPr>
          <w:rFonts w:eastAsia="Arial Unicode MS"/>
          <w:noProof/>
        </w:rPr>
      </w:pPr>
      <w:r w:rsidRPr="00C23CCA">
        <w:rPr>
          <w:rFonts w:eastAsia="Arial Unicode MS"/>
          <w:noProof/>
        </w:rPr>
        <w:t>In accordance with Article 19(2) of the 11</w:t>
      </w:r>
      <w:r w:rsidRPr="00C23CCA">
        <w:rPr>
          <w:rFonts w:eastAsia="Arial Unicode MS"/>
          <w:noProof/>
          <w:vertAlign w:val="superscript"/>
        </w:rPr>
        <w:t>th</w:t>
      </w:r>
      <w:r w:rsidRPr="00C23CCA">
        <w:rPr>
          <w:rFonts w:eastAsia="Arial Unicode MS"/>
          <w:noProof/>
        </w:rPr>
        <w:t xml:space="preserve"> EDF Financial Regulation, the Council must decide on this proposal at </w:t>
      </w:r>
      <w:r>
        <w:rPr>
          <w:rFonts w:eastAsia="Arial Unicode MS"/>
          <w:noProof/>
        </w:rPr>
        <w:t xml:space="preserve">the latest </w:t>
      </w:r>
      <w:r>
        <w:rPr>
          <w:rFonts w:eastAsia="Arial Unicode MS"/>
          <w:noProof/>
          <w:lang w:val="mt-MT"/>
        </w:rPr>
        <w:t xml:space="preserve">by </w:t>
      </w:r>
      <w:r>
        <w:rPr>
          <w:noProof/>
        </w:rPr>
        <w:t>15 November 2023</w:t>
      </w:r>
      <w:r w:rsidRPr="002E7A67">
        <w:rPr>
          <w:rFonts w:eastAsia="Arial Unicode MS"/>
          <w:noProof/>
        </w:rPr>
        <w:t>.</w:t>
      </w:r>
    </w:p>
    <w:p w14:paraId="5D7EAC05" w14:textId="0EF53F90" w:rsidR="00DD439E" w:rsidRPr="002D5EE2" w:rsidRDefault="00DD439E" w:rsidP="00CB442C">
      <w:pPr>
        <w:rPr>
          <w:rFonts w:eastAsia="Arial Unicode MS"/>
          <w:noProof/>
          <w:u w:color="000000"/>
          <w:bdr w:val="nil"/>
          <w:lang w:val="en-US" w:eastAsia="en-GB"/>
        </w:rPr>
      </w:pPr>
      <w:r w:rsidRPr="002D5EE2">
        <w:rPr>
          <w:rFonts w:eastAsia="Arial Unicode MS"/>
          <w:noProof/>
          <w:u w:color="000000"/>
          <w:bdr w:val="nil"/>
          <w:lang w:val="en-US" w:eastAsia="en-GB"/>
        </w:rPr>
        <w:tab/>
        <w:t xml:space="preserve"> </w:t>
      </w:r>
    </w:p>
    <w:p w14:paraId="5F9A1D12" w14:textId="77777777" w:rsidR="00DD439E" w:rsidRPr="00FD40BA" w:rsidRDefault="00DD439E" w:rsidP="004B3D92">
      <w:pPr>
        <w:rPr>
          <w:noProof/>
        </w:rPr>
        <w:sectPr w:rsidR="00DD439E" w:rsidRPr="00FD40BA" w:rsidSect="00F52539">
          <w:footerReference w:type="default" r:id="rId22"/>
          <w:footerReference w:type="first" r:id="rId23"/>
          <w:pgSz w:w="11907" w:h="16839"/>
          <w:pgMar w:top="1134" w:right="1417" w:bottom="1134" w:left="1417" w:header="709" w:footer="709" w:gutter="0"/>
          <w:cols w:space="708"/>
          <w:docGrid w:linePitch="360"/>
        </w:sectPr>
      </w:pPr>
    </w:p>
    <w:p w14:paraId="384AFD74" w14:textId="3C171FAA" w:rsidR="00C31BAC" w:rsidRDefault="00C31BAC" w:rsidP="00C31BAC">
      <w:pPr>
        <w:pStyle w:val="Rfrenceinterinstitutionnelle"/>
        <w:rPr>
          <w:noProof/>
        </w:rPr>
      </w:pPr>
      <w:r w:rsidRPr="00C31BAC">
        <w:t>2023/0336 (NLE)</w:t>
      </w:r>
    </w:p>
    <w:p w14:paraId="365A32E7" w14:textId="6BCD2680" w:rsidR="00DD439E" w:rsidRPr="00FD40BA" w:rsidRDefault="004C0845" w:rsidP="004C0845">
      <w:pPr>
        <w:pStyle w:val="Statut"/>
        <w:rPr>
          <w:noProof/>
        </w:rPr>
      </w:pPr>
      <w:r w:rsidRPr="004C0845">
        <w:rPr>
          <w:noProof/>
        </w:rPr>
        <w:t>Proposal for a</w:t>
      </w:r>
    </w:p>
    <w:p w14:paraId="3D5F88F5" w14:textId="64F4B447" w:rsidR="00DD439E" w:rsidRPr="00FD40BA" w:rsidRDefault="004C0845" w:rsidP="004C0845">
      <w:pPr>
        <w:pStyle w:val="Typedudocument"/>
        <w:rPr>
          <w:noProof/>
        </w:rPr>
      </w:pPr>
      <w:r w:rsidRPr="004C0845">
        <w:rPr>
          <w:noProof/>
        </w:rPr>
        <w:t>COUNCIL DECISION</w:t>
      </w:r>
    </w:p>
    <w:p w14:paraId="1515EBF5" w14:textId="5C333322" w:rsidR="00DD439E" w:rsidRPr="00FD40BA" w:rsidRDefault="004C0845" w:rsidP="004C0845">
      <w:pPr>
        <w:pStyle w:val="Titreobjet"/>
        <w:rPr>
          <w:noProof/>
        </w:rPr>
      </w:pPr>
      <w:r w:rsidRPr="004C0845">
        <w:rPr>
          <w:noProof/>
        </w:rPr>
        <w:t>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w:t>
      </w:r>
    </w:p>
    <w:p w14:paraId="0509DE63" w14:textId="77777777" w:rsidR="00DD439E" w:rsidRPr="00FD40BA" w:rsidRDefault="00DD439E" w:rsidP="004B3D92">
      <w:pPr>
        <w:pStyle w:val="Institutionquiagit"/>
        <w:rPr>
          <w:noProof/>
        </w:rPr>
      </w:pPr>
      <w:r w:rsidRPr="00FD40BA">
        <w:rPr>
          <w:noProof/>
        </w:rPr>
        <w:t>THE COUNCIL OF THE EUROPEAN UNION,</w:t>
      </w:r>
    </w:p>
    <w:p w14:paraId="2F4264D3" w14:textId="77777777" w:rsidR="00D92744" w:rsidRDefault="00CB442C" w:rsidP="004B3D92">
      <w:pPr>
        <w:rPr>
          <w:noProof/>
        </w:rPr>
      </w:pPr>
      <w:r>
        <w:rPr>
          <w:noProof/>
        </w:rPr>
        <w:t xml:space="preserve">Having regard to the Treaty on the Functioning of the European Union, </w:t>
      </w:r>
    </w:p>
    <w:p w14:paraId="66A54145" w14:textId="21AC3712" w:rsidR="00CB442C" w:rsidRDefault="00CB442C" w:rsidP="004B3D92">
      <w:pPr>
        <w:rPr>
          <w:noProof/>
        </w:rPr>
      </w:pPr>
      <w:r>
        <w:rPr>
          <w:noProof/>
        </w:rPr>
        <w:t>Having regard to the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w:t>
      </w:r>
      <w:r w:rsidR="0003424E">
        <w:rPr>
          <w:noProof/>
        </w:rPr>
        <w:t>g of the European Union applies</w:t>
      </w:r>
      <w:r w:rsidR="0003424E">
        <w:rPr>
          <w:rStyle w:val="FootnoteReference"/>
          <w:noProof/>
        </w:rPr>
        <w:footnoteReference w:id="8"/>
      </w:r>
      <w:r>
        <w:rPr>
          <w:noProof/>
        </w:rPr>
        <w:t xml:space="preserve"> and in particular Article 7(2) in conjunction with Article 14(3) thereof, </w:t>
      </w:r>
    </w:p>
    <w:p w14:paraId="6CC5F4F1" w14:textId="0C084F31" w:rsidR="00CB442C" w:rsidRDefault="00CB442C" w:rsidP="004B3D92">
      <w:pPr>
        <w:rPr>
          <w:noProof/>
        </w:rPr>
      </w:pPr>
      <w:r>
        <w:rPr>
          <w:noProof/>
        </w:rPr>
        <w:t>Having regard to the Counci</w:t>
      </w:r>
      <w:r w:rsidR="0003424E">
        <w:rPr>
          <w:noProof/>
        </w:rPr>
        <w:t>l Regulation (EU) 2018/1877</w:t>
      </w:r>
      <w:r w:rsidR="0003424E">
        <w:rPr>
          <w:rStyle w:val="FootnoteReference"/>
          <w:noProof/>
        </w:rPr>
        <w:footnoteReference w:id="9"/>
      </w:r>
      <w:r>
        <w:rPr>
          <w:noProof/>
        </w:rPr>
        <w:t xml:space="preserve"> of 26 November 2018 on the financial regulation applicable to the 11th European Development Fund, and rep</w:t>
      </w:r>
      <w:r w:rsidR="003E3BCC">
        <w:rPr>
          <w:noProof/>
        </w:rPr>
        <w:t>ealing Regulation (EU) 2015/323</w:t>
      </w:r>
      <w:r w:rsidR="003E3BCC">
        <w:rPr>
          <w:rStyle w:val="FootnoteReference"/>
          <w:noProof/>
        </w:rPr>
        <w:footnoteReference w:id="10"/>
      </w:r>
      <w:r>
        <w:rPr>
          <w:noProof/>
        </w:rPr>
        <w:t xml:space="preserve"> , and in particular Article 19(</w:t>
      </w:r>
      <w:r w:rsidR="00EC2173">
        <w:rPr>
          <w:noProof/>
        </w:rPr>
        <w:t>2</w:t>
      </w:r>
      <w:r>
        <w:rPr>
          <w:noProof/>
        </w:rPr>
        <w:t xml:space="preserve">) thereof, </w:t>
      </w:r>
    </w:p>
    <w:p w14:paraId="0152AB94" w14:textId="13631DC9" w:rsidR="00CB442C" w:rsidRDefault="00CB442C" w:rsidP="004B3D92">
      <w:pPr>
        <w:rPr>
          <w:noProof/>
        </w:rPr>
      </w:pPr>
      <w:r>
        <w:rPr>
          <w:noProof/>
        </w:rPr>
        <w:t>Having regard to the proposal from the European Commission,</w:t>
      </w:r>
    </w:p>
    <w:p w14:paraId="5B8D0124" w14:textId="429A90C0" w:rsidR="00DD439E" w:rsidRPr="00FD40BA" w:rsidRDefault="00DD439E" w:rsidP="004B3D92">
      <w:pPr>
        <w:rPr>
          <w:noProof/>
        </w:rPr>
      </w:pPr>
      <w:r w:rsidRPr="00FD40BA">
        <w:rPr>
          <w:noProof/>
        </w:rPr>
        <w:t>Whereas:</w:t>
      </w:r>
    </w:p>
    <w:p w14:paraId="76C4208D" w14:textId="73E0F2E1" w:rsidR="00CA076E" w:rsidRDefault="00646139" w:rsidP="00646139">
      <w:pPr>
        <w:pStyle w:val="ManualConsidrant"/>
        <w:rPr>
          <w:noProof/>
        </w:rPr>
      </w:pPr>
      <w:r w:rsidRPr="00646139">
        <w:t>(1)</w:t>
      </w:r>
      <w:r w:rsidRPr="00646139">
        <w:tab/>
      </w:r>
      <w:r w:rsidR="00CA076E">
        <w:rPr>
          <w:noProof/>
        </w:rPr>
        <w:t xml:space="preserve">In accordance with Article 46 of </w:t>
      </w:r>
      <w:r w:rsidR="00EC2173">
        <w:rPr>
          <w:noProof/>
        </w:rPr>
        <w:t xml:space="preserve">Council </w:t>
      </w:r>
      <w:r w:rsidR="00CA076E">
        <w:rPr>
          <w:noProof/>
        </w:rPr>
        <w:t xml:space="preserve">Regulation (EU) 2018/1877, the European Investment Bank (‘EIB’) is to send to the Commission its updated estimates of commitments and payments under the instruments it manages. </w:t>
      </w:r>
    </w:p>
    <w:p w14:paraId="6FC59871" w14:textId="30742CA1" w:rsidR="00CA076E" w:rsidRDefault="00646139" w:rsidP="00646139">
      <w:pPr>
        <w:pStyle w:val="ManualConsidrant"/>
        <w:rPr>
          <w:noProof/>
        </w:rPr>
      </w:pPr>
      <w:r w:rsidRPr="00646139">
        <w:t>(2)</w:t>
      </w:r>
      <w:r w:rsidRPr="00646139">
        <w:tab/>
      </w:r>
      <w:r w:rsidR="009973AB" w:rsidRPr="003832B2">
        <w:rPr>
          <w:noProof/>
        </w:rPr>
        <w:t xml:space="preserve">In accordance with the procedure laid down in </w:t>
      </w:r>
      <w:r w:rsidR="009973AB" w:rsidRPr="00E94BE9">
        <w:rPr>
          <w:noProof/>
        </w:rPr>
        <w:t>Article</w:t>
      </w:r>
      <w:r w:rsidR="009973AB">
        <w:rPr>
          <w:noProof/>
        </w:rPr>
        <w:t xml:space="preserve"> 19(2</w:t>
      </w:r>
      <w:r w:rsidR="009973AB" w:rsidRPr="003832B2">
        <w:rPr>
          <w:noProof/>
        </w:rPr>
        <w:t>)</w:t>
      </w:r>
      <w:r w:rsidR="009973AB">
        <w:rPr>
          <w:noProof/>
        </w:rPr>
        <w:t>,</w:t>
      </w:r>
      <w:r w:rsidR="009973AB" w:rsidRPr="00E94BE9">
        <w:rPr>
          <w:noProof/>
        </w:rPr>
        <w:t xml:space="preserve"> of </w:t>
      </w:r>
      <w:r w:rsidR="009973AB">
        <w:rPr>
          <w:noProof/>
        </w:rPr>
        <w:t xml:space="preserve">Council </w:t>
      </w:r>
      <w:r w:rsidR="009973AB" w:rsidRPr="00E94BE9">
        <w:rPr>
          <w:noProof/>
        </w:rPr>
        <w:t>Regulation</w:t>
      </w:r>
      <w:r w:rsidR="009973AB">
        <w:rPr>
          <w:noProof/>
        </w:rPr>
        <w:t xml:space="preserve"> (EU) 2018/1877</w:t>
      </w:r>
      <w:r w:rsidR="009973AB" w:rsidRPr="00E94BE9">
        <w:rPr>
          <w:noProof/>
        </w:rPr>
        <w:t xml:space="preserve">, the Commission </w:t>
      </w:r>
      <w:r w:rsidR="009973AB">
        <w:rPr>
          <w:noProof/>
        </w:rPr>
        <w:t>is to</w:t>
      </w:r>
      <w:r w:rsidR="009973AB" w:rsidRPr="00E94BE9">
        <w:rPr>
          <w:noProof/>
        </w:rPr>
        <w:t xml:space="preserve"> present a proposal by</w:t>
      </w:r>
      <w:r w:rsidR="009973AB">
        <w:rPr>
          <w:noProof/>
        </w:rPr>
        <w:t xml:space="preserve"> 15 October 2023 specifying the </w:t>
      </w:r>
      <w:r w:rsidR="009973AB" w:rsidRPr="005A65D5">
        <w:rPr>
          <w:rFonts w:eastAsia="Calibri"/>
          <w:noProof/>
        </w:rPr>
        <w:t>ceiling amo</w:t>
      </w:r>
      <w:r w:rsidR="009973AB">
        <w:rPr>
          <w:rFonts w:eastAsia="Calibri"/>
          <w:noProof/>
        </w:rPr>
        <w:t>unt of the contribution for 2025</w:t>
      </w:r>
      <w:r w:rsidR="009973AB">
        <w:rPr>
          <w:rFonts w:eastAsia="Calibri"/>
          <w:noProof/>
          <w:lang w:val="mt-MT"/>
        </w:rPr>
        <w:t>,</w:t>
      </w:r>
      <w:r w:rsidR="009973AB" w:rsidRPr="005A65D5">
        <w:rPr>
          <w:rFonts w:eastAsia="Calibri"/>
          <w:noProof/>
        </w:rPr>
        <w:t xml:space="preserve"> the annual amo</w:t>
      </w:r>
      <w:r w:rsidR="009973AB">
        <w:rPr>
          <w:rFonts w:eastAsia="Calibri"/>
          <w:noProof/>
        </w:rPr>
        <w:t>unt of the contribution for 2024</w:t>
      </w:r>
      <w:r w:rsidR="009973AB">
        <w:rPr>
          <w:rFonts w:eastAsia="Calibri"/>
          <w:noProof/>
          <w:lang w:val="mt-MT"/>
        </w:rPr>
        <w:t>,</w:t>
      </w:r>
      <w:r w:rsidR="009973AB" w:rsidRPr="005A65D5">
        <w:rPr>
          <w:rFonts w:eastAsia="Calibri"/>
          <w:noProof/>
        </w:rPr>
        <w:t xml:space="preserve"> the amount of the first instalm</w:t>
      </w:r>
      <w:r w:rsidR="009973AB">
        <w:rPr>
          <w:rFonts w:eastAsia="Calibri"/>
          <w:noProof/>
        </w:rPr>
        <w:t>ent of the contribution for 2024</w:t>
      </w:r>
      <w:r w:rsidR="009973AB" w:rsidRPr="005A65D5">
        <w:rPr>
          <w:rFonts w:eastAsia="Calibri"/>
          <w:noProof/>
        </w:rPr>
        <w:t xml:space="preserve"> and an indicative, non-binding forecast for the expected annual amounts of </w:t>
      </w:r>
      <w:r w:rsidR="009973AB">
        <w:rPr>
          <w:rFonts w:eastAsia="Calibri"/>
          <w:noProof/>
        </w:rPr>
        <w:t>contributions for the years 2026</w:t>
      </w:r>
      <w:r w:rsidR="009973AB">
        <w:rPr>
          <w:rFonts w:eastAsia="Calibri"/>
          <w:noProof/>
          <w:lang w:val="mt-MT"/>
        </w:rPr>
        <w:t xml:space="preserve"> and </w:t>
      </w:r>
      <w:r w:rsidR="009973AB">
        <w:rPr>
          <w:rFonts w:eastAsia="Calibri"/>
          <w:noProof/>
        </w:rPr>
        <w:t>2027</w:t>
      </w:r>
      <w:r w:rsidR="009973AB">
        <w:rPr>
          <w:noProof/>
        </w:rPr>
        <w:t>.</w:t>
      </w:r>
    </w:p>
    <w:p w14:paraId="070F2E1E" w14:textId="1736E822" w:rsidR="001D6A14" w:rsidRDefault="00646139" w:rsidP="00646139">
      <w:pPr>
        <w:pStyle w:val="ManualConsidrant"/>
        <w:rPr>
          <w:noProof/>
        </w:rPr>
      </w:pPr>
      <w:r w:rsidRPr="00646139">
        <w:t>(3)</w:t>
      </w:r>
      <w:r w:rsidRPr="00646139">
        <w:tab/>
      </w:r>
      <w:r w:rsidR="00CB442C">
        <w:rPr>
          <w:noProof/>
        </w:rPr>
        <w:t xml:space="preserve">Pursuant to Article 20(1) of Regulation (EU) 2018/1877 calls for contributions are to first use up the amounts provided for in previous European Development Funds (‘EDF’). Therefore a call for funds pursuant to Regulation (EU) 2018/1877, for the EIB and for the Commission should be made. </w:t>
      </w:r>
    </w:p>
    <w:p w14:paraId="57B28F2F" w14:textId="1FB5A991" w:rsidR="001D6A14" w:rsidRDefault="00646139" w:rsidP="00646139">
      <w:pPr>
        <w:pStyle w:val="ManualConsidrant"/>
        <w:rPr>
          <w:noProof/>
        </w:rPr>
      </w:pPr>
      <w:r w:rsidRPr="00646139">
        <w:t>(4)</w:t>
      </w:r>
      <w:r w:rsidRPr="00646139">
        <w:tab/>
      </w:r>
      <w:r w:rsidR="00CB442C">
        <w:rPr>
          <w:noProof/>
        </w:rPr>
        <w:t xml:space="preserve">Pursuant to Article 152 of the Agreement on the withdrawal of the United Kingdom of Great Britain and Northern Ireland from the European Union and the European Atomic Energy Community (‘the withdrawal agreement’), the United Kingdom of Great Britain and Northern Ireland (the ‘United Kingdom’) is to remain party to the  EDF until the closure of the 11th EDF and all previous unclosed EDFs. However, pursuant to Article 153 of the withdrawal agreement the United Kingdom’s share in decommitted funds from projects under the 11th EDF, where those funds have been decommitted after 31 December 2020, or previous EDFs are not to be reused. </w:t>
      </w:r>
    </w:p>
    <w:p w14:paraId="04E1F2B4" w14:textId="2C359C30" w:rsidR="001D6A14" w:rsidRDefault="00646139" w:rsidP="00646139">
      <w:pPr>
        <w:pStyle w:val="ManualConsidrant"/>
        <w:rPr>
          <w:noProof/>
        </w:rPr>
      </w:pPr>
      <w:r w:rsidRPr="00646139">
        <w:t>(5)</w:t>
      </w:r>
      <w:r w:rsidRPr="00646139">
        <w:tab/>
      </w:r>
      <w:r w:rsidR="00CB442C">
        <w:rPr>
          <w:noProof/>
        </w:rPr>
        <w:t>Council Decision (EU) 2022/224</w:t>
      </w:r>
      <w:r w:rsidR="00CB442C" w:rsidRPr="001D6A14">
        <w:rPr>
          <w:noProof/>
          <w:color w:val="000000" w:themeColor="text1"/>
        </w:rPr>
        <w:t>2</w:t>
      </w:r>
      <w:r w:rsidR="00551946">
        <w:rPr>
          <w:rStyle w:val="FootnoteReference"/>
          <w:noProof/>
          <w:color w:val="000000" w:themeColor="text1"/>
        </w:rPr>
        <w:footnoteReference w:id="11"/>
      </w:r>
      <w:r w:rsidR="00CB442C">
        <w:rPr>
          <w:noProof/>
        </w:rPr>
        <w:t>, sets the</w:t>
      </w:r>
      <w:r w:rsidR="00A033C6">
        <w:rPr>
          <w:noProof/>
        </w:rPr>
        <w:t xml:space="preserve"> ceiling for the</w:t>
      </w:r>
      <w:r w:rsidR="00CB442C">
        <w:rPr>
          <w:noProof/>
        </w:rPr>
        <w:t xml:space="preserve"> annual amount of the contribution to be paid by the parties to the EDF for 202</w:t>
      </w:r>
      <w:r w:rsidR="009973AB">
        <w:rPr>
          <w:noProof/>
        </w:rPr>
        <w:t>4</w:t>
      </w:r>
      <w:r w:rsidR="00CB442C">
        <w:rPr>
          <w:noProof/>
        </w:rPr>
        <w:t xml:space="preserve"> at EUR 1 </w:t>
      </w:r>
      <w:r w:rsidR="00A033C6">
        <w:rPr>
          <w:noProof/>
        </w:rPr>
        <w:t>3</w:t>
      </w:r>
      <w:r w:rsidR="00CB442C">
        <w:rPr>
          <w:noProof/>
        </w:rPr>
        <w:t>00 000 00</w:t>
      </w:r>
      <w:r w:rsidR="00CB442C" w:rsidRPr="001D6A14">
        <w:rPr>
          <w:noProof/>
          <w:color w:val="000000" w:themeColor="text1"/>
        </w:rPr>
        <w:t>0</w:t>
      </w:r>
      <w:r w:rsidR="00551946">
        <w:rPr>
          <w:rStyle w:val="FootnoteReference"/>
          <w:noProof/>
          <w:color w:val="000000" w:themeColor="text1"/>
        </w:rPr>
        <w:footnoteReference w:id="12"/>
      </w:r>
      <w:r w:rsidR="00CB442C">
        <w:rPr>
          <w:noProof/>
        </w:rPr>
        <w:t xml:space="preserve"> for the Commission, and at EUR 300 000 000 for the European Investment Bank. </w:t>
      </w:r>
    </w:p>
    <w:p w14:paraId="701A279C" w14:textId="1CE22F19" w:rsidR="00551946" w:rsidRDefault="00646139" w:rsidP="00646139">
      <w:pPr>
        <w:pStyle w:val="ManualConsidrant"/>
        <w:rPr>
          <w:noProof/>
        </w:rPr>
      </w:pPr>
      <w:r w:rsidRPr="00646139">
        <w:t>(6)</w:t>
      </w:r>
      <w:r w:rsidRPr="00646139">
        <w:tab/>
      </w:r>
      <w:r w:rsidR="00CB442C">
        <w:rPr>
          <w:noProof/>
        </w:rPr>
        <w:t>In order to allow for the prompt application of the measures provided for in this Decision, this Decision should enter into force on the day of its publication in the Official Journal of the European Union,</w:t>
      </w:r>
    </w:p>
    <w:p w14:paraId="366E6C68" w14:textId="77777777" w:rsidR="00DD439E" w:rsidRPr="00FD40BA" w:rsidRDefault="00DD439E" w:rsidP="004B3D92">
      <w:pPr>
        <w:pStyle w:val="Formuledadoption"/>
        <w:rPr>
          <w:noProof/>
        </w:rPr>
      </w:pPr>
      <w:r w:rsidRPr="00FD40BA">
        <w:rPr>
          <w:noProof/>
        </w:rPr>
        <w:t xml:space="preserve">HAS ADOPTED THIS DECISION: </w:t>
      </w:r>
    </w:p>
    <w:p w14:paraId="45419870" w14:textId="21B201E6" w:rsidR="00DD439E" w:rsidRDefault="00DD439E" w:rsidP="004B3D92">
      <w:pPr>
        <w:pStyle w:val="Titrearticle"/>
        <w:rPr>
          <w:noProof/>
        </w:rPr>
      </w:pPr>
      <w:r w:rsidRPr="00FD40BA">
        <w:rPr>
          <w:noProof/>
        </w:rPr>
        <w:t>Article 1</w:t>
      </w:r>
    </w:p>
    <w:p w14:paraId="6A2C73A9" w14:textId="7B115564" w:rsidR="006B5B34" w:rsidRPr="00C60BFD" w:rsidRDefault="006B5B34" w:rsidP="006B5B34">
      <w:pPr>
        <w:rPr>
          <w:noProof/>
        </w:rPr>
      </w:pPr>
      <w:r w:rsidRPr="000C5937">
        <w:rPr>
          <w:noProof/>
        </w:rPr>
        <w:t xml:space="preserve">The ceiling for the </w:t>
      </w:r>
      <w:r w:rsidRPr="000C5937">
        <w:rPr>
          <w:rFonts w:eastAsia="Calibri"/>
          <w:noProof/>
        </w:rPr>
        <w:t xml:space="preserve">annual amount of the </w:t>
      </w:r>
      <w:r w:rsidRPr="000C5937">
        <w:rPr>
          <w:noProof/>
        </w:rPr>
        <w:t xml:space="preserve">contributions to be paid by the parties to the </w:t>
      </w:r>
      <w:r w:rsidRPr="00AA3F90">
        <w:rPr>
          <w:noProof/>
        </w:rPr>
        <w:t>European Development Fund for 202</w:t>
      </w:r>
      <w:r>
        <w:rPr>
          <w:noProof/>
        </w:rPr>
        <w:t>5</w:t>
      </w:r>
      <w:r w:rsidRPr="00AA3F90">
        <w:rPr>
          <w:noProof/>
        </w:rPr>
        <w:t xml:space="preserve"> is hereby set at EUR  </w:t>
      </w:r>
      <w:r>
        <w:rPr>
          <w:noProof/>
        </w:rPr>
        <w:t>8</w:t>
      </w:r>
      <w:r w:rsidRPr="00AA3F90">
        <w:rPr>
          <w:noProof/>
        </w:rPr>
        <w:t>0</w:t>
      </w:r>
      <w:r>
        <w:rPr>
          <w:noProof/>
        </w:rPr>
        <w:t>9</w:t>
      </w:r>
      <w:r w:rsidRPr="00AA3F90">
        <w:rPr>
          <w:noProof/>
        </w:rPr>
        <w:t xml:space="preserve"> 000 000</w:t>
      </w:r>
      <w:r w:rsidR="001D5CEB">
        <w:rPr>
          <w:noProof/>
        </w:rPr>
        <w:t>.</w:t>
      </w:r>
      <w:r w:rsidRPr="00AA3F90">
        <w:rPr>
          <w:noProof/>
        </w:rPr>
        <w:t xml:space="preserve"> It shall be divided into EUR  </w:t>
      </w:r>
      <w:r>
        <w:rPr>
          <w:noProof/>
        </w:rPr>
        <w:t>8</w:t>
      </w:r>
      <w:r w:rsidRPr="00AA3F90">
        <w:rPr>
          <w:noProof/>
        </w:rPr>
        <w:t>00 000 000 for the Commission, and EUR </w:t>
      </w:r>
      <w:r>
        <w:rPr>
          <w:noProof/>
        </w:rPr>
        <w:t>9</w:t>
      </w:r>
      <w:r w:rsidRPr="00AA3F90">
        <w:rPr>
          <w:noProof/>
        </w:rPr>
        <w:t xml:space="preserve"> 000 000 for the EIB.</w:t>
      </w:r>
    </w:p>
    <w:p w14:paraId="509AD382" w14:textId="3BC7B2CE" w:rsidR="00BD4175" w:rsidRPr="00BD4175" w:rsidRDefault="00BD4175" w:rsidP="00D1111A">
      <w:pPr>
        <w:pStyle w:val="Titrearticle"/>
        <w:keepNext w:val="0"/>
        <w:rPr>
          <w:noProof/>
        </w:rPr>
      </w:pPr>
      <w:r w:rsidRPr="00D1111A">
        <w:rPr>
          <w:noProof/>
        </w:rPr>
        <w:t>Article 2</w:t>
      </w:r>
    </w:p>
    <w:p w14:paraId="10282094" w14:textId="7739D6A7" w:rsidR="006B5B34" w:rsidRDefault="006B5B34" w:rsidP="006B5B34">
      <w:pPr>
        <w:keepLines/>
        <w:rPr>
          <w:rFonts w:eastAsia="Calibri"/>
          <w:noProof/>
        </w:rPr>
      </w:pPr>
      <w:r w:rsidRPr="00870D33">
        <w:rPr>
          <w:rFonts w:eastAsia="Calibri"/>
          <w:noProof/>
        </w:rPr>
        <w:t xml:space="preserve">The annual amount of the </w:t>
      </w:r>
      <w:r w:rsidRPr="00870D33">
        <w:rPr>
          <w:noProof/>
        </w:rPr>
        <w:t xml:space="preserve">contributions to be paid by the parties to the European Development Fund for </w:t>
      </w:r>
      <w:r>
        <w:rPr>
          <w:rFonts w:eastAsia="Calibri"/>
          <w:noProof/>
        </w:rPr>
        <w:t>202</w:t>
      </w:r>
      <w:r w:rsidR="005E6B62">
        <w:rPr>
          <w:rFonts w:eastAsia="Calibri"/>
          <w:noProof/>
        </w:rPr>
        <w:t>4</w:t>
      </w:r>
      <w:r w:rsidRPr="00870D33">
        <w:rPr>
          <w:rFonts w:eastAsia="Calibri"/>
          <w:noProof/>
        </w:rPr>
        <w:t xml:space="preserve"> is hereby set at </w:t>
      </w:r>
      <w:r w:rsidRPr="00AA3F90">
        <w:rPr>
          <w:noProof/>
        </w:rPr>
        <w:t xml:space="preserve">EUR 1 </w:t>
      </w:r>
      <w:r w:rsidR="005E6B62">
        <w:rPr>
          <w:noProof/>
        </w:rPr>
        <w:t>5</w:t>
      </w:r>
      <w:r w:rsidRPr="00AA3F90">
        <w:rPr>
          <w:noProof/>
        </w:rPr>
        <w:t>00 000 000</w:t>
      </w:r>
      <w:r w:rsidR="00A033C6">
        <w:rPr>
          <w:rStyle w:val="FootnoteReference"/>
          <w:noProof/>
        </w:rPr>
        <w:footnoteReference w:id="13"/>
      </w:r>
      <w:r w:rsidR="001D5CEB">
        <w:rPr>
          <w:noProof/>
        </w:rPr>
        <w:t>.</w:t>
      </w:r>
      <w:r w:rsidRPr="00AA3F90">
        <w:rPr>
          <w:noProof/>
        </w:rPr>
        <w:t xml:space="preserve"> It shall be divided into EUR</w:t>
      </w:r>
      <w:r w:rsidR="001D5CEB">
        <w:rPr>
          <w:noProof/>
        </w:rPr>
        <w:t> </w:t>
      </w:r>
      <w:r w:rsidRPr="00AA3F90">
        <w:rPr>
          <w:noProof/>
        </w:rPr>
        <w:t>1</w:t>
      </w:r>
      <w:r w:rsidR="001D5CEB">
        <w:rPr>
          <w:noProof/>
        </w:rPr>
        <w:t> </w:t>
      </w:r>
      <w:r w:rsidR="005E6B62">
        <w:rPr>
          <w:noProof/>
        </w:rPr>
        <w:t>2</w:t>
      </w:r>
      <w:r w:rsidRPr="00AA3F90">
        <w:rPr>
          <w:noProof/>
        </w:rPr>
        <w:t>00</w:t>
      </w:r>
      <w:r w:rsidR="001D5CEB">
        <w:rPr>
          <w:noProof/>
        </w:rPr>
        <w:t> </w:t>
      </w:r>
      <w:r w:rsidRPr="00AA3F90">
        <w:rPr>
          <w:noProof/>
        </w:rPr>
        <w:t>000</w:t>
      </w:r>
      <w:r w:rsidR="001D5CEB">
        <w:rPr>
          <w:noProof/>
        </w:rPr>
        <w:t> </w:t>
      </w:r>
      <w:r w:rsidRPr="00AA3F90">
        <w:rPr>
          <w:noProof/>
        </w:rPr>
        <w:t>000 for the Commission, and EUR 300 000 000 for the EIB.</w:t>
      </w:r>
    </w:p>
    <w:p w14:paraId="124FCBB5" w14:textId="1D942E33" w:rsidR="00551946" w:rsidRDefault="00DD439E" w:rsidP="00551946">
      <w:pPr>
        <w:pStyle w:val="Titrearticle"/>
        <w:keepNext w:val="0"/>
        <w:rPr>
          <w:noProof/>
        </w:rPr>
      </w:pPr>
      <w:r w:rsidRPr="00551946">
        <w:rPr>
          <w:noProof/>
        </w:rPr>
        <w:t>Article</w:t>
      </w:r>
      <w:r w:rsidR="00551946" w:rsidRPr="00551946">
        <w:rPr>
          <w:noProof/>
        </w:rPr>
        <w:t xml:space="preserve"> </w:t>
      </w:r>
      <w:r w:rsidR="00BD4175">
        <w:rPr>
          <w:noProof/>
        </w:rPr>
        <w:t>3</w:t>
      </w:r>
      <w:bookmarkStart w:id="2" w:name="_Hlk126129799"/>
      <w:r w:rsidRPr="00551946">
        <w:rPr>
          <w:noProof/>
        </w:rPr>
        <w:t xml:space="preserve"> </w:t>
      </w:r>
    </w:p>
    <w:bookmarkEnd w:id="2"/>
    <w:p w14:paraId="0351FBDB" w14:textId="7490226E" w:rsidR="00F610E0" w:rsidRDefault="00F610E0" w:rsidP="00F610E0">
      <w:pPr>
        <w:rPr>
          <w:noProof/>
        </w:rPr>
      </w:pPr>
      <w:r w:rsidRPr="00BD4175">
        <w:rPr>
          <w:noProof/>
        </w:rPr>
        <w:t xml:space="preserve">The amount of the contributions to be paid by the parties to the European Development Fund </w:t>
      </w:r>
      <w:r>
        <w:rPr>
          <w:noProof/>
        </w:rPr>
        <w:t xml:space="preserve">as a first instalment </w:t>
      </w:r>
      <w:r w:rsidRPr="00BD4175">
        <w:rPr>
          <w:noProof/>
        </w:rPr>
        <w:t>for 202</w:t>
      </w:r>
      <w:r>
        <w:rPr>
          <w:noProof/>
        </w:rPr>
        <w:t>4</w:t>
      </w:r>
      <w:r w:rsidRPr="00BD4175">
        <w:rPr>
          <w:noProof/>
        </w:rPr>
        <w:t xml:space="preserve"> is hereby set at EUR </w:t>
      </w:r>
      <w:r>
        <w:rPr>
          <w:noProof/>
        </w:rPr>
        <w:t>650 000 000</w:t>
      </w:r>
      <w:r w:rsidRPr="00BD4175">
        <w:rPr>
          <w:noProof/>
        </w:rPr>
        <w:t>. It shall be divided into EUR</w:t>
      </w:r>
      <w:r w:rsidR="001D5CEB">
        <w:rPr>
          <w:noProof/>
        </w:rPr>
        <w:t> </w:t>
      </w:r>
      <w:r>
        <w:rPr>
          <w:noProof/>
        </w:rPr>
        <w:t>550</w:t>
      </w:r>
      <w:r w:rsidR="001D5CEB">
        <w:rPr>
          <w:noProof/>
        </w:rPr>
        <w:t> </w:t>
      </w:r>
      <w:r>
        <w:rPr>
          <w:noProof/>
        </w:rPr>
        <w:t>000</w:t>
      </w:r>
      <w:r w:rsidR="001D5CEB">
        <w:rPr>
          <w:noProof/>
        </w:rPr>
        <w:t> </w:t>
      </w:r>
      <w:r>
        <w:rPr>
          <w:noProof/>
        </w:rPr>
        <w:t>000</w:t>
      </w:r>
      <w:r w:rsidRPr="00BD4175">
        <w:rPr>
          <w:noProof/>
        </w:rPr>
        <w:t xml:space="preserve"> for the Commission, and EUR </w:t>
      </w:r>
      <w:r>
        <w:rPr>
          <w:noProof/>
        </w:rPr>
        <w:t>100 000 000</w:t>
      </w:r>
      <w:r w:rsidRPr="00BD4175">
        <w:rPr>
          <w:noProof/>
        </w:rPr>
        <w:t xml:space="preserve"> for the EIB.</w:t>
      </w:r>
    </w:p>
    <w:p w14:paraId="0B546BC7" w14:textId="4DFB76EC" w:rsidR="00F610E0" w:rsidRDefault="00F610E0" w:rsidP="00F610E0">
      <w:pPr>
        <w:pStyle w:val="Titrearticle"/>
        <w:keepNext w:val="0"/>
        <w:rPr>
          <w:noProof/>
        </w:rPr>
      </w:pPr>
      <w:r w:rsidRPr="00551946">
        <w:rPr>
          <w:noProof/>
        </w:rPr>
        <w:t>Article</w:t>
      </w:r>
      <w:r>
        <w:rPr>
          <w:noProof/>
        </w:rPr>
        <w:t xml:space="preserve"> 4</w:t>
      </w:r>
      <w:r w:rsidRPr="00551946">
        <w:rPr>
          <w:noProof/>
        </w:rPr>
        <w:t xml:space="preserve"> </w:t>
      </w:r>
    </w:p>
    <w:p w14:paraId="22B15266" w14:textId="750D3416" w:rsidR="00F610E0" w:rsidRPr="007F6EF2" w:rsidRDefault="00F610E0" w:rsidP="00F610E0">
      <w:pPr>
        <w:rPr>
          <w:noProof/>
        </w:rPr>
      </w:pPr>
      <w:r w:rsidRPr="00325B54">
        <w:rPr>
          <w:rFonts w:eastAsia="Calibri"/>
          <w:noProof/>
        </w:rPr>
        <w:t xml:space="preserve">An amount of EUR </w:t>
      </w:r>
      <w:r w:rsidR="00F56ECA">
        <w:rPr>
          <w:rFonts w:eastAsia="Calibri"/>
          <w:noProof/>
        </w:rPr>
        <w:t>7</w:t>
      </w:r>
      <w:r>
        <w:rPr>
          <w:rFonts w:eastAsia="Calibri"/>
          <w:noProof/>
        </w:rPr>
        <w:t xml:space="preserve"> </w:t>
      </w:r>
      <w:r w:rsidR="00871997">
        <w:rPr>
          <w:rFonts w:eastAsia="Calibri"/>
          <w:noProof/>
        </w:rPr>
        <w:t>8</w:t>
      </w:r>
      <w:r>
        <w:rPr>
          <w:rFonts w:eastAsia="Calibri"/>
          <w:noProof/>
        </w:rPr>
        <w:t>00 000</w:t>
      </w:r>
      <w:r w:rsidRPr="00325B54">
        <w:rPr>
          <w:rFonts w:eastAsia="Calibri"/>
          <w:noProof/>
        </w:rPr>
        <w:t xml:space="preserve"> from uncommitted or decomm</w:t>
      </w:r>
      <w:r>
        <w:rPr>
          <w:rFonts w:eastAsia="Calibri"/>
          <w:noProof/>
        </w:rPr>
        <w:t xml:space="preserve">itted funds from projects under </w:t>
      </w:r>
      <w:r w:rsidRPr="007F6EF2">
        <w:rPr>
          <w:noProof/>
        </w:rPr>
        <w:t>the Ninth EDF shall be refunded by a reduction of payment again</w:t>
      </w:r>
      <w:r>
        <w:rPr>
          <w:noProof/>
        </w:rPr>
        <w:t>st the first instalment for 2024</w:t>
      </w:r>
      <w:r w:rsidRPr="007F6EF2">
        <w:rPr>
          <w:noProof/>
        </w:rPr>
        <w:t xml:space="preserve"> set out in Article</w:t>
      </w:r>
      <w:r>
        <w:rPr>
          <w:noProof/>
        </w:rPr>
        <w:t xml:space="preserve"> 3.</w:t>
      </w:r>
    </w:p>
    <w:p w14:paraId="3DAC1D7F" w14:textId="77777777" w:rsidR="00F610E0" w:rsidRPr="00325B54" w:rsidRDefault="00F610E0" w:rsidP="00F610E0">
      <w:pPr>
        <w:pStyle w:val="Titrearticle"/>
        <w:rPr>
          <w:noProof/>
        </w:rPr>
      </w:pPr>
      <w:r w:rsidRPr="00325B54">
        <w:rPr>
          <w:noProof/>
        </w:rPr>
        <w:t>Article</w:t>
      </w:r>
      <w:r>
        <w:rPr>
          <w:noProof/>
        </w:rPr>
        <w:t xml:space="preserve"> 5</w:t>
      </w:r>
    </w:p>
    <w:p w14:paraId="0EF45D7E" w14:textId="34080B59" w:rsidR="00F610E0" w:rsidRPr="00B75B64" w:rsidRDefault="00F610E0" w:rsidP="00F610E0">
      <w:pPr>
        <w:keepLines/>
        <w:rPr>
          <w:noProof/>
        </w:rPr>
      </w:pPr>
      <w:r w:rsidRPr="000C5937">
        <w:rPr>
          <w:rFonts w:eastAsia="Calibri"/>
          <w:noProof/>
        </w:rPr>
        <w:t>The indicative non-binding forecast for the expected annual amount</w:t>
      </w:r>
      <w:r>
        <w:rPr>
          <w:rFonts w:eastAsia="Calibri"/>
          <w:noProof/>
        </w:rPr>
        <w:t xml:space="preserve"> of contributions for 202</w:t>
      </w:r>
      <w:r w:rsidR="00EC7661">
        <w:rPr>
          <w:rFonts w:eastAsia="Calibri"/>
          <w:noProof/>
        </w:rPr>
        <w:t>6</w:t>
      </w:r>
      <w:r>
        <w:rPr>
          <w:rFonts w:eastAsia="Calibri"/>
          <w:noProof/>
        </w:rPr>
        <w:t xml:space="preserve"> </w:t>
      </w:r>
      <w:r w:rsidRPr="000C5937">
        <w:rPr>
          <w:rFonts w:eastAsia="Calibri"/>
          <w:noProof/>
        </w:rPr>
        <w:t>is hereby set at EUR </w:t>
      </w:r>
      <w:r w:rsidR="00EC7661">
        <w:rPr>
          <w:rFonts w:eastAsia="Calibri"/>
          <w:noProof/>
        </w:rPr>
        <w:t>6</w:t>
      </w:r>
      <w:r>
        <w:rPr>
          <w:rFonts w:eastAsia="Calibri"/>
          <w:noProof/>
        </w:rPr>
        <w:t>00 000 000</w:t>
      </w:r>
      <w:r w:rsidRPr="000C5937">
        <w:rPr>
          <w:rFonts w:eastAsia="Calibri"/>
          <w:noProof/>
        </w:rPr>
        <w:t xml:space="preserve"> for the Commission and at EUR </w:t>
      </w:r>
      <w:r>
        <w:rPr>
          <w:rFonts w:eastAsia="Calibri"/>
          <w:noProof/>
        </w:rPr>
        <w:t>0 for the EIB. The</w:t>
      </w:r>
      <w:r w:rsidRPr="000C5937">
        <w:rPr>
          <w:rFonts w:eastAsia="Calibri"/>
          <w:noProof/>
        </w:rPr>
        <w:t xml:space="preserve"> indicative non-binding forecast for the expected annual amount</w:t>
      </w:r>
      <w:r>
        <w:rPr>
          <w:rFonts w:eastAsia="Calibri"/>
          <w:noProof/>
        </w:rPr>
        <w:t xml:space="preserve"> of contributions for</w:t>
      </w:r>
      <w:r w:rsidRPr="000C5937">
        <w:rPr>
          <w:rFonts w:eastAsia="Calibri"/>
          <w:noProof/>
        </w:rPr>
        <w:t xml:space="preserve"> 202</w:t>
      </w:r>
      <w:r w:rsidR="00EC7661">
        <w:rPr>
          <w:rFonts w:eastAsia="Calibri"/>
          <w:noProof/>
        </w:rPr>
        <w:t>7</w:t>
      </w:r>
      <w:r>
        <w:rPr>
          <w:rFonts w:eastAsia="Calibri"/>
          <w:noProof/>
        </w:rPr>
        <w:t xml:space="preserve"> </w:t>
      </w:r>
      <w:r w:rsidRPr="000C5937">
        <w:rPr>
          <w:rFonts w:eastAsia="Calibri"/>
          <w:noProof/>
        </w:rPr>
        <w:t>is hereby set at EUR </w:t>
      </w:r>
      <w:r w:rsidR="00E417AD">
        <w:rPr>
          <w:rFonts w:eastAsia="Calibri"/>
          <w:noProof/>
        </w:rPr>
        <w:t>5</w:t>
      </w:r>
      <w:r>
        <w:rPr>
          <w:rFonts w:eastAsia="Calibri"/>
          <w:noProof/>
        </w:rPr>
        <w:t>00 000 000 for the Commission and at EUR 0 for the EIB.</w:t>
      </w:r>
    </w:p>
    <w:p w14:paraId="4FB361C5" w14:textId="77777777" w:rsidR="00F610E0" w:rsidRPr="00FD40BA" w:rsidRDefault="00F610E0" w:rsidP="00F610E0">
      <w:pPr>
        <w:pStyle w:val="Titrearticle"/>
        <w:keepNext w:val="0"/>
        <w:rPr>
          <w:noProof/>
        </w:rPr>
      </w:pPr>
      <w:r w:rsidRPr="00FD40BA">
        <w:rPr>
          <w:noProof/>
        </w:rPr>
        <w:t xml:space="preserve">Article </w:t>
      </w:r>
      <w:r w:rsidRPr="00AF21C4">
        <w:rPr>
          <w:noProof/>
        </w:rPr>
        <w:t>6</w:t>
      </w:r>
    </w:p>
    <w:p w14:paraId="2FBAA8D8" w14:textId="77777777" w:rsidR="00F610E0" w:rsidRPr="00B97935" w:rsidRDefault="00F610E0" w:rsidP="00F610E0">
      <w:pPr>
        <w:rPr>
          <w:noProof/>
        </w:rPr>
      </w:pPr>
      <w:r w:rsidRPr="00B75B64">
        <w:rPr>
          <w:noProof/>
        </w:rPr>
        <w:t>T</w:t>
      </w:r>
      <w:r>
        <w:rPr>
          <w:noProof/>
        </w:rPr>
        <w:t>his Decision shall enter into force on the date of its publication in the Official Journal of the European Union</w:t>
      </w:r>
      <w:r w:rsidRPr="00B97935">
        <w:rPr>
          <w:noProof/>
        </w:rPr>
        <w:t>.</w:t>
      </w:r>
    </w:p>
    <w:p w14:paraId="16206796" w14:textId="77777777" w:rsidR="00F610E0" w:rsidRDefault="00F610E0" w:rsidP="00F610E0">
      <w:pPr>
        <w:rPr>
          <w:noProof/>
        </w:rPr>
      </w:pPr>
    </w:p>
    <w:p w14:paraId="30F66E56" w14:textId="4FFE6695" w:rsidR="001D6A14" w:rsidRDefault="005B20D3" w:rsidP="00411F84">
      <w:pPr>
        <w:pStyle w:val="Fait"/>
        <w:rPr>
          <w:noProof/>
        </w:rPr>
      </w:pPr>
      <w:r w:rsidRPr="005B20D3">
        <w:t>Done at Brussels,</w:t>
      </w:r>
    </w:p>
    <w:p w14:paraId="2187118C" w14:textId="45D7D57B" w:rsidR="00DD439E" w:rsidRDefault="001D6A14" w:rsidP="00411F84">
      <w:pPr>
        <w:pStyle w:val="Institutionquisigne"/>
        <w:rPr>
          <w:noProof/>
        </w:rPr>
      </w:pPr>
      <w:r>
        <w:rPr>
          <w:noProof/>
        </w:rPr>
        <w:tab/>
      </w:r>
      <w:r w:rsidR="00DD439E" w:rsidRPr="00DD439E">
        <w:rPr>
          <w:noProof/>
        </w:rPr>
        <w:t>For the Council</w:t>
      </w:r>
    </w:p>
    <w:p w14:paraId="55B8EF4D" w14:textId="77777777" w:rsidR="00DD439E" w:rsidRPr="00DD439E" w:rsidRDefault="00DD439E" w:rsidP="001D6A14">
      <w:pPr>
        <w:pStyle w:val="Personnequisigne"/>
        <w:rPr>
          <w:noProof/>
        </w:rPr>
      </w:pPr>
      <w:r w:rsidRPr="00DD439E">
        <w:rPr>
          <w:noProof/>
        </w:rPr>
        <w:tab/>
        <w:t>The President</w:t>
      </w:r>
    </w:p>
    <w:sectPr w:rsidR="00DD439E" w:rsidRPr="00DD439E" w:rsidSect="00F5253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921D" w14:textId="77777777" w:rsidR="00EA788F" w:rsidRDefault="00EA788F" w:rsidP="00DD439E">
      <w:pPr>
        <w:spacing w:before="0" w:after="0"/>
      </w:pPr>
      <w:r>
        <w:separator/>
      </w:r>
    </w:p>
  </w:endnote>
  <w:endnote w:type="continuationSeparator" w:id="0">
    <w:p w14:paraId="7E208956" w14:textId="77777777" w:rsidR="00EA788F" w:rsidRDefault="00EA788F" w:rsidP="00DD43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3962" w14:textId="77777777" w:rsidR="00E16ABD" w:rsidRDefault="00E1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5565C" w:rsidRPr="00D94637" w14:paraId="4312367D" w14:textId="77777777" w:rsidTr="0005565C">
      <w:trPr>
        <w:jc w:val="center"/>
      </w:trPr>
      <w:tc>
        <w:tcPr>
          <w:tcW w:w="5000" w:type="pct"/>
          <w:gridSpan w:val="7"/>
          <w:shd w:val="clear" w:color="auto" w:fill="auto"/>
          <w:tcMar>
            <w:top w:w="57" w:type="dxa"/>
          </w:tcMar>
        </w:tcPr>
        <w:p w14:paraId="3D8F71EC" w14:textId="77777777" w:rsidR="0005565C" w:rsidRPr="00D94637" w:rsidRDefault="0005565C" w:rsidP="00D94637">
          <w:pPr>
            <w:pStyle w:val="FooterText"/>
            <w:pBdr>
              <w:top w:val="single" w:sz="4" w:space="1" w:color="auto"/>
            </w:pBdr>
            <w:spacing w:before="200"/>
            <w:rPr>
              <w:sz w:val="2"/>
              <w:szCs w:val="2"/>
            </w:rPr>
          </w:pPr>
          <w:bookmarkStart w:id="1" w:name="FOOTER_STANDARD"/>
        </w:p>
      </w:tc>
    </w:tr>
    <w:tr w:rsidR="0005565C" w:rsidRPr="00B310DC" w14:paraId="237242B0" w14:textId="77777777" w:rsidTr="0005565C">
      <w:trPr>
        <w:jc w:val="center"/>
      </w:trPr>
      <w:tc>
        <w:tcPr>
          <w:tcW w:w="2500" w:type="pct"/>
          <w:gridSpan w:val="2"/>
          <w:shd w:val="clear" w:color="auto" w:fill="auto"/>
          <w:tcMar>
            <w:top w:w="0" w:type="dxa"/>
          </w:tcMar>
        </w:tcPr>
        <w:p w14:paraId="2CC12564" w14:textId="136B59BC" w:rsidR="0005565C" w:rsidRPr="00AD7BF2" w:rsidRDefault="0005565C" w:rsidP="004F54B2">
          <w:pPr>
            <w:pStyle w:val="FooterText"/>
          </w:pPr>
          <w:r>
            <w:t>13916/23</w:t>
          </w:r>
          <w:r w:rsidRPr="002511D8">
            <w:t xml:space="preserve"> </w:t>
          </w:r>
        </w:p>
      </w:tc>
      <w:tc>
        <w:tcPr>
          <w:tcW w:w="625" w:type="pct"/>
          <w:shd w:val="clear" w:color="auto" w:fill="auto"/>
          <w:tcMar>
            <w:top w:w="0" w:type="dxa"/>
          </w:tcMar>
        </w:tcPr>
        <w:p w14:paraId="08C427DA" w14:textId="77777777" w:rsidR="0005565C" w:rsidRPr="00AD7BF2" w:rsidRDefault="0005565C" w:rsidP="00D94637">
          <w:pPr>
            <w:pStyle w:val="FooterText"/>
            <w:jc w:val="center"/>
          </w:pPr>
        </w:p>
      </w:tc>
      <w:tc>
        <w:tcPr>
          <w:tcW w:w="1286" w:type="pct"/>
          <w:gridSpan w:val="3"/>
          <w:shd w:val="clear" w:color="auto" w:fill="auto"/>
          <w:tcMar>
            <w:top w:w="0" w:type="dxa"/>
          </w:tcMar>
        </w:tcPr>
        <w:p w14:paraId="68398459" w14:textId="4DD73A41" w:rsidR="0005565C" w:rsidRPr="002511D8" w:rsidRDefault="0005565C" w:rsidP="00D94637">
          <w:pPr>
            <w:pStyle w:val="FooterText"/>
            <w:jc w:val="center"/>
          </w:pPr>
          <w:r>
            <w:t>PS/br</w:t>
          </w:r>
        </w:p>
      </w:tc>
      <w:tc>
        <w:tcPr>
          <w:tcW w:w="589" w:type="pct"/>
          <w:shd w:val="clear" w:color="auto" w:fill="auto"/>
          <w:tcMar>
            <w:top w:w="0" w:type="dxa"/>
          </w:tcMar>
        </w:tcPr>
        <w:p w14:paraId="01974658" w14:textId="794C9AA5" w:rsidR="0005565C" w:rsidRPr="00B310DC" w:rsidRDefault="0005565C"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05565C" w:rsidRPr="00D94637" w14:paraId="2A30E30C" w14:textId="77777777" w:rsidTr="0005565C">
      <w:trPr>
        <w:jc w:val="center"/>
      </w:trPr>
      <w:tc>
        <w:tcPr>
          <w:tcW w:w="1774" w:type="pct"/>
          <w:shd w:val="clear" w:color="auto" w:fill="auto"/>
        </w:tcPr>
        <w:p w14:paraId="71750D90" w14:textId="007BAF63" w:rsidR="0005565C" w:rsidRPr="00AD7BF2" w:rsidRDefault="0005565C" w:rsidP="00D94637">
          <w:pPr>
            <w:pStyle w:val="FooterText"/>
            <w:spacing w:before="40"/>
          </w:pPr>
        </w:p>
      </w:tc>
      <w:tc>
        <w:tcPr>
          <w:tcW w:w="1455" w:type="pct"/>
          <w:gridSpan w:val="3"/>
          <w:shd w:val="clear" w:color="auto" w:fill="auto"/>
        </w:tcPr>
        <w:p w14:paraId="3296386C" w14:textId="6EF65969" w:rsidR="0005565C" w:rsidRPr="00AD7BF2" w:rsidRDefault="0005565C" w:rsidP="00D204D6">
          <w:pPr>
            <w:pStyle w:val="FooterText"/>
            <w:spacing w:before="40"/>
            <w:jc w:val="center"/>
          </w:pPr>
          <w:r>
            <w:t>RELEX.2</w:t>
          </w:r>
        </w:p>
      </w:tc>
      <w:tc>
        <w:tcPr>
          <w:tcW w:w="742" w:type="pct"/>
          <w:shd w:val="clear" w:color="auto" w:fill="auto"/>
        </w:tcPr>
        <w:p w14:paraId="47FF6711" w14:textId="7C3CCA1D" w:rsidR="0005565C" w:rsidRPr="00D94637" w:rsidRDefault="0005565C" w:rsidP="002F0099">
          <w:pPr>
            <w:pStyle w:val="FooterText"/>
            <w:jc w:val="center"/>
            <w:rPr>
              <w:b/>
              <w:position w:val="-4"/>
              <w:sz w:val="36"/>
            </w:rPr>
          </w:pPr>
        </w:p>
      </w:tc>
      <w:tc>
        <w:tcPr>
          <w:tcW w:w="1029" w:type="pct"/>
          <w:gridSpan w:val="2"/>
          <w:shd w:val="clear" w:color="auto" w:fill="auto"/>
        </w:tcPr>
        <w:p w14:paraId="2C21DD3B" w14:textId="2B3C9864" w:rsidR="0005565C" w:rsidRPr="00695BAF" w:rsidRDefault="0005565C" w:rsidP="00D94637">
          <w:pPr>
            <w:pStyle w:val="FooterText"/>
            <w:jc w:val="right"/>
            <w:rPr>
              <w:caps/>
              <w:spacing w:val="-20"/>
              <w:sz w:val="16"/>
            </w:rPr>
          </w:pPr>
          <w:r>
            <w:rPr>
              <w:b/>
              <w:caps/>
              <w:spacing w:val="-20"/>
              <w:position w:val="-4"/>
              <w:sz w:val="36"/>
            </w:rPr>
            <w:t>EN</w:t>
          </w:r>
        </w:p>
      </w:tc>
    </w:tr>
    <w:bookmarkEnd w:id="1"/>
  </w:tbl>
  <w:p w14:paraId="493668D5" w14:textId="5BDBE518" w:rsidR="004C0845" w:rsidRPr="0005565C" w:rsidRDefault="004C0845" w:rsidP="0005565C">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5565C" w:rsidRPr="00D94637" w14:paraId="15BD8B2A" w14:textId="77777777" w:rsidTr="0005565C">
      <w:trPr>
        <w:jc w:val="center"/>
      </w:trPr>
      <w:tc>
        <w:tcPr>
          <w:tcW w:w="5000" w:type="pct"/>
          <w:gridSpan w:val="7"/>
          <w:shd w:val="clear" w:color="auto" w:fill="auto"/>
          <w:tcMar>
            <w:top w:w="57" w:type="dxa"/>
          </w:tcMar>
        </w:tcPr>
        <w:p w14:paraId="00B75ED4" w14:textId="77777777" w:rsidR="0005565C" w:rsidRPr="00D94637" w:rsidRDefault="0005565C" w:rsidP="00D94637">
          <w:pPr>
            <w:pStyle w:val="FooterText"/>
            <w:pBdr>
              <w:top w:val="single" w:sz="4" w:space="1" w:color="auto"/>
            </w:pBdr>
            <w:spacing w:before="200"/>
            <w:rPr>
              <w:sz w:val="2"/>
              <w:szCs w:val="2"/>
            </w:rPr>
          </w:pPr>
        </w:p>
      </w:tc>
    </w:tr>
    <w:tr w:rsidR="0005565C" w:rsidRPr="00B310DC" w14:paraId="392450DA" w14:textId="77777777" w:rsidTr="0005565C">
      <w:trPr>
        <w:jc w:val="center"/>
      </w:trPr>
      <w:tc>
        <w:tcPr>
          <w:tcW w:w="2500" w:type="pct"/>
          <w:gridSpan w:val="2"/>
          <w:shd w:val="clear" w:color="auto" w:fill="auto"/>
          <w:tcMar>
            <w:top w:w="0" w:type="dxa"/>
          </w:tcMar>
        </w:tcPr>
        <w:p w14:paraId="23907AD1" w14:textId="20668D3C" w:rsidR="0005565C" w:rsidRPr="00AD7BF2" w:rsidRDefault="0005565C" w:rsidP="004F54B2">
          <w:pPr>
            <w:pStyle w:val="FooterText"/>
          </w:pPr>
          <w:r>
            <w:t>13916/23</w:t>
          </w:r>
          <w:r w:rsidRPr="002511D8">
            <w:t xml:space="preserve"> </w:t>
          </w:r>
        </w:p>
      </w:tc>
      <w:tc>
        <w:tcPr>
          <w:tcW w:w="625" w:type="pct"/>
          <w:shd w:val="clear" w:color="auto" w:fill="auto"/>
          <w:tcMar>
            <w:top w:w="0" w:type="dxa"/>
          </w:tcMar>
        </w:tcPr>
        <w:p w14:paraId="78C45783" w14:textId="77777777" w:rsidR="0005565C" w:rsidRPr="00AD7BF2" w:rsidRDefault="0005565C" w:rsidP="00D94637">
          <w:pPr>
            <w:pStyle w:val="FooterText"/>
            <w:jc w:val="center"/>
          </w:pPr>
        </w:p>
      </w:tc>
      <w:tc>
        <w:tcPr>
          <w:tcW w:w="1286" w:type="pct"/>
          <w:gridSpan w:val="3"/>
          <w:shd w:val="clear" w:color="auto" w:fill="auto"/>
          <w:tcMar>
            <w:top w:w="0" w:type="dxa"/>
          </w:tcMar>
        </w:tcPr>
        <w:p w14:paraId="1F5E2BE6" w14:textId="23D74FC4" w:rsidR="0005565C" w:rsidRPr="002511D8" w:rsidRDefault="0005565C" w:rsidP="00D94637">
          <w:pPr>
            <w:pStyle w:val="FooterText"/>
            <w:jc w:val="center"/>
          </w:pPr>
          <w:r>
            <w:t>PS/br</w:t>
          </w:r>
        </w:p>
      </w:tc>
      <w:tc>
        <w:tcPr>
          <w:tcW w:w="589" w:type="pct"/>
          <w:shd w:val="clear" w:color="auto" w:fill="auto"/>
          <w:tcMar>
            <w:top w:w="0" w:type="dxa"/>
          </w:tcMar>
        </w:tcPr>
        <w:p w14:paraId="7AC6D69D" w14:textId="74CA2364" w:rsidR="0005565C" w:rsidRPr="00B310DC" w:rsidRDefault="0005565C" w:rsidP="00D94637">
          <w:pPr>
            <w:pStyle w:val="FooterText"/>
            <w:jc w:val="right"/>
          </w:pPr>
        </w:p>
      </w:tc>
    </w:tr>
    <w:tr w:rsidR="0005565C" w:rsidRPr="00D94637" w14:paraId="566B0BB6" w14:textId="77777777" w:rsidTr="0005565C">
      <w:trPr>
        <w:jc w:val="center"/>
      </w:trPr>
      <w:tc>
        <w:tcPr>
          <w:tcW w:w="1774" w:type="pct"/>
          <w:shd w:val="clear" w:color="auto" w:fill="auto"/>
        </w:tcPr>
        <w:p w14:paraId="413E92F0" w14:textId="674DBD75" w:rsidR="0005565C" w:rsidRPr="00AD7BF2" w:rsidRDefault="0005565C" w:rsidP="00D94637">
          <w:pPr>
            <w:pStyle w:val="FooterText"/>
            <w:spacing w:before="40"/>
          </w:pPr>
        </w:p>
      </w:tc>
      <w:tc>
        <w:tcPr>
          <w:tcW w:w="1455" w:type="pct"/>
          <w:gridSpan w:val="3"/>
          <w:shd w:val="clear" w:color="auto" w:fill="auto"/>
        </w:tcPr>
        <w:p w14:paraId="1897CF91" w14:textId="3AE4FFDA" w:rsidR="0005565C" w:rsidRPr="00AD7BF2" w:rsidRDefault="0005565C" w:rsidP="00D204D6">
          <w:pPr>
            <w:pStyle w:val="FooterText"/>
            <w:spacing w:before="40"/>
            <w:jc w:val="center"/>
          </w:pPr>
          <w:r>
            <w:t>RELEX.2</w:t>
          </w:r>
        </w:p>
      </w:tc>
      <w:tc>
        <w:tcPr>
          <w:tcW w:w="742" w:type="pct"/>
          <w:shd w:val="clear" w:color="auto" w:fill="auto"/>
        </w:tcPr>
        <w:p w14:paraId="1302A101" w14:textId="13A44CC8" w:rsidR="0005565C" w:rsidRPr="00D94637" w:rsidRDefault="0005565C" w:rsidP="002F0099">
          <w:pPr>
            <w:pStyle w:val="FooterText"/>
            <w:jc w:val="center"/>
            <w:rPr>
              <w:b/>
              <w:position w:val="-4"/>
              <w:sz w:val="36"/>
            </w:rPr>
          </w:pPr>
        </w:p>
      </w:tc>
      <w:tc>
        <w:tcPr>
          <w:tcW w:w="1029" w:type="pct"/>
          <w:gridSpan w:val="2"/>
          <w:shd w:val="clear" w:color="auto" w:fill="auto"/>
        </w:tcPr>
        <w:p w14:paraId="66E76719" w14:textId="2BA98D15" w:rsidR="0005565C" w:rsidRPr="00695BAF" w:rsidRDefault="0005565C" w:rsidP="00D94637">
          <w:pPr>
            <w:pStyle w:val="FooterText"/>
            <w:jc w:val="right"/>
            <w:rPr>
              <w:caps/>
              <w:spacing w:val="-20"/>
              <w:sz w:val="16"/>
            </w:rPr>
          </w:pPr>
          <w:r>
            <w:rPr>
              <w:b/>
              <w:caps/>
              <w:spacing w:val="-20"/>
              <w:position w:val="-4"/>
              <w:sz w:val="36"/>
            </w:rPr>
            <w:t>EN</w:t>
          </w:r>
        </w:p>
      </w:tc>
    </w:tr>
  </w:tbl>
  <w:p w14:paraId="305688EE" w14:textId="77777777" w:rsidR="0005565C" w:rsidRPr="0005565C" w:rsidRDefault="0005565C" w:rsidP="0005565C">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D067" w14:textId="77777777" w:rsidR="0005565C" w:rsidRDefault="000556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59F6" w14:textId="77777777" w:rsidR="0005565C" w:rsidRPr="00F52539" w:rsidRDefault="0005565C" w:rsidP="00F52539">
    <w:pPr>
      <w:pStyle w:val="Footer"/>
      <w:rPr>
        <w:rFonts w:ascii="Arial" w:hAnsi="Arial" w:cs="Arial"/>
        <w:b/>
        <w:sz w:val="48"/>
      </w:rPr>
    </w:pPr>
    <w:r w:rsidRPr="00F52539">
      <w:rPr>
        <w:rFonts w:ascii="Arial" w:hAnsi="Arial" w:cs="Arial"/>
        <w:b/>
        <w:sz w:val="48"/>
      </w:rPr>
      <w:t>EN</w:t>
    </w:r>
    <w:r w:rsidRPr="00F52539">
      <w:rPr>
        <w:rFonts w:ascii="Arial" w:hAnsi="Arial" w:cs="Arial"/>
        <w:b/>
        <w:sz w:val="48"/>
      </w:rPr>
      <w:tab/>
    </w:r>
    <w:r w:rsidRPr="00F52539">
      <w:rPr>
        <w:rFonts w:ascii="Arial" w:hAnsi="Arial" w:cs="Arial"/>
        <w:b/>
        <w:sz w:val="48"/>
      </w:rPr>
      <w:tab/>
    </w:r>
    <w:r w:rsidRPr="00F52539">
      <w:tab/>
    </w:r>
    <w:r w:rsidRPr="00F52539">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8E27" w14:textId="77777777" w:rsidR="0005565C" w:rsidRDefault="000556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BD12" w14:textId="66EBA462" w:rsidR="00F52539" w:rsidRPr="00F52539" w:rsidRDefault="00F52539" w:rsidP="00F52539">
    <w:pPr>
      <w:pStyle w:val="Footer"/>
      <w:rPr>
        <w:rFonts w:ascii="Arial" w:hAnsi="Arial" w:cs="Arial"/>
        <w:b/>
        <w:sz w:val="48"/>
      </w:rPr>
    </w:pPr>
    <w:r w:rsidRPr="00F52539">
      <w:rPr>
        <w:rFonts w:ascii="Arial" w:hAnsi="Arial" w:cs="Arial"/>
        <w:b/>
        <w:sz w:val="48"/>
      </w:rPr>
      <w:t>EN</w:t>
    </w:r>
    <w:r w:rsidRPr="00F52539">
      <w:rPr>
        <w:rFonts w:ascii="Arial" w:hAnsi="Arial" w:cs="Arial"/>
        <w:b/>
        <w:sz w:val="48"/>
      </w:rPr>
      <w:tab/>
    </w:r>
    <w:r>
      <w:fldChar w:fldCharType="begin"/>
    </w:r>
    <w:r>
      <w:instrText xml:space="preserve"> PAGE  \* MERGEFORMAT </w:instrText>
    </w:r>
    <w:r>
      <w:fldChar w:fldCharType="separate"/>
    </w:r>
    <w:r w:rsidR="00411F84">
      <w:rPr>
        <w:noProof/>
      </w:rPr>
      <w:t>5</w:t>
    </w:r>
    <w:r>
      <w:fldChar w:fldCharType="end"/>
    </w:r>
    <w:r>
      <w:tab/>
    </w:r>
    <w:r w:rsidRPr="00F52539">
      <w:tab/>
    </w:r>
    <w:r w:rsidRPr="00F52539">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0860" w14:textId="77777777" w:rsidR="00F52539" w:rsidRPr="00F52539" w:rsidRDefault="00F52539" w:rsidP="00F5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B357" w14:textId="77777777" w:rsidR="00EA788F" w:rsidRDefault="00EA788F" w:rsidP="00DD439E">
      <w:pPr>
        <w:spacing w:before="0" w:after="0"/>
      </w:pPr>
      <w:r>
        <w:separator/>
      </w:r>
    </w:p>
  </w:footnote>
  <w:footnote w:type="continuationSeparator" w:id="0">
    <w:p w14:paraId="62BAC903" w14:textId="77777777" w:rsidR="00EA788F" w:rsidRDefault="00EA788F" w:rsidP="00DD439E">
      <w:pPr>
        <w:spacing w:before="0" w:after="0"/>
      </w:pPr>
      <w:r>
        <w:continuationSeparator/>
      </w:r>
    </w:p>
  </w:footnote>
  <w:footnote w:id="1">
    <w:p w14:paraId="43125379" w14:textId="77777777" w:rsidR="004B3D92" w:rsidRDefault="004B3D92" w:rsidP="002A395B">
      <w:pPr>
        <w:pStyle w:val="FootnoteText"/>
        <w:rPr>
          <w:lang w:val="pl-PL"/>
        </w:rPr>
      </w:pPr>
      <w:r>
        <w:rPr>
          <w:rStyle w:val="FootnoteReference"/>
        </w:rPr>
        <w:footnoteRef/>
      </w:r>
      <w:r>
        <w:rPr>
          <w:lang w:val="pl-PL"/>
        </w:rPr>
        <w:tab/>
        <w:t>OJ L 317, 15.12.2000, p. 3</w:t>
      </w:r>
    </w:p>
  </w:footnote>
  <w:footnote w:id="2">
    <w:p w14:paraId="31192D5D" w14:textId="77777777" w:rsidR="004B3D92" w:rsidRDefault="004B3D92" w:rsidP="002A395B">
      <w:pPr>
        <w:pStyle w:val="FootnoteText"/>
        <w:rPr>
          <w:lang w:val="pl-PL"/>
        </w:rPr>
      </w:pPr>
      <w:r>
        <w:rPr>
          <w:rStyle w:val="FootnoteReference"/>
        </w:rPr>
        <w:footnoteRef/>
      </w:r>
      <w:r>
        <w:rPr>
          <w:lang w:val="pl-PL"/>
        </w:rPr>
        <w:tab/>
        <w:t>OJ L 210, 6.8.2013, p. 1</w:t>
      </w:r>
    </w:p>
  </w:footnote>
  <w:footnote w:id="3">
    <w:p w14:paraId="2DEE0B8C" w14:textId="77777777" w:rsidR="004B3D92" w:rsidRDefault="004B3D92" w:rsidP="002A395B">
      <w:pPr>
        <w:pStyle w:val="FootnoteText"/>
        <w:rPr>
          <w:lang w:val="pl-PL"/>
        </w:rPr>
      </w:pPr>
      <w:r>
        <w:rPr>
          <w:rStyle w:val="FootnoteReference"/>
        </w:rPr>
        <w:footnoteRef/>
      </w:r>
      <w:r>
        <w:rPr>
          <w:lang w:val="pl-PL"/>
        </w:rPr>
        <w:tab/>
        <w:t>OJ L 307, 3.12.2018, p. 1-21</w:t>
      </w:r>
    </w:p>
  </w:footnote>
  <w:footnote w:id="4">
    <w:p w14:paraId="203DCDA2" w14:textId="77777777" w:rsidR="004B3D92" w:rsidRPr="00264C68" w:rsidRDefault="004B3D92" w:rsidP="002A395B">
      <w:pPr>
        <w:pStyle w:val="FootnoteText"/>
        <w:rPr>
          <w:lang w:val="pl-PL"/>
        </w:rPr>
      </w:pPr>
      <w:r w:rsidRPr="001B139E">
        <w:rPr>
          <w:rStyle w:val="FootnoteReference"/>
        </w:rPr>
        <w:footnoteRef/>
      </w:r>
      <w:r>
        <w:rPr>
          <w:lang w:val="pl-PL"/>
        </w:rPr>
        <w:tab/>
        <w:t>OJ L 176, 01.07.2022, p.88</w:t>
      </w:r>
    </w:p>
  </w:footnote>
  <w:footnote w:id="5">
    <w:p w14:paraId="7E06762C" w14:textId="77777777" w:rsidR="004B3D92" w:rsidRPr="00264C68" w:rsidRDefault="004B3D92" w:rsidP="002A395B">
      <w:pPr>
        <w:pStyle w:val="FootnoteText"/>
        <w:rPr>
          <w:lang w:val="pl-PL"/>
        </w:rPr>
      </w:pPr>
      <w:r w:rsidRPr="001B139E">
        <w:rPr>
          <w:rStyle w:val="FootnoteReference"/>
        </w:rPr>
        <w:footnoteRef/>
      </w:r>
      <w:r>
        <w:rPr>
          <w:lang w:val="pl-PL"/>
        </w:rPr>
        <w:tab/>
      </w:r>
      <w:r w:rsidRPr="00264C68">
        <w:rPr>
          <w:lang w:val="pl-PL"/>
        </w:rPr>
        <w:t>OJ L 1, 3.1.2020, p.3</w:t>
      </w:r>
    </w:p>
  </w:footnote>
  <w:footnote w:id="6">
    <w:p w14:paraId="58F06A46" w14:textId="77777777" w:rsidR="004B3D92" w:rsidRPr="004B3D92" w:rsidRDefault="004B3D92" w:rsidP="002A395B">
      <w:pPr>
        <w:pStyle w:val="FootnoteText"/>
        <w:rPr>
          <w:lang w:val="pl-PL"/>
        </w:rPr>
      </w:pPr>
      <w:r>
        <w:rPr>
          <w:rStyle w:val="FootnoteReference"/>
        </w:rPr>
        <w:footnoteRef/>
      </w:r>
      <w:r w:rsidRPr="004B3D92">
        <w:rPr>
          <w:lang w:val="pl-PL"/>
        </w:rPr>
        <w:tab/>
        <w:t>OJ L 437, 28.12.2020, p.188-191</w:t>
      </w:r>
    </w:p>
  </w:footnote>
  <w:footnote w:id="7">
    <w:p w14:paraId="1A29D5AD" w14:textId="1172B4D5" w:rsidR="004B3D92" w:rsidRPr="000B641E" w:rsidRDefault="004B3D92" w:rsidP="002A395B">
      <w:pPr>
        <w:pStyle w:val="FootnoteText"/>
        <w:rPr>
          <w:lang w:val="fr-BE"/>
        </w:rPr>
      </w:pPr>
      <w:r w:rsidRPr="00E2503D">
        <w:rPr>
          <w:rStyle w:val="FootnoteReference"/>
        </w:rPr>
        <w:footnoteRef/>
      </w:r>
      <w:r w:rsidRPr="000B641E">
        <w:rPr>
          <w:lang w:val="fr-BE"/>
        </w:rPr>
        <w:tab/>
      </w:r>
      <w:r w:rsidR="008333F2" w:rsidRPr="00EC2173">
        <w:rPr>
          <w:lang w:val="fr-FR"/>
        </w:rPr>
        <w:t>OJ</w:t>
      </w:r>
      <w:r w:rsidR="008333F2" w:rsidRPr="000B641E">
        <w:rPr>
          <w:lang w:val="fr-BE"/>
        </w:rPr>
        <w:t xml:space="preserve"> L 188 du 15.7.2022, p. 147</w:t>
      </w:r>
    </w:p>
  </w:footnote>
  <w:footnote w:id="8">
    <w:p w14:paraId="51F703F2" w14:textId="77777777" w:rsidR="004B3D92" w:rsidRPr="00374218" w:rsidRDefault="004B3D92">
      <w:pPr>
        <w:pStyle w:val="FootnoteText"/>
        <w:rPr>
          <w:lang w:val="fr-BE"/>
        </w:rPr>
      </w:pPr>
      <w:r w:rsidRPr="00374218">
        <w:rPr>
          <w:rStyle w:val="FootnoteReference"/>
        </w:rPr>
        <w:footnoteRef/>
      </w:r>
      <w:r w:rsidRPr="00374218">
        <w:rPr>
          <w:lang w:val="fr-BE"/>
        </w:rPr>
        <w:tab/>
        <w:t>OJ L 210, 6.8.2013, p.1</w:t>
      </w:r>
    </w:p>
  </w:footnote>
  <w:footnote w:id="9">
    <w:p w14:paraId="0C5F3A4D" w14:textId="37925303" w:rsidR="004B3D92" w:rsidRPr="00374218" w:rsidRDefault="004B3D92">
      <w:pPr>
        <w:pStyle w:val="FootnoteText"/>
      </w:pPr>
      <w:r w:rsidRPr="00374218">
        <w:rPr>
          <w:rStyle w:val="FootnoteReference"/>
        </w:rPr>
        <w:footnoteRef/>
      </w:r>
      <w:r w:rsidRPr="00374218">
        <w:tab/>
        <w:t>OJ L 307, 3.12.2018, p.1</w:t>
      </w:r>
    </w:p>
  </w:footnote>
  <w:footnote w:id="10">
    <w:p w14:paraId="3C4C5837" w14:textId="77777777" w:rsidR="004B3D92" w:rsidRPr="003E3BCC" w:rsidRDefault="004B3D92">
      <w:pPr>
        <w:pStyle w:val="FootnoteText"/>
      </w:pPr>
      <w:r w:rsidRPr="00374218">
        <w:rPr>
          <w:rStyle w:val="FootnoteReference"/>
        </w:rPr>
        <w:footnoteRef/>
      </w:r>
      <w:r w:rsidRPr="00374218">
        <w:tab/>
        <w:t>OJ L 58, 3.3.2015, p.17-38</w:t>
      </w:r>
    </w:p>
  </w:footnote>
  <w:footnote w:id="11">
    <w:p w14:paraId="57E11151" w14:textId="77777777" w:rsidR="004B3D92" w:rsidRPr="00374218" w:rsidRDefault="004B3D92" w:rsidP="00551946">
      <w:pPr>
        <w:pStyle w:val="FootnoteText"/>
        <w:jc w:val="left"/>
        <w:rPr>
          <w:lang w:val="en-IE"/>
        </w:rPr>
      </w:pPr>
      <w:r w:rsidRPr="00374218">
        <w:rPr>
          <w:rStyle w:val="FootnoteReference"/>
        </w:rPr>
        <w:footnoteRef/>
      </w:r>
      <w:r w:rsidRPr="00374218">
        <w:tab/>
        <w:t>COUNCIL DECISION (EU) 2022/2242 of 14 November 2022 on the financial contributions to be paid by the parties to the European Development Fund to finance that fund, specifying the ceiling for 2024, the annual amount for 2023, the amount of the first instalment for 2023 and an indicative and non-binding forecast for the expected annual amounts of contributions for the years 2025 and 2026</w:t>
      </w:r>
    </w:p>
  </w:footnote>
  <w:footnote w:id="12">
    <w:p w14:paraId="70623A5F" w14:textId="77777777" w:rsidR="004B3D92" w:rsidRPr="00374218" w:rsidRDefault="004B3D92" w:rsidP="00551946">
      <w:pPr>
        <w:pStyle w:val="FootnoteText"/>
        <w:jc w:val="left"/>
        <w:rPr>
          <w:lang w:val="en-IE"/>
        </w:rPr>
      </w:pPr>
      <w:r w:rsidRPr="00374218">
        <w:rPr>
          <w:rStyle w:val="FootnoteReference"/>
        </w:rPr>
        <w:footnoteRef/>
      </w:r>
      <w:r w:rsidRPr="00374218">
        <w:tab/>
        <w:t>Council Regulation (EU) 2018/1877 of 26 November 2018 on the Financial Regulation applicable to the 11th European Development Fund, and repealing Regulation (EU) 2015/323 (OJ L 307, 3.12.2018, p.1.), Art. 20(5):“Where negative interest is applied to the account referred to in paragraph 3 of this Article, the Member State concerned shall, at the latest on the date of payment of each instalment referred to in Article 19, credit the account with an amount corresponding to the amount of such negative interest applied until the first day of the month preceding the payment of the instalment.’</w:t>
      </w:r>
    </w:p>
  </w:footnote>
  <w:footnote w:id="13">
    <w:p w14:paraId="382483FF" w14:textId="5BA79581" w:rsidR="00A033C6" w:rsidRPr="00A033C6" w:rsidRDefault="00A033C6">
      <w:pPr>
        <w:pStyle w:val="FootnoteText"/>
        <w:rPr>
          <w:lang w:val="en-US"/>
        </w:rPr>
      </w:pPr>
      <w:r w:rsidRPr="00374218">
        <w:rPr>
          <w:rStyle w:val="FootnoteReference"/>
        </w:rPr>
        <w:footnoteRef/>
      </w:r>
      <w:r w:rsidR="00A2378B" w:rsidRPr="00374218">
        <w:tab/>
      </w:r>
      <w:r w:rsidRPr="00374218">
        <w:t>The reduction of the annual contribution for the year 2024 was already announced to the MS in the June Communication 2023(from EUR1,6 billion to EUR 1,5 billion)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3C0A" w14:textId="77777777" w:rsidR="00E16ABD" w:rsidRDefault="00E1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9736" w14:textId="41F4208F" w:rsidR="0005565C" w:rsidRPr="0005565C" w:rsidRDefault="0005565C" w:rsidP="0005565C">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5B6B" w14:textId="79A39C03" w:rsidR="0005565C" w:rsidRPr="0005565C" w:rsidRDefault="0005565C" w:rsidP="0005565C">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15B9" w14:textId="77777777" w:rsidR="0005565C" w:rsidRDefault="000556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530F" w14:textId="77777777" w:rsidR="0005565C" w:rsidRDefault="000556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4FF1" w14:textId="77777777" w:rsidR="0005565C" w:rsidRDefault="00055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9102F7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72E328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80E7D1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A5A971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B0658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72EED6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B745DD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A58726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729159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697976">
    <w:abstractNumId w:val="7"/>
  </w:num>
  <w:num w:numId="3" w16cid:durableId="1932660833">
    <w:abstractNumId w:val="5"/>
  </w:num>
  <w:num w:numId="4" w16cid:durableId="2105682189">
    <w:abstractNumId w:val="4"/>
  </w:num>
  <w:num w:numId="5" w16cid:durableId="1720592764">
    <w:abstractNumId w:val="3"/>
  </w:num>
  <w:num w:numId="6" w16cid:durableId="1513105387">
    <w:abstractNumId w:val="6"/>
  </w:num>
  <w:num w:numId="7" w16cid:durableId="1641572790">
    <w:abstractNumId w:val="2"/>
  </w:num>
  <w:num w:numId="8" w16cid:durableId="1960604829">
    <w:abstractNumId w:val="1"/>
  </w:num>
  <w:num w:numId="9" w16cid:durableId="678652828">
    <w:abstractNumId w:val="0"/>
  </w:num>
  <w:num w:numId="10" w16cid:durableId="670109475">
    <w:abstractNumId w:val="22"/>
    <w:lvlOverride w:ilvl="0">
      <w:startOverride w:val="1"/>
    </w:lvlOverride>
  </w:num>
  <w:num w:numId="11" w16cid:durableId="1957592801">
    <w:abstractNumId w:val="19"/>
  </w:num>
  <w:num w:numId="12" w16cid:durableId="1498573972">
    <w:abstractNumId w:val="12"/>
  </w:num>
  <w:num w:numId="13" w16cid:durableId="488062907">
    <w:abstractNumId w:val="21"/>
  </w:num>
  <w:num w:numId="14" w16cid:durableId="356781435">
    <w:abstractNumId w:val="11"/>
  </w:num>
  <w:num w:numId="15" w16cid:durableId="2062826541">
    <w:abstractNumId w:val="13"/>
  </w:num>
  <w:num w:numId="16" w16cid:durableId="1076631081">
    <w:abstractNumId w:val="14"/>
  </w:num>
  <w:num w:numId="17" w16cid:durableId="970212735">
    <w:abstractNumId w:val="9"/>
  </w:num>
  <w:num w:numId="18" w16cid:durableId="355081389">
    <w:abstractNumId w:val="20"/>
  </w:num>
  <w:num w:numId="19" w16cid:durableId="1986004645">
    <w:abstractNumId w:val="8"/>
  </w:num>
  <w:num w:numId="20" w16cid:durableId="885989338">
    <w:abstractNumId w:val="15"/>
  </w:num>
  <w:num w:numId="21" w16cid:durableId="2096703232">
    <w:abstractNumId w:val="17"/>
  </w:num>
  <w:num w:numId="22" w16cid:durableId="1653176335">
    <w:abstractNumId w:val="18"/>
  </w:num>
  <w:num w:numId="23" w16cid:durableId="1487817346">
    <w:abstractNumId w:val="10"/>
  </w:num>
  <w:num w:numId="24" w16cid:durableId="751317312">
    <w:abstractNumId w:val="16"/>
  </w:num>
  <w:num w:numId="25" w16cid:durableId="163982185">
    <w:abstractNumId w:val="22"/>
  </w:num>
  <w:num w:numId="26" w16cid:durableId="344357737">
    <w:abstractNumId w:val="19"/>
  </w:num>
  <w:num w:numId="27" w16cid:durableId="2070224607">
    <w:abstractNumId w:val="12"/>
  </w:num>
  <w:num w:numId="28" w16cid:durableId="1047099852">
    <w:abstractNumId w:val="21"/>
  </w:num>
  <w:num w:numId="29" w16cid:durableId="1522432531">
    <w:abstractNumId w:val="11"/>
  </w:num>
  <w:num w:numId="30" w16cid:durableId="1487165203">
    <w:abstractNumId w:val="13"/>
  </w:num>
  <w:num w:numId="31" w16cid:durableId="1190216819">
    <w:abstractNumId w:val="14"/>
  </w:num>
  <w:num w:numId="32" w16cid:durableId="1616525525">
    <w:abstractNumId w:val="9"/>
  </w:num>
  <w:num w:numId="33" w16cid:durableId="1631747214">
    <w:abstractNumId w:val="20"/>
  </w:num>
  <w:num w:numId="34" w16cid:durableId="456410935">
    <w:abstractNumId w:val="8"/>
  </w:num>
  <w:num w:numId="35" w16cid:durableId="1192066995">
    <w:abstractNumId w:val="15"/>
  </w:num>
  <w:num w:numId="36" w16cid:durableId="13388406">
    <w:abstractNumId w:val="17"/>
  </w:num>
  <w:num w:numId="37" w16cid:durableId="188953165">
    <w:abstractNumId w:val="18"/>
  </w:num>
  <w:num w:numId="38" w16cid:durableId="1616136063">
    <w:abstractNumId w:val="10"/>
  </w:num>
  <w:num w:numId="39" w16cid:durableId="1474718134">
    <w:abstractNumId w:val="16"/>
  </w:num>
  <w:num w:numId="40" w16cid:durableId="44553890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2052"/>
  </w:hdrShapeDefaults>
  <w:footnotePr>
    <w:footnote w:id="-1"/>
    <w:footnote w:id="0"/>
  </w:footnotePr>
  <w:endnotePr>
    <w:endnote w:id="-1"/>
    <w:endnote w:id="0"/>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5&quot; technicalblockguid=&quot;5499884125789214628&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10-06&lt;/text&gt;_x000d__x000a_  &lt;/metadata&gt;_x000d__x000a_  &lt;metadata key=&quot;md_Prefix&quot;&gt;_x000d__x000a_    &lt;text&gt;&lt;/text&gt;_x000d__x000a_  &lt;/metadata&gt;_x000d__x000a_  &lt;metadata key=&quot;md_DocumentNumber&quot;&gt;_x000d__x000a_    &lt;text&gt;1391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CP 92&lt;/text&gt;_x000d__x000a_      &lt;text&gt;FIN 1021&lt;/text&gt;_x000d__x000a_      &lt;text&gt;PTOM 1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36(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10-06&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5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COUNCIL DECISION 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quot;&gt;&amp;lt;FlowDocument FontFamily=&quot;Segoe UI&quot; FontSize=&quot;12&quot; PagePadding=&quot;2,2,2,2&quot; AllowDrop=&quot;False&quot; xmlns=&quot;http://schemas.microsoft.com/winfx/2006/xaml/presentation&quot;&amp;gt;&amp;lt;Paragraph&amp;gt;Proposal for a COUNCIL DECISION 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amp;lt;/Paragraph&amp;gt;&amp;lt;/FlowDocument&amp;gt;&lt;/xaml&gt;_x000d__x000a_  &lt;/metadata&gt;_x000d__x000a_  &lt;metadata key=&quot;md_SubjectFootnote&quot; /&gt;_x000d__x000a_  &lt;metadata key=&quot;md_DG&quot;&gt;_x000d__x000a_    &lt;text&gt;RELEX.2&lt;/text&gt;_x000d__x000a_  &lt;/metadata&gt;_x000d__x000a_  &lt;metadata key=&quot;md_Initials&quot;&gt;_x000d__x000a_    &lt;text&gt;PS/b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COUNCIL DECISION&lt;/text&gt;_x000d__x000a_  &lt;/metadata&gt;_x000d__x000a_  &lt;metadata key=&quot;md_SourceDocTitle&quot;&gt;_x000d__x000a_    &lt;text&gt;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10-05 19:43: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AutoOpen" w:val="True"/>
    <w:docVar w:name="DW_KeepCompatibilityMode" w:val="true"/>
    <w:docVar w:name="LW_CORRIGENDUM" w:val="&lt;UNUSED&gt;"/>
    <w:docVar w:name="LW_COVERPAGE_EXISTS" w:val="True"/>
    <w:docVar w:name="LW_COVERPAGE_GUID" w:val="5EF994BB-FEC2-42F4-BC77-1536AA052194"/>
    <w:docVar w:name="LW_COVERPAGE_TYPE" w:val="1"/>
    <w:docVar w:name="LW_CROSSREFERENCE" w:val="&lt;UNUSED&gt;"/>
    <w:docVar w:name="LW_DocType" w:val="COM"/>
    <w:docVar w:name="LW_EMISSION" w:val="6.10.2023"/>
    <w:docVar w:name="LW_EMISSION_ISODATE" w:val="2023-10-06"/>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36"/>
    <w:docVar w:name="LW_REF.II.NEW.CP_YEAR" w:val="2023"/>
    <w:docVar w:name="LW_REF.INST.NEW" w:val="COM"/>
    <w:docVar w:name="LW_REF.INST.NEW_ADOPTED" w:val="final"/>
    <w:docVar w:name="LW_REF.INST.NEW_TEXT" w:val="(2023) 55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financial contributions to be paid by the parties to the European Development Fund to finance that fund specifying the ceiling for 2025, the annual amount for 2024, the amount of the first instalment for 2024 and an indicative and non-binding forecast for the expected annual amounts of contributions for the years 2026 and 2027"/>
    <w:docVar w:name="LW_TYPE.DOC.CP" w:val="COUNCIL DECISION"/>
    <w:docVar w:name="LwApiVersions" w:val="LW4CoDe 1.23.2.0; LW 8.0, Build 20211117"/>
  </w:docVars>
  <w:rsids>
    <w:rsidRoot w:val="00DD439E"/>
    <w:rsid w:val="00021BAA"/>
    <w:rsid w:val="000321EF"/>
    <w:rsid w:val="0003424E"/>
    <w:rsid w:val="00036B54"/>
    <w:rsid w:val="00050DA1"/>
    <w:rsid w:val="0005565C"/>
    <w:rsid w:val="00063EC3"/>
    <w:rsid w:val="00082C8A"/>
    <w:rsid w:val="00096273"/>
    <w:rsid w:val="000A679A"/>
    <w:rsid w:val="000B641E"/>
    <w:rsid w:val="000D40D1"/>
    <w:rsid w:val="000D6975"/>
    <w:rsid w:val="001065F5"/>
    <w:rsid w:val="001209C6"/>
    <w:rsid w:val="001238EF"/>
    <w:rsid w:val="00143E53"/>
    <w:rsid w:val="00161E31"/>
    <w:rsid w:val="001800FD"/>
    <w:rsid w:val="00197613"/>
    <w:rsid w:val="001A758F"/>
    <w:rsid w:val="001D5CEB"/>
    <w:rsid w:val="001D6A14"/>
    <w:rsid w:val="00223153"/>
    <w:rsid w:val="00233DC7"/>
    <w:rsid w:val="00247779"/>
    <w:rsid w:val="00285BEE"/>
    <w:rsid w:val="0029533F"/>
    <w:rsid w:val="002A395B"/>
    <w:rsid w:val="002B30AF"/>
    <w:rsid w:val="00323C00"/>
    <w:rsid w:val="0033344A"/>
    <w:rsid w:val="0036014B"/>
    <w:rsid w:val="003726B6"/>
    <w:rsid w:val="00374218"/>
    <w:rsid w:val="003A09A1"/>
    <w:rsid w:val="003B057D"/>
    <w:rsid w:val="003D5D6D"/>
    <w:rsid w:val="003E3BCC"/>
    <w:rsid w:val="003F79CB"/>
    <w:rsid w:val="004043BB"/>
    <w:rsid w:val="00411F84"/>
    <w:rsid w:val="0042648E"/>
    <w:rsid w:val="0042681A"/>
    <w:rsid w:val="00430422"/>
    <w:rsid w:val="00456DE0"/>
    <w:rsid w:val="004811B4"/>
    <w:rsid w:val="004936D2"/>
    <w:rsid w:val="004B3D92"/>
    <w:rsid w:val="004B51A8"/>
    <w:rsid w:val="004C0845"/>
    <w:rsid w:val="004C2C9F"/>
    <w:rsid w:val="005009FC"/>
    <w:rsid w:val="00533E8C"/>
    <w:rsid w:val="00537546"/>
    <w:rsid w:val="0054545B"/>
    <w:rsid w:val="00551946"/>
    <w:rsid w:val="00551F87"/>
    <w:rsid w:val="005602BA"/>
    <w:rsid w:val="00565250"/>
    <w:rsid w:val="00573B4C"/>
    <w:rsid w:val="00577E95"/>
    <w:rsid w:val="005A3C3E"/>
    <w:rsid w:val="005B1EB6"/>
    <w:rsid w:val="005B20D3"/>
    <w:rsid w:val="005D58CB"/>
    <w:rsid w:val="005E5E2D"/>
    <w:rsid w:val="005E6B62"/>
    <w:rsid w:val="00634CEA"/>
    <w:rsid w:val="00636ABB"/>
    <w:rsid w:val="00646139"/>
    <w:rsid w:val="00670354"/>
    <w:rsid w:val="00684944"/>
    <w:rsid w:val="00686939"/>
    <w:rsid w:val="006B5212"/>
    <w:rsid w:val="006B5B34"/>
    <w:rsid w:val="006C3A08"/>
    <w:rsid w:val="006E79F2"/>
    <w:rsid w:val="006E7E6D"/>
    <w:rsid w:val="00703701"/>
    <w:rsid w:val="00745548"/>
    <w:rsid w:val="007622CA"/>
    <w:rsid w:val="00773331"/>
    <w:rsid w:val="0078688C"/>
    <w:rsid w:val="007932EF"/>
    <w:rsid w:val="007A74A8"/>
    <w:rsid w:val="007C3B5F"/>
    <w:rsid w:val="007E05B0"/>
    <w:rsid w:val="00815CB2"/>
    <w:rsid w:val="008333F2"/>
    <w:rsid w:val="00853600"/>
    <w:rsid w:val="00857719"/>
    <w:rsid w:val="00871997"/>
    <w:rsid w:val="00874D22"/>
    <w:rsid w:val="00883164"/>
    <w:rsid w:val="008843B0"/>
    <w:rsid w:val="008A2914"/>
    <w:rsid w:val="008A393C"/>
    <w:rsid w:val="008C5AA6"/>
    <w:rsid w:val="008C6395"/>
    <w:rsid w:val="008E4D8E"/>
    <w:rsid w:val="0091273F"/>
    <w:rsid w:val="00914BDB"/>
    <w:rsid w:val="00915FCB"/>
    <w:rsid w:val="00920822"/>
    <w:rsid w:val="00924BB0"/>
    <w:rsid w:val="00924E3F"/>
    <w:rsid w:val="00927DC9"/>
    <w:rsid w:val="00961CA2"/>
    <w:rsid w:val="0096223D"/>
    <w:rsid w:val="009674D4"/>
    <w:rsid w:val="00981F7D"/>
    <w:rsid w:val="00983631"/>
    <w:rsid w:val="009973AB"/>
    <w:rsid w:val="00A033C6"/>
    <w:rsid w:val="00A2378B"/>
    <w:rsid w:val="00A47A87"/>
    <w:rsid w:val="00A925EB"/>
    <w:rsid w:val="00AD3867"/>
    <w:rsid w:val="00AD7C3D"/>
    <w:rsid w:val="00B14FD5"/>
    <w:rsid w:val="00B175A1"/>
    <w:rsid w:val="00B40B31"/>
    <w:rsid w:val="00B57EFF"/>
    <w:rsid w:val="00B756F2"/>
    <w:rsid w:val="00BD4175"/>
    <w:rsid w:val="00BF41B2"/>
    <w:rsid w:val="00C12301"/>
    <w:rsid w:val="00C31BAC"/>
    <w:rsid w:val="00C85919"/>
    <w:rsid w:val="00C876BA"/>
    <w:rsid w:val="00C903DD"/>
    <w:rsid w:val="00CA076E"/>
    <w:rsid w:val="00CB4002"/>
    <w:rsid w:val="00CB442C"/>
    <w:rsid w:val="00CC21C8"/>
    <w:rsid w:val="00CC7640"/>
    <w:rsid w:val="00CF6B82"/>
    <w:rsid w:val="00D1111A"/>
    <w:rsid w:val="00D20381"/>
    <w:rsid w:val="00D22E71"/>
    <w:rsid w:val="00D70EAE"/>
    <w:rsid w:val="00D77ED4"/>
    <w:rsid w:val="00D83C2E"/>
    <w:rsid w:val="00D85086"/>
    <w:rsid w:val="00D92744"/>
    <w:rsid w:val="00DA04E3"/>
    <w:rsid w:val="00DD439E"/>
    <w:rsid w:val="00DE3577"/>
    <w:rsid w:val="00DF12C2"/>
    <w:rsid w:val="00DF18AD"/>
    <w:rsid w:val="00E16ABD"/>
    <w:rsid w:val="00E20317"/>
    <w:rsid w:val="00E25695"/>
    <w:rsid w:val="00E417AD"/>
    <w:rsid w:val="00E54A4B"/>
    <w:rsid w:val="00E61C63"/>
    <w:rsid w:val="00E76C71"/>
    <w:rsid w:val="00E96C77"/>
    <w:rsid w:val="00EA1030"/>
    <w:rsid w:val="00EA2A83"/>
    <w:rsid w:val="00EA6ED2"/>
    <w:rsid w:val="00EA728D"/>
    <w:rsid w:val="00EA788F"/>
    <w:rsid w:val="00EB4642"/>
    <w:rsid w:val="00EB62E7"/>
    <w:rsid w:val="00EC2173"/>
    <w:rsid w:val="00EC7661"/>
    <w:rsid w:val="00ED173E"/>
    <w:rsid w:val="00F0616C"/>
    <w:rsid w:val="00F41219"/>
    <w:rsid w:val="00F52539"/>
    <w:rsid w:val="00F544C5"/>
    <w:rsid w:val="00F55B02"/>
    <w:rsid w:val="00F56ECA"/>
    <w:rsid w:val="00F610E0"/>
    <w:rsid w:val="00F9635B"/>
    <w:rsid w:val="00FC188A"/>
    <w:rsid w:val="00FC38F8"/>
    <w:rsid w:val="00FF5AB0"/>
    <w:rsid w:val="00FF72E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0DCA271"/>
  <w15:docId w15:val="{7DA86A9A-A6D3-4C12-A9BB-E2834088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927DC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27DC9"/>
    <w:pPr>
      <w:spacing w:after="0"/>
    </w:pPr>
  </w:style>
  <w:style w:type="paragraph" w:styleId="ListBullet">
    <w:name w:val="List Bullet"/>
    <w:basedOn w:val="Normal"/>
    <w:uiPriority w:val="99"/>
    <w:semiHidden/>
    <w:unhideWhenUsed/>
    <w:rsid w:val="00927DC9"/>
    <w:pPr>
      <w:numPr>
        <w:numId w:val="2"/>
      </w:numPr>
      <w:contextualSpacing/>
    </w:pPr>
  </w:style>
  <w:style w:type="paragraph" w:styleId="ListBullet2">
    <w:name w:val="List Bullet 2"/>
    <w:basedOn w:val="Normal"/>
    <w:uiPriority w:val="99"/>
    <w:semiHidden/>
    <w:unhideWhenUsed/>
    <w:rsid w:val="00927DC9"/>
    <w:pPr>
      <w:numPr>
        <w:numId w:val="3"/>
      </w:numPr>
      <w:contextualSpacing/>
    </w:pPr>
  </w:style>
  <w:style w:type="paragraph" w:styleId="ListBullet3">
    <w:name w:val="List Bullet 3"/>
    <w:basedOn w:val="Normal"/>
    <w:uiPriority w:val="99"/>
    <w:semiHidden/>
    <w:unhideWhenUsed/>
    <w:rsid w:val="00927DC9"/>
    <w:pPr>
      <w:numPr>
        <w:numId w:val="4"/>
      </w:numPr>
      <w:contextualSpacing/>
    </w:pPr>
  </w:style>
  <w:style w:type="paragraph" w:styleId="ListBullet4">
    <w:name w:val="List Bullet 4"/>
    <w:basedOn w:val="Normal"/>
    <w:uiPriority w:val="99"/>
    <w:semiHidden/>
    <w:unhideWhenUsed/>
    <w:rsid w:val="00927DC9"/>
    <w:pPr>
      <w:numPr>
        <w:numId w:val="5"/>
      </w:numPr>
      <w:contextualSpacing/>
    </w:pPr>
  </w:style>
  <w:style w:type="paragraph" w:styleId="ListNumber">
    <w:name w:val="List Number"/>
    <w:basedOn w:val="Normal"/>
    <w:uiPriority w:val="99"/>
    <w:semiHidden/>
    <w:unhideWhenUsed/>
    <w:rsid w:val="00927DC9"/>
    <w:pPr>
      <w:numPr>
        <w:numId w:val="6"/>
      </w:numPr>
      <w:contextualSpacing/>
    </w:pPr>
  </w:style>
  <w:style w:type="paragraph" w:styleId="ListNumber2">
    <w:name w:val="List Number 2"/>
    <w:basedOn w:val="Normal"/>
    <w:uiPriority w:val="99"/>
    <w:semiHidden/>
    <w:unhideWhenUsed/>
    <w:rsid w:val="00927DC9"/>
    <w:pPr>
      <w:numPr>
        <w:numId w:val="7"/>
      </w:numPr>
      <w:contextualSpacing/>
    </w:pPr>
  </w:style>
  <w:style w:type="paragraph" w:styleId="ListNumber3">
    <w:name w:val="List Number 3"/>
    <w:basedOn w:val="Normal"/>
    <w:uiPriority w:val="99"/>
    <w:semiHidden/>
    <w:unhideWhenUsed/>
    <w:rsid w:val="00927DC9"/>
    <w:pPr>
      <w:numPr>
        <w:numId w:val="8"/>
      </w:numPr>
      <w:contextualSpacing/>
    </w:pPr>
  </w:style>
  <w:style w:type="paragraph" w:styleId="ListNumber4">
    <w:name w:val="List Number 4"/>
    <w:basedOn w:val="Normal"/>
    <w:uiPriority w:val="99"/>
    <w:semiHidden/>
    <w:unhideWhenUsed/>
    <w:rsid w:val="00927DC9"/>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2C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9F"/>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915FCB"/>
    <w:rPr>
      <w:b/>
      <w:bCs/>
    </w:rPr>
  </w:style>
  <w:style w:type="character" w:customStyle="1" w:styleId="CommentSubjectChar">
    <w:name w:val="Comment Subject Char"/>
    <w:basedOn w:val="CommentTextChar"/>
    <w:link w:val="CommentSubject"/>
    <w:uiPriority w:val="99"/>
    <w:semiHidden/>
    <w:rsid w:val="00915FCB"/>
    <w:rPr>
      <w:rFonts w:ascii="Times New Roman" w:hAnsi="Times New Roman" w:cs="Times New Roman"/>
      <w:b/>
      <w:bCs/>
      <w:sz w:val="20"/>
      <w:szCs w:val="20"/>
      <w:lang w:val="en-GB"/>
    </w:rPr>
  </w:style>
  <w:style w:type="character" w:styleId="Hyperlink">
    <w:name w:val="Hyperlink"/>
    <w:basedOn w:val="DefaultParagraphFont"/>
    <w:uiPriority w:val="99"/>
    <w:unhideWhenUsed/>
    <w:rsid w:val="00915FCB"/>
    <w:rPr>
      <w:color w:val="0000FF" w:themeColor="hyperlink"/>
      <w:u w:val="single"/>
    </w:rPr>
  </w:style>
  <w:style w:type="paragraph" w:styleId="Revision">
    <w:name w:val="Revision"/>
    <w:hidden/>
    <w:uiPriority w:val="99"/>
    <w:semiHidden/>
    <w:rsid w:val="00551F87"/>
    <w:pPr>
      <w:spacing w:after="0" w:line="240" w:lineRule="auto"/>
    </w:pPr>
    <w:rPr>
      <w:rFonts w:ascii="Times New Roman" w:hAnsi="Times New Roman" w:cs="Times New Roman"/>
      <w:sz w:val="24"/>
      <w:lang w:val="en-GB"/>
    </w:rPr>
  </w:style>
  <w:style w:type="character" w:customStyle="1" w:styleId="UnresolvedMention1">
    <w:name w:val="Unresolved Mention1"/>
    <w:basedOn w:val="DefaultParagraphFont"/>
    <w:uiPriority w:val="99"/>
    <w:semiHidden/>
    <w:unhideWhenUsed/>
    <w:rsid w:val="00EA2A83"/>
    <w:rPr>
      <w:color w:val="605E5C"/>
      <w:shd w:val="clear" w:color="auto" w:fill="E1DFDD"/>
    </w:rPr>
  </w:style>
  <w:style w:type="paragraph" w:styleId="Header">
    <w:name w:val="header"/>
    <w:basedOn w:val="Normal"/>
    <w:link w:val="HeaderChar"/>
    <w:uiPriority w:val="99"/>
    <w:unhideWhenUsed/>
    <w:rsid w:val="00F52539"/>
    <w:pPr>
      <w:tabs>
        <w:tab w:val="center" w:pos="4535"/>
        <w:tab w:val="right" w:pos="9071"/>
      </w:tabs>
      <w:spacing w:before="0"/>
    </w:pPr>
  </w:style>
  <w:style w:type="character" w:customStyle="1" w:styleId="HeaderChar">
    <w:name w:val="Header Char"/>
    <w:basedOn w:val="DefaultParagraphFont"/>
    <w:link w:val="Header"/>
    <w:uiPriority w:val="99"/>
    <w:rsid w:val="00F52539"/>
    <w:rPr>
      <w:rFonts w:ascii="Times New Roman" w:hAnsi="Times New Roman" w:cs="Times New Roman"/>
      <w:sz w:val="24"/>
      <w:lang w:val="en-GB"/>
    </w:rPr>
  </w:style>
  <w:style w:type="paragraph" w:styleId="Footer">
    <w:name w:val="footer"/>
    <w:basedOn w:val="Normal"/>
    <w:link w:val="FooterChar"/>
    <w:uiPriority w:val="99"/>
    <w:unhideWhenUsed/>
    <w:rsid w:val="00F525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52539"/>
    <w:rPr>
      <w:rFonts w:ascii="Times New Roman" w:hAnsi="Times New Roman" w:cs="Times New Roman"/>
      <w:sz w:val="24"/>
      <w:lang w:val="en-GB"/>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52539"/>
    <w:pPr>
      <w:tabs>
        <w:tab w:val="center" w:pos="7285"/>
        <w:tab w:val="right" w:pos="14003"/>
      </w:tabs>
      <w:spacing w:before="0"/>
    </w:pPr>
  </w:style>
  <w:style w:type="paragraph" w:customStyle="1" w:styleId="FooterLandscape">
    <w:name w:val="FooterLandscape"/>
    <w:basedOn w:val="Normal"/>
    <w:rsid w:val="00F5253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rsid w:val="00F525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52539"/>
    <w:pPr>
      <w:spacing w:before="0"/>
      <w:jc w:val="right"/>
    </w:pPr>
    <w:rPr>
      <w:sz w:val="28"/>
    </w:rPr>
  </w:style>
  <w:style w:type="paragraph" w:customStyle="1" w:styleId="FooterSensitivity">
    <w:name w:val="Footer Sensitivity"/>
    <w:basedOn w:val="Normal"/>
    <w:rsid w:val="00F525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5565C"/>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link w:val="StatutChar"/>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05565C"/>
    <w:pPr>
      <w:spacing w:before="0" w:after="240"/>
      <w:jc w:val="center"/>
    </w:pPr>
    <w:rPr>
      <w:noProof/>
    </w:rPr>
  </w:style>
  <w:style w:type="character" w:customStyle="1" w:styleId="StatutChar">
    <w:name w:val="Statut Char"/>
    <w:basedOn w:val="DefaultParagraphFont"/>
    <w:link w:val="Statut"/>
    <w:rsid w:val="0005565C"/>
    <w:rPr>
      <w:rFonts w:ascii="Times New Roman" w:hAnsi="Times New Roman" w:cs="Times New Roman"/>
      <w:sz w:val="24"/>
      <w:lang w:val="en-GB"/>
    </w:rPr>
  </w:style>
  <w:style w:type="character" w:customStyle="1" w:styleId="TechnicalBlockChar">
    <w:name w:val="Technical Block Char"/>
    <w:basedOn w:val="StatutChar"/>
    <w:link w:val="TechnicalBlock"/>
    <w:rsid w:val="0005565C"/>
    <w:rPr>
      <w:rFonts w:ascii="Times New Roman" w:hAnsi="Times New Roman" w:cs="Times New Roman"/>
      <w:noProof/>
      <w:sz w:val="24"/>
      <w:lang w:val="en-GB"/>
    </w:rPr>
  </w:style>
  <w:style w:type="paragraph" w:customStyle="1" w:styleId="Lignefinal">
    <w:name w:val="Ligne final"/>
    <w:basedOn w:val="Normal"/>
    <w:next w:val="Normal"/>
    <w:rsid w:val="0005565C"/>
    <w:pPr>
      <w:pBdr>
        <w:bottom w:val="single" w:sz="4" w:space="0" w:color="000000"/>
      </w:pBdr>
      <w:spacing w:before="360" w:line="360" w:lineRule="auto"/>
      <w:ind w:left="3400" w:right="3400"/>
      <w:jc w:val="center"/>
    </w:pPr>
    <w:rPr>
      <w:b/>
    </w:rPr>
  </w:style>
  <w:style w:type="paragraph" w:customStyle="1" w:styleId="EntText">
    <w:name w:val="EntText"/>
    <w:basedOn w:val="Normal"/>
    <w:rsid w:val="0005565C"/>
    <w:pPr>
      <w:spacing w:line="360" w:lineRule="auto"/>
      <w:jc w:val="left"/>
    </w:pPr>
  </w:style>
  <w:style w:type="paragraph" w:customStyle="1" w:styleId="pj">
    <w:name w:val="p.j."/>
    <w:basedOn w:val="Normal"/>
    <w:link w:val="pjChar"/>
    <w:rsid w:val="0005565C"/>
    <w:pPr>
      <w:spacing w:before="1200"/>
      <w:ind w:left="1440" w:hanging="1440"/>
      <w:jc w:val="left"/>
    </w:pPr>
  </w:style>
  <w:style w:type="character" w:customStyle="1" w:styleId="pjChar">
    <w:name w:val="p.j. Char"/>
    <w:basedOn w:val="StatutChar"/>
    <w:link w:val="pj"/>
    <w:rsid w:val="0005565C"/>
    <w:rPr>
      <w:rFonts w:ascii="Times New Roman" w:hAnsi="Times New Roman" w:cs="Times New Roman"/>
      <w:sz w:val="24"/>
      <w:lang w:val="en-GB"/>
    </w:rPr>
  </w:style>
  <w:style w:type="paragraph" w:customStyle="1" w:styleId="nbbordered">
    <w:name w:val="nb bordered"/>
    <w:basedOn w:val="Normal"/>
    <w:link w:val="nbborderedChar"/>
    <w:rsid w:val="0005565C"/>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StatutChar"/>
    <w:link w:val="nbbordered"/>
    <w:rsid w:val="0005565C"/>
    <w:rPr>
      <w:rFonts w:ascii="Times New Roman" w:hAnsi="Times New Roman" w:cs="Times New Roman"/>
      <w:b/>
      <w:sz w:val="24"/>
      <w:lang w:val="en-GB"/>
    </w:rPr>
  </w:style>
  <w:style w:type="paragraph" w:customStyle="1" w:styleId="HeaderCouncil">
    <w:name w:val="Header Council"/>
    <w:basedOn w:val="Normal"/>
    <w:link w:val="HeaderCouncilChar"/>
    <w:rsid w:val="0005565C"/>
    <w:pPr>
      <w:spacing w:before="0" w:after="0"/>
    </w:pPr>
    <w:rPr>
      <w:sz w:val="2"/>
    </w:rPr>
  </w:style>
  <w:style w:type="character" w:customStyle="1" w:styleId="HeaderCouncilChar">
    <w:name w:val="Header Council Char"/>
    <w:basedOn w:val="DefaultParagraphFont"/>
    <w:link w:val="HeaderCouncil"/>
    <w:rsid w:val="0005565C"/>
    <w:rPr>
      <w:rFonts w:ascii="Times New Roman" w:hAnsi="Times New Roman" w:cs="Times New Roman"/>
      <w:sz w:val="2"/>
      <w:lang w:val="en-GB"/>
    </w:rPr>
  </w:style>
  <w:style w:type="paragraph" w:customStyle="1" w:styleId="HeaderCouncilLarge">
    <w:name w:val="Header Council Large"/>
    <w:basedOn w:val="Normal"/>
    <w:link w:val="HeaderCouncilLargeChar"/>
    <w:rsid w:val="0005565C"/>
    <w:pPr>
      <w:spacing w:before="0" w:after="440"/>
    </w:pPr>
    <w:rPr>
      <w:sz w:val="2"/>
    </w:rPr>
  </w:style>
  <w:style w:type="character" w:customStyle="1" w:styleId="HeaderCouncilLargeChar">
    <w:name w:val="Header Council Large Char"/>
    <w:basedOn w:val="DefaultParagraphFont"/>
    <w:link w:val="HeaderCouncilLarge"/>
    <w:rsid w:val="0005565C"/>
    <w:rPr>
      <w:rFonts w:ascii="Times New Roman" w:hAnsi="Times New Roman" w:cs="Times New Roman"/>
      <w:sz w:val="2"/>
      <w:lang w:val="en-GB"/>
    </w:rPr>
  </w:style>
  <w:style w:type="paragraph" w:customStyle="1" w:styleId="FooterCouncil">
    <w:name w:val="Footer Council"/>
    <w:basedOn w:val="Normal"/>
    <w:link w:val="FooterCouncilChar"/>
    <w:rsid w:val="0005565C"/>
    <w:pPr>
      <w:spacing w:before="0" w:after="0"/>
    </w:pPr>
    <w:rPr>
      <w:sz w:val="2"/>
    </w:rPr>
  </w:style>
  <w:style w:type="character" w:customStyle="1" w:styleId="FooterCouncilChar">
    <w:name w:val="Footer Council Char"/>
    <w:basedOn w:val="DefaultParagraphFont"/>
    <w:link w:val="FooterCouncil"/>
    <w:rsid w:val="0005565C"/>
    <w:rPr>
      <w:rFonts w:ascii="Times New Roman" w:hAnsi="Times New Roman" w:cs="Times New Roman"/>
      <w:sz w:val="2"/>
      <w:lang w:val="en-GB"/>
    </w:rPr>
  </w:style>
  <w:style w:type="paragraph" w:customStyle="1" w:styleId="FooterText">
    <w:name w:val="Footer Text"/>
    <w:basedOn w:val="Normal"/>
    <w:rsid w:val="0005565C"/>
    <w:pPr>
      <w:spacing w:before="0" w:after="0"/>
      <w:jc w:val="left"/>
    </w:pPr>
    <w:rPr>
      <w:rFonts w:eastAsia="Times New Roman"/>
      <w:szCs w:val="24"/>
    </w:rPr>
  </w:style>
  <w:style w:type="character" w:styleId="PlaceholderText">
    <w:name w:val="Placeholder Text"/>
    <w:basedOn w:val="DefaultParagraphFont"/>
    <w:uiPriority w:val="99"/>
    <w:semiHidden/>
    <w:rsid w:val="00055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3D05-BCD5-438A-AAA0-9F69ADE6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1396</Words>
  <Characters>7106</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RANDERS Berit</dc:creator>
  <cp:keywords/>
  <dc:description/>
  <cp:lastModifiedBy>RANDERS Berit</cp:lastModifiedBy>
  <cp:revision>3</cp:revision>
  <dcterms:created xsi:type="dcterms:W3CDTF">2023-10-06T14:38:00Z</dcterms:created>
  <dcterms:modified xsi:type="dcterms:W3CDTF">2023-10-06T14:38:00Z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4.8.5, Build 20230921</vt:lpwstr>
  </property>
  <property fmtid="{D5CDD505-2E9C-101B-9397-08002B2CF9AE}" pid="5" name="Created using">
    <vt:lpwstr>DocuWrite 4.8.5, Build 20230921</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2023-05-01T14:55:37Z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c8a33e4c-d16a-4083-8782-bcb8640d932d</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fmtid="{D5CDD505-2E9C-101B-9397-08002B2CF9AE}" pid="18" name="MSIP_Label_b1df41d6-74a9-4a97-809c-213cd32520cc_Enabled">
    <vt:lpwstr>true</vt:lpwstr>
  </property>
  <property fmtid="{D5CDD505-2E9C-101B-9397-08002B2CF9AE}" pid="19" name="MSIP_Label_b1df41d6-74a9-4a97-809c-213cd32520cc_SetDate">
    <vt:lpwstr>2023-10-06T14:38:12Z</vt:lpwstr>
  </property>
  <property fmtid="{D5CDD505-2E9C-101B-9397-08002B2CF9AE}" pid="20" name="MSIP_Label_b1df41d6-74a9-4a97-809c-213cd32520cc_Method">
    <vt:lpwstr>Privileged</vt:lpwstr>
  </property>
  <property fmtid="{D5CDD505-2E9C-101B-9397-08002B2CF9AE}" pid="21" name="MSIP_Label_b1df41d6-74a9-4a97-809c-213cd32520cc_Name">
    <vt:lpwstr>GSCEU - NON PUBLIC Label</vt:lpwstr>
  </property>
  <property fmtid="{D5CDD505-2E9C-101B-9397-08002B2CF9AE}" pid="22" name="MSIP_Label_b1df41d6-74a9-4a97-809c-213cd32520cc_SiteId">
    <vt:lpwstr>03ad1c97-0a4d-4e82-8f93-27291a6a0767</vt:lpwstr>
  </property>
  <property fmtid="{D5CDD505-2E9C-101B-9397-08002B2CF9AE}" pid="23" name="MSIP_Label_b1df41d6-74a9-4a97-809c-213cd32520cc_ActionId">
    <vt:lpwstr>6c6b48bb-0774-46dd-8cd8-e1b2cd6c731b</vt:lpwstr>
  </property>
  <property fmtid="{D5CDD505-2E9C-101B-9397-08002B2CF9AE}" pid="24" name="MSIP_Label_b1df41d6-74a9-4a97-809c-213cd32520cc_ContentBits">
    <vt:lpwstr>0</vt:lpwstr>
  </property>
</Properties>
</file>