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92D9E" w14:textId="77777777" w:rsidR="00ED5ECA" w:rsidRPr="008F3500" w:rsidRDefault="00ED5ECA" w:rsidP="00ED5ECA">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7FECB628" wp14:editId="37151CBC">
            <wp:simplePos x="0" y="0"/>
            <wp:positionH relativeFrom="page">
              <wp:posOffset>0</wp:posOffset>
            </wp:positionH>
            <wp:positionV relativeFrom="page">
              <wp:posOffset>0</wp:posOffset>
            </wp:positionV>
            <wp:extent cx="4321810" cy="972185"/>
            <wp:effectExtent l="0" t="0" r="0" b="0"/>
            <wp:wrapSquare wrapText="bothSides"/>
            <wp:docPr id="10" name="Picture 5"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A27D66D" w14:textId="77777777" w:rsidR="00ED5ECA" w:rsidRPr="003D1E7C" w:rsidRDefault="00ED5ECA" w:rsidP="00ED5ECA">
      <w:pPr>
        <w:pStyle w:val="Odstavekseznama1"/>
        <w:spacing w:line="260" w:lineRule="exact"/>
        <w:rPr>
          <w:rFonts w:ascii="Arial" w:hAnsi="Arial" w:cs="Arial"/>
          <w:color w:val="808080"/>
          <w:sz w:val="16"/>
          <w:szCs w:val="16"/>
        </w:rPr>
      </w:pP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t>T:</w:t>
      </w:r>
      <w:r>
        <w:rPr>
          <w:rFonts w:ascii="Arial" w:hAnsi="Arial" w:cs="Arial"/>
          <w:color w:val="808080"/>
          <w:sz w:val="16"/>
          <w:szCs w:val="16"/>
        </w:rPr>
        <w:t xml:space="preserve"> 01 369 63 00</w:t>
      </w:r>
    </w:p>
    <w:p w14:paraId="0559C6C7" w14:textId="77777777" w:rsidR="00ED5ECA" w:rsidRPr="003D1E7C" w:rsidRDefault="00ED5ECA" w:rsidP="00ED5ECA">
      <w:pPr>
        <w:pStyle w:val="Odstavekseznama1"/>
        <w:spacing w:line="260" w:lineRule="exact"/>
        <w:rPr>
          <w:rFonts w:ascii="Arial" w:hAnsi="Arial" w:cs="Arial"/>
          <w:color w:val="808080"/>
          <w:sz w:val="16"/>
          <w:szCs w:val="16"/>
        </w:rPr>
      </w:pP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t>F</w:t>
      </w:r>
      <w:r>
        <w:rPr>
          <w:rFonts w:ascii="Arial" w:hAnsi="Arial" w:cs="Arial"/>
          <w:color w:val="808080"/>
          <w:sz w:val="16"/>
          <w:szCs w:val="16"/>
        </w:rPr>
        <w:t>: 01 369 66 59</w:t>
      </w:r>
    </w:p>
    <w:p w14:paraId="602B7617" w14:textId="77777777" w:rsidR="00ED5ECA" w:rsidRPr="00B645E1" w:rsidRDefault="00ED5ECA" w:rsidP="00ED5ECA">
      <w:pPr>
        <w:pStyle w:val="Odstavekseznama1"/>
        <w:spacing w:line="260" w:lineRule="exact"/>
        <w:ind w:left="0"/>
        <w:rPr>
          <w:rFonts w:ascii="Arial" w:hAnsi="Arial" w:cs="Arial"/>
          <w:color w:val="808080"/>
          <w:sz w:val="16"/>
          <w:szCs w:val="16"/>
        </w:rPr>
      </w:pPr>
      <w:r>
        <w:rPr>
          <w:rFonts w:ascii="Arial" w:hAnsi="Arial" w:cs="Arial"/>
          <w:sz w:val="16"/>
          <w:szCs w:val="16"/>
        </w:rPr>
        <w:t xml:space="preserve">      </w:t>
      </w:r>
      <w:r w:rsidRPr="00B645E1">
        <w:rPr>
          <w:rFonts w:ascii="Arial" w:hAnsi="Arial" w:cs="Arial"/>
          <w:color w:val="808080"/>
          <w:sz w:val="16"/>
          <w:szCs w:val="16"/>
        </w:rPr>
        <w:t>Župančičeva 3, p.p.644a, 1001 Ljubljana</w:t>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E: gp.mf@gov.si</w:t>
      </w:r>
    </w:p>
    <w:p w14:paraId="7E5E3A3A" w14:textId="77777777" w:rsidR="00ED5ECA" w:rsidRPr="00B645E1" w:rsidRDefault="00ED5ECA" w:rsidP="00ED5ECA">
      <w:pPr>
        <w:pStyle w:val="Odstavekseznama1"/>
        <w:spacing w:line="260" w:lineRule="exact"/>
        <w:rPr>
          <w:rFonts w:ascii="Arial" w:hAnsi="Arial" w:cs="Arial"/>
          <w:color w:val="808080"/>
          <w:sz w:val="16"/>
          <w:szCs w:val="16"/>
        </w:rPr>
      </w:pP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www.mf.gov.si</w:t>
      </w:r>
    </w:p>
    <w:p w14:paraId="15F208A3" w14:textId="77777777" w:rsidR="006B4785" w:rsidRDefault="006B4785"/>
    <w:tbl>
      <w:tblPr>
        <w:tblW w:w="9319"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2"/>
        <w:gridCol w:w="4646"/>
        <w:gridCol w:w="656"/>
        <w:gridCol w:w="2185"/>
      </w:tblGrid>
      <w:tr w:rsidR="00C106E6" w:rsidRPr="008D1759" w14:paraId="41865710" w14:textId="77777777" w:rsidTr="00833C5D">
        <w:trPr>
          <w:gridAfter w:val="2"/>
          <w:wAfter w:w="2841" w:type="dxa"/>
        </w:trPr>
        <w:tc>
          <w:tcPr>
            <w:tcW w:w="6478" w:type="dxa"/>
            <w:gridSpan w:val="2"/>
            <w:tcBorders>
              <w:top w:val="nil"/>
              <w:left w:val="nil"/>
              <w:bottom w:val="single" w:sz="4" w:space="0" w:color="auto"/>
              <w:right w:val="nil"/>
            </w:tcBorders>
          </w:tcPr>
          <w:p w14:paraId="4CD5CF81" w14:textId="77777777" w:rsidR="00C106E6" w:rsidRPr="008D1759" w:rsidRDefault="00C106E6" w:rsidP="00EC45FA">
            <w:pPr>
              <w:pStyle w:val="Neotevilenodstavek"/>
              <w:spacing w:before="0" w:after="0" w:line="276" w:lineRule="auto"/>
              <w:jc w:val="left"/>
              <w:rPr>
                <w:sz w:val="20"/>
                <w:szCs w:val="20"/>
              </w:rPr>
            </w:pPr>
          </w:p>
        </w:tc>
      </w:tr>
      <w:tr w:rsidR="00C106E6" w:rsidRPr="008D1759" w14:paraId="3CB66ABA" w14:textId="77777777" w:rsidTr="00833C5D">
        <w:trPr>
          <w:gridAfter w:val="2"/>
          <w:wAfter w:w="2841" w:type="dxa"/>
        </w:trPr>
        <w:tc>
          <w:tcPr>
            <w:tcW w:w="6478" w:type="dxa"/>
            <w:gridSpan w:val="2"/>
            <w:tcBorders>
              <w:top w:val="single" w:sz="4" w:space="0" w:color="auto"/>
              <w:left w:val="single" w:sz="4" w:space="0" w:color="auto"/>
              <w:bottom w:val="single" w:sz="4" w:space="0" w:color="auto"/>
              <w:right w:val="single" w:sz="4" w:space="0" w:color="auto"/>
            </w:tcBorders>
          </w:tcPr>
          <w:p w14:paraId="59C6DA6D" w14:textId="68E9939A" w:rsidR="00C106E6" w:rsidRPr="008D1759" w:rsidRDefault="00C106E6" w:rsidP="00EC45FA">
            <w:pPr>
              <w:pStyle w:val="Neotevilenodstavek"/>
              <w:spacing w:before="0" w:after="0" w:line="276" w:lineRule="auto"/>
              <w:jc w:val="left"/>
              <w:rPr>
                <w:sz w:val="20"/>
                <w:szCs w:val="20"/>
              </w:rPr>
            </w:pPr>
            <w:r>
              <w:rPr>
                <w:sz w:val="20"/>
                <w:szCs w:val="20"/>
              </w:rPr>
              <w:t xml:space="preserve">Številka: </w:t>
            </w:r>
            <w:r w:rsidRPr="00D60964">
              <w:rPr>
                <w:sz w:val="20"/>
                <w:szCs w:val="20"/>
              </w:rPr>
              <w:t>007-686/2022</w:t>
            </w:r>
            <w:r>
              <w:rPr>
                <w:sz w:val="20"/>
                <w:szCs w:val="20"/>
              </w:rPr>
              <w:t>/</w:t>
            </w:r>
            <w:r w:rsidR="00545DD6">
              <w:rPr>
                <w:sz w:val="20"/>
                <w:szCs w:val="20"/>
              </w:rPr>
              <w:t>9</w:t>
            </w:r>
            <w:r w:rsidR="00CD1333">
              <w:rPr>
                <w:sz w:val="20"/>
                <w:szCs w:val="20"/>
              </w:rPr>
              <w:t>5</w:t>
            </w:r>
          </w:p>
        </w:tc>
      </w:tr>
      <w:tr w:rsidR="00C106E6" w:rsidRPr="008D1759" w14:paraId="73A20840" w14:textId="77777777" w:rsidTr="00833C5D">
        <w:trPr>
          <w:gridAfter w:val="2"/>
          <w:wAfter w:w="2841" w:type="dxa"/>
        </w:trPr>
        <w:tc>
          <w:tcPr>
            <w:tcW w:w="6478" w:type="dxa"/>
            <w:gridSpan w:val="2"/>
            <w:tcBorders>
              <w:top w:val="single" w:sz="4" w:space="0" w:color="auto"/>
            </w:tcBorders>
          </w:tcPr>
          <w:p w14:paraId="3D294753" w14:textId="62E26A53" w:rsidR="00C106E6" w:rsidRPr="008D1759" w:rsidRDefault="00C106E6" w:rsidP="00EC45FA">
            <w:pPr>
              <w:pStyle w:val="Neotevilenodstavek"/>
              <w:spacing w:before="0" w:after="0" w:line="276" w:lineRule="auto"/>
              <w:jc w:val="left"/>
              <w:rPr>
                <w:sz w:val="20"/>
                <w:szCs w:val="20"/>
              </w:rPr>
            </w:pPr>
            <w:r>
              <w:rPr>
                <w:sz w:val="20"/>
                <w:szCs w:val="20"/>
              </w:rPr>
              <w:t xml:space="preserve">Ljubljana, </w:t>
            </w:r>
            <w:r w:rsidR="006D3B73">
              <w:rPr>
                <w:sz w:val="20"/>
                <w:szCs w:val="20"/>
              </w:rPr>
              <w:t xml:space="preserve">dne </w:t>
            </w:r>
            <w:r w:rsidR="00545DD6">
              <w:rPr>
                <w:sz w:val="20"/>
                <w:szCs w:val="20"/>
              </w:rPr>
              <w:t>26</w:t>
            </w:r>
            <w:r w:rsidR="006D3B73">
              <w:rPr>
                <w:sz w:val="20"/>
                <w:szCs w:val="20"/>
              </w:rPr>
              <w:t>. septembra</w:t>
            </w:r>
            <w:r>
              <w:rPr>
                <w:sz w:val="20"/>
                <w:szCs w:val="20"/>
              </w:rPr>
              <w:t xml:space="preserve"> 2022</w:t>
            </w:r>
          </w:p>
        </w:tc>
      </w:tr>
      <w:tr w:rsidR="00C106E6" w:rsidRPr="008D1759" w14:paraId="2E563CE4" w14:textId="77777777" w:rsidTr="00833C5D">
        <w:trPr>
          <w:gridAfter w:val="2"/>
          <w:wAfter w:w="2841" w:type="dxa"/>
        </w:trPr>
        <w:tc>
          <w:tcPr>
            <w:tcW w:w="6478" w:type="dxa"/>
            <w:gridSpan w:val="2"/>
          </w:tcPr>
          <w:p w14:paraId="2A237BEF" w14:textId="77777777" w:rsidR="00C106E6" w:rsidRPr="00594B90" w:rsidRDefault="00C106E6" w:rsidP="00EC45FA">
            <w:pPr>
              <w:pStyle w:val="Neotevilenodstavek"/>
              <w:spacing w:before="0" w:after="0" w:line="276" w:lineRule="auto"/>
              <w:jc w:val="left"/>
              <w:rPr>
                <w:sz w:val="20"/>
                <w:szCs w:val="20"/>
              </w:rPr>
            </w:pPr>
            <w:r>
              <w:rPr>
                <w:iCs/>
                <w:sz w:val="20"/>
                <w:szCs w:val="20"/>
              </w:rPr>
              <w:t>EVA 2022-1611-0093</w:t>
            </w:r>
          </w:p>
        </w:tc>
      </w:tr>
      <w:tr w:rsidR="00C106E6" w:rsidRPr="008D1759" w14:paraId="2F4D7351" w14:textId="77777777" w:rsidTr="00833C5D">
        <w:trPr>
          <w:gridAfter w:val="2"/>
          <w:wAfter w:w="2841" w:type="dxa"/>
        </w:trPr>
        <w:tc>
          <w:tcPr>
            <w:tcW w:w="6478" w:type="dxa"/>
            <w:gridSpan w:val="2"/>
          </w:tcPr>
          <w:p w14:paraId="3D6AD217" w14:textId="77777777" w:rsidR="00C106E6" w:rsidRPr="008D1759" w:rsidRDefault="00C106E6" w:rsidP="00EC45FA">
            <w:pPr>
              <w:spacing w:line="276" w:lineRule="auto"/>
              <w:rPr>
                <w:rFonts w:cs="Arial"/>
                <w:szCs w:val="20"/>
              </w:rPr>
            </w:pPr>
          </w:p>
          <w:p w14:paraId="460A9F56" w14:textId="77777777" w:rsidR="00C106E6" w:rsidRPr="008267D5" w:rsidRDefault="00C106E6" w:rsidP="00EC45FA">
            <w:pPr>
              <w:spacing w:line="276" w:lineRule="auto"/>
              <w:rPr>
                <w:rFonts w:ascii="Arial" w:hAnsi="Arial" w:cs="Arial"/>
                <w:sz w:val="20"/>
                <w:szCs w:val="20"/>
              </w:rPr>
            </w:pPr>
            <w:r w:rsidRPr="008267D5">
              <w:rPr>
                <w:rFonts w:ascii="Arial" w:hAnsi="Arial" w:cs="Arial"/>
                <w:sz w:val="20"/>
                <w:szCs w:val="20"/>
              </w:rPr>
              <w:t>GENERALNI SEKRETARIAT VLADE REPUBLIKE SLOVENIJE</w:t>
            </w:r>
          </w:p>
          <w:p w14:paraId="208F7E0F" w14:textId="77777777" w:rsidR="00C106E6" w:rsidRPr="008267D5" w:rsidRDefault="00A46113" w:rsidP="00EC45FA">
            <w:pPr>
              <w:spacing w:line="276" w:lineRule="auto"/>
              <w:rPr>
                <w:rFonts w:ascii="Arial" w:hAnsi="Arial" w:cs="Arial"/>
                <w:sz w:val="20"/>
                <w:szCs w:val="20"/>
              </w:rPr>
            </w:pPr>
            <w:hyperlink r:id="rId13" w:history="1">
              <w:r w:rsidR="00C106E6" w:rsidRPr="008267D5">
                <w:rPr>
                  <w:rStyle w:val="Hiperpovezava"/>
                  <w:rFonts w:ascii="Arial" w:hAnsi="Arial" w:cs="Arial"/>
                  <w:sz w:val="20"/>
                  <w:szCs w:val="20"/>
                </w:rPr>
                <w:t>Gp.gs@gov.si</w:t>
              </w:r>
            </w:hyperlink>
          </w:p>
          <w:p w14:paraId="3BE3DACB" w14:textId="77777777" w:rsidR="00C106E6" w:rsidRPr="008D1759" w:rsidRDefault="00C106E6" w:rsidP="00EC45FA">
            <w:pPr>
              <w:spacing w:line="276" w:lineRule="auto"/>
              <w:rPr>
                <w:rFonts w:cs="Arial"/>
                <w:szCs w:val="20"/>
              </w:rPr>
            </w:pPr>
          </w:p>
        </w:tc>
      </w:tr>
      <w:tr w:rsidR="00C106E6" w:rsidRPr="008D1759" w14:paraId="442D9BE1" w14:textId="77777777" w:rsidTr="00833C5D">
        <w:tc>
          <w:tcPr>
            <w:tcW w:w="9319" w:type="dxa"/>
            <w:gridSpan w:val="4"/>
          </w:tcPr>
          <w:p w14:paraId="494DAE89" w14:textId="49C81E21" w:rsidR="00C106E6" w:rsidRPr="008D1759" w:rsidRDefault="00C106E6" w:rsidP="00EC45FA">
            <w:pPr>
              <w:pStyle w:val="Naslovpredpisa"/>
              <w:spacing w:before="0" w:after="0" w:line="276" w:lineRule="auto"/>
              <w:jc w:val="left"/>
              <w:rPr>
                <w:sz w:val="20"/>
                <w:szCs w:val="20"/>
              </w:rPr>
            </w:pPr>
            <w:r>
              <w:rPr>
                <w:sz w:val="20"/>
                <w:szCs w:val="20"/>
              </w:rPr>
              <w:t xml:space="preserve">ZADEVA: </w:t>
            </w:r>
            <w:r w:rsidRPr="00923993">
              <w:rPr>
                <w:sz w:val="20"/>
                <w:szCs w:val="20"/>
              </w:rPr>
              <w:t>Zakon o spremembah in dopolnitvah Zakona o dohodnini – predlog za obravnavo</w:t>
            </w:r>
            <w:r>
              <w:rPr>
                <w:sz w:val="20"/>
                <w:szCs w:val="20"/>
              </w:rPr>
              <w:t xml:space="preserve"> – </w:t>
            </w:r>
            <w:r w:rsidRPr="00F10E13">
              <w:rPr>
                <w:sz w:val="20"/>
                <w:szCs w:val="20"/>
              </w:rPr>
              <w:t>NUJNI</w:t>
            </w:r>
            <w:r>
              <w:rPr>
                <w:sz w:val="20"/>
                <w:szCs w:val="20"/>
              </w:rPr>
              <w:t xml:space="preserve"> </w:t>
            </w:r>
            <w:r w:rsidRPr="00F10E13">
              <w:rPr>
                <w:sz w:val="20"/>
                <w:szCs w:val="20"/>
              </w:rPr>
              <w:t>POSTOPEK</w:t>
            </w:r>
            <w:r w:rsidR="00545DD6">
              <w:rPr>
                <w:sz w:val="20"/>
                <w:szCs w:val="20"/>
              </w:rPr>
              <w:t xml:space="preserve"> – novo gradivo št. 1</w:t>
            </w:r>
          </w:p>
        </w:tc>
      </w:tr>
      <w:tr w:rsidR="00C106E6" w:rsidRPr="008D1759" w14:paraId="3DA05620" w14:textId="77777777" w:rsidTr="00833C5D">
        <w:tc>
          <w:tcPr>
            <w:tcW w:w="9319" w:type="dxa"/>
            <w:gridSpan w:val="4"/>
          </w:tcPr>
          <w:p w14:paraId="24C1E5F9" w14:textId="77777777" w:rsidR="00C106E6" w:rsidRPr="008D1759" w:rsidRDefault="00C106E6" w:rsidP="00EC45FA">
            <w:pPr>
              <w:pStyle w:val="Poglavje"/>
              <w:spacing w:before="0" w:after="0" w:line="276" w:lineRule="auto"/>
              <w:jc w:val="left"/>
              <w:rPr>
                <w:sz w:val="20"/>
                <w:szCs w:val="20"/>
              </w:rPr>
            </w:pPr>
            <w:r>
              <w:rPr>
                <w:sz w:val="20"/>
                <w:szCs w:val="20"/>
              </w:rPr>
              <w:t>1.</w:t>
            </w:r>
            <w:r w:rsidRPr="008D1759">
              <w:rPr>
                <w:sz w:val="20"/>
                <w:szCs w:val="20"/>
              </w:rPr>
              <w:t xml:space="preserve"> Predlog sklepov vlade:</w:t>
            </w:r>
          </w:p>
        </w:tc>
      </w:tr>
      <w:tr w:rsidR="00C106E6" w:rsidRPr="008D1759" w14:paraId="0CFD92E0" w14:textId="77777777" w:rsidTr="00833C5D">
        <w:tc>
          <w:tcPr>
            <w:tcW w:w="9319" w:type="dxa"/>
            <w:gridSpan w:val="4"/>
          </w:tcPr>
          <w:p w14:paraId="4B14ED34" w14:textId="0176360B" w:rsidR="00C106E6" w:rsidRPr="001708A9" w:rsidRDefault="00C106E6" w:rsidP="004F3703">
            <w:pPr>
              <w:pStyle w:val="Neotevilenodstavek"/>
              <w:spacing w:before="0" w:after="0" w:line="276" w:lineRule="auto"/>
              <w:rPr>
                <w:iCs/>
                <w:sz w:val="20"/>
                <w:szCs w:val="20"/>
              </w:rPr>
            </w:pPr>
            <w:r w:rsidRPr="001708A9">
              <w:rPr>
                <w:iCs/>
                <w:sz w:val="20"/>
                <w:szCs w:val="20"/>
              </w:rPr>
              <w:t xml:space="preserve">Na podlagi drugega odstavka 2. člena Zakona o Vladi Republike Slovenije </w:t>
            </w:r>
            <w:r w:rsidRPr="008B0242">
              <w:rPr>
                <w:iCs/>
                <w:sz w:val="20"/>
                <w:szCs w:val="20"/>
              </w:rPr>
              <w:t>(Uradni list RS, št. 24/05 – uradno prečiščeno besedilo, 109/08, 38/10 – ZUKN, 8/12, 21/13, 47/13 – ZDU-1G, 65/14 in 55/17</w:t>
            </w:r>
            <w:r w:rsidRPr="001708A9">
              <w:rPr>
                <w:iCs/>
                <w:sz w:val="20"/>
                <w:szCs w:val="20"/>
              </w:rPr>
              <w:t>) je Vlada Republike Slovenije na seji dne … pod točko … sprejela naslednji</w:t>
            </w:r>
          </w:p>
          <w:p w14:paraId="7CDCCD16" w14:textId="77777777" w:rsidR="00C106E6" w:rsidRDefault="00C106E6" w:rsidP="004F3703">
            <w:pPr>
              <w:pStyle w:val="Neotevilenodstavek"/>
              <w:spacing w:before="0" w:after="0" w:line="276" w:lineRule="auto"/>
              <w:rPr>
                <w:iCs/>
                <w:sz w:val="20"/>
                <w:szCs w:val="20"/>
              </w:rPr>
            </w:pPr>
          </w:p>
          <w:p w14:paraId="3DB4C618" w14:textId="77777777" w:rsidR="00C106E6" w:rsidRPr="001708A9" w:rsidRDefault="00C106E6" w:rsidP="004F3703">
            <w:pPr>
              <w:pStyle w:val="Neotevilenodstavek"/>
              <w:spacing w:before="0" w:after="0" w:line="276" w:lineRule="auto"/>
              <w:rPr>
                <w:iCs/>
                <w:sz w:val="20"/>
                <w:szCs w:val="20"/>
              </w:rPr>
            </w:pPr>
          </w:p>
          <w:p w14:paraId="5B205F5C" w14:textId="77777777" w:rsidR="00C106E6" w:rsidRPr="001708A9" w:rsidRDefault="00C106E6" w:rsidP="004F3703">
            <w:pPr>
              <w:pStyle w:val="Neotevilenodstavek"/>
              <w:spacing w:before="0" w:after="0" w:line="276" w:lineRule="auto"/>
              <w:jc w:val="center"/>
              <w:rPr>
                <w:iCs/>
                <w:sz w:val="20"/>
                <w:szCs w:val="20"/>
              </w:rPr>
            </w:pPr>
            <w:r w:rsidRPr="001708A9">
              <w:rPr>
                <w:iCs/>
                <w:sz w:val="20"/>
                <w:szCs w:val="20"/>
              </w:rPr>
              <w:t>S K L E P</w:t>
            </w:r>
            <w:r>
              <w:rPr>
                <w:iCs/>
                <w:sz w:val="20"/>
                <w:szCs w:val="20"/>
              </w:rPr>
              <w:t xml:space="preserve"> :</w:t>
            </w:r>
          </w:p>
          <w:p w14:paraId="03F721B2" w14:textId="77777777" w:rsidR="00C106E6" w:rsidRDefault="00C106E6" w:rsidP="004F3703">
            <w:pPr>
              <w:pStyle w:val="Neotevilenodstavek"/>
              <w:spacing w:before="0" w:after="0" w:line="276" w:lineRule="auto"/>
              <w:rPr>
                <w:iCs/>
                <w:sz w:val="20"/>
                <w:szCs w:val="20"/>
              </w:rPr>
            </w:pPr>
          </w:p>
          <w:p w14:paraId="3AD451E7" w14:textId="77777777" w:rsidR="00C106E6" w:rsidRPr="001708A9" w:rsidRDefault="00C106E6" w:rsidP="004F3703">
            <w:pPr>
              <w:pStyle w:val="Neotevilenodstavek"/>
              <w:spacing w:before="0" w:after="0" w:line="276" w:lineRule="auto"/>
              <w:rPr>
                <w:iCs/>
                <w:sz w:val="20"/>
                <w:szCs w:val="20"/>
              </w:rPr>
            </w:pPr>
          </w:p>
          <w:p w14:paraId="7E56D325" w14:textId="77777777" w:rsidR="00C106E6" w:rsidRPr="001708A9" w:rsidRDefault="00C106E6" w:rsidP="004F3703">
            <w:pPr>
              <w:pStyle w:val="Neotevilenodstavek"/>
              <w:spacing w:before="0" w:after="0" w:line="276" w:lineRule="auto"/>
              <w:rPr>
                <w:iCs/>
                <w:sz w:val="20"/>
                <w:szCs w:val="20"/>
              </w:rPr>
            </w:pPr>
            <w:r w:rsidRPr="001708A9">
              <w:rPr>
                <w:iCs/>
                <w:sz w:val="20"/>
                <w:szCs w:val="20"/>
              </w:rPr>
              <w:t xml:space="preserve">Vlada Republike Slovenije je določila besedilo </w:t>
            </w:r>
            <w:r>
              <w:rPr>
                <w:iCs/>
                <w:sz w:val="20"/>
                <w:szCs w:val="20"/>
              </w:rPr>
              <w:t>P</w:t>
            </w:r>
            <w:r w:rsidRPr="001708A9">
              <w:rPr>
                <w:iCs/>
                <w:sz w:val="20"/>
                <w:szCs w:val="20"/>
              </w:rPr>
              <w:t xml:space="preserve">redloga </w:t>
            </w:r>
            <w:r>
              <w:rPr>
                <w:iCs/>
                <w:sz w:val="20"/>
                <w:szCs w:val="20"/>
              </w:rPr>
              <w:t>z</w:t>
            </w:r>
            <w:r w:rsidRPr="001708A9">
              <w:rPr>
                <w:iCs/>
                <w:sz w:val="20"/>
                <w:szCs w:val="20"/>
              </w:rPr>
              <w:t xml:space="preserve">akona </w:t>
            </w:r>
            <w:r w:rsidRPr="004E53B9">
              <w:rPr>
                <w:sz w:val="20"/>
                <w:szCs w:val="20"/>
              </w:rPr>
              <w:t xml:space="preserve">o spremembah in dopolnitvah Zakona o dohodnini </w:t>
            </w:r>
            <w:r>
              <w:rPr>
                <w:iCs/>
                <w:sz w:val="20"/>
                <w:szCs w:val="20"/>
              </w:rPr>
              <w:t xml:space="preserve">in ga </w:t>
            </w:r>
            <w:r w:rsidRPr="001708A9">
              <w:rPr>
                <w:iCs/>
                <w:sz w:val="20"/>
                <w:szCs w:val="20"/>
              </w:rPr>
              <w:t xml:space="preserve">pošlje v obravnavo in sprejetje Državnemu zboru Republike Slovenije po </w:t>
            </w:r>
            <w:r>
              <w:rPr>
                <w:iCs/>
                <w:sz w:val="20"/>
                <w:szCs w:val="20"/>
              </w:rPr>
              <w:t xml:space="preserve">nujnem </w:t>
            </w:r>
            <w:r w:rsidRPr="001708A9">
              <w:rPr>
                <w:iCs/>
                <w:sz w:val="20"/>
                <w:szCs w:val="20"/>
              </w:rPr>
              <w:t>postopku.</w:t>
            </w:r>
          </w:p>
          <w:p w14:paraId="63EF368A" w14:textId="77777777" w:rsidR="00C106E6" w:rsidRDefault="00C106E6" w:rsidP="004F3703">
            <w:pPr>
              <w:pStyle w:val="Neotevilenodstavek"/>
              <w:spacing w:before="0" w:after="0" w:line="276" w:lineRule="auto"/>
              <w:rPr>
                <w:iCs/>
                <w:sz w:val="20"/>
                <w:szCs w:val="20"/>
              </w:rPr>
            </w:pPr>
          </w:p>
          <w:p w14:paraId="6B0C2EF6" w14:textId="77777777" w:rsidR="00C106E6" w:rsidRPr="001708A9" w:rsidRDefault="00C106E6" w:rsidP="004F3703">
            <w:pPr>
              <w:pStyle w:val="Neotevilenodstavek"/>
              <w:spacing w:before="0" w:after="0" w:line="276" w:lineRule="auto"/>
              <w:rPr>
                <w:iCs/>
                <w:sz w:val="20"/>
                <w:szCs w:val="20"/>
              </w:rPr>
            </w:pPr>
          </w:p>
          <w:p w14:paraId="4D72839C" w14:textId="77777777" w:rsidR="00C106E6" w:rsidRPr="0099798F" w:rsidRDefault="00C106E6" w:rsidP="004F3703">
            <w:pPr>
              <w:pStyle w:val="Neotevilenodstavek"/>
              <w:spacing w:before="0" w:after="0" w:line="276" w:lineRule="auto"/>
              <w:rPr>
                <w:iCs/>
                <w:sz w:val="20"/>
                <w:szCs w:val="20"/>
              </w:rPr>
            </w:pPr>
            <w:r w:rsidRPr="001708A9">
              <w:rPr>
                <w:iCs/>
                <w:sz w:val="20"/>
                <w:szCs w:val="20"/>
              </w:rPr>
              <w:t xml:space="preserve">                                                                                                        </w:t>
            </w:r>
            <w:r>
              <w:rPr>
                <w:iCs/>
                <w:sz w:val="20"/>
                <w:szCs w:val="20"/>
              </w:rPr>
              <w:t xml:space="preserve">   </w:t>
            </w:r>
            <w:r w:rsidRPr="0099798F">
              <w:rPr>
                <w:iCs/>
                <w:sz w:val="20"/>
                <w:szCs w:val="20"/>
              </w:rPr>
              <w:t xml:space="preserve">Barbara Kolenko </w:t>
            </w:r>
            <w:proofErr w:type="spellStart"/>
            <w:r w:rsidRPr="0099798F">
              <w:rPr>
                <w:iCs/>
                <w:sz w:val="20"/>
                <w:szCs w:val="20"/>
              </w:rPr>
              <w:t>Helbl</w:t>
            </w:r>
            <w:proofErr w:type="spellEnd"/>
            <w:r w:rsidRPr="0099798F">
              <w:rPr>
                <w:iCs/>
                <w:sz w:val="20"/>
                <w:szCs w:val="20"/>
              </w:rPr>
              <w:t xml:space="preserve"> </w:t>
            </w:r>
          </w:p>
          <w:p w14:paraId="3D2FD568" w14:textId="77777777" w:rsidR="00C106E6" w:rsidRDefault="00C106E6" w:rsidP="004F3703">
            <w:pPr>
              <w:pStyle w:val="Neotevilenodstavek"/>
              <w:spacing w:before="0" w:after="0" w:line="276" w:lineRule="auto"/>
              <w:rPr>
                <w:iCs/>
                <w:sz w:val="20"/>
                <w:szCs w:val="20"/>
              </w:rPr>
            </w:pPr>
            <w:r w:rsidRPr="0099798F">
              <w:rPr>
                <w:iCs/>
                <w:sz w:val="20"/>
                <w:szCs w:val="20"/>
              </w:rPr>
              <w:t xml:space="preserve">                                                                                                       </w:t>
            </w:r>
            <w:r>
              <w:rPr>
                <w:iCs/>
                <w:sz w:val="20"/>
                <w:szCs w:val="20"/>
              </w:rPr>
              <w:t xml:space="preserve">    </w:t>
            </w:r>
            <w:r w:rsidRPr="0099798F">
              <w:rPr>
                <w:iCs/>
                <w:sz w:val="20"/>
                <w:szCs w:val="20"/>
              </w:rPr>
              <w:t xml:space="preserve"> generalna sekretarka </w:t>
            </w:r>
          </w:p>
          <w:p w14:paraId="6F1AD989" w14:textId="77777777" w:rsidR="00C106E6" w:rsidRPr="001708A9" w:rsidRDefault="00C106E6" w:rsidP="004F3703">
            <w:pPr>
              <w:pStyle w:val="Neotevilenodstavek"/>
              <w:spacing w:before="0" w:after="0" w:line="276" w:lineRule="auto"/>
              <w:rPr>
                <w:iCs/>
                <w:sz w:val="20"/>
                <w:szCs w:val="20"/>
              </w:rPr>
            </w:pPr>
          </w:p>
          <w:p w14:paraId="7418460A" w14:textId="77777777" w:rsidR="00C106E6" w:rsidRPr="001708A9" w:rsidRDefault="00C106E6" w:rsidP="004F3703">
            <w:pPr>
              <w:pStyle w:val="Neotevilenodstavek"/>
              <w:spacing w:before="0" w:after="0" w:line="276" w:lineRule="auto"/>
              <w:rPr>
                <w:iCs/>
                <w:sz w:val="20"/>
                <w:szCs w:val="20"/>
              </w:rPr>
            </w:pPr>
            <w:r w:rsidRPr="001708A9">
              <w:rPr>
                <w:iCs/>
                <w:sz w:val="20"/>
                <w:szCs w:val="20"/>
              </w:rPr>
              <w:t>Priloga:</w:t>
            </w:r>
          </w:p>
          <w:p w14:paraId="6243F5C7" w14:textId="77777777" w:rsidR="00C106E6" w:rsidRPr="001708A9" w:rsidRDefault="00C106E6" w:rsidP="004F3703">
            <w:pPr>
              <w:pStyle w:val="Neotevilenodstavek"/>
              <w:numPr>
                <w:ilvl w:val="0"/>
                <w:numId w:val="13"/>
              </w:numPr>
              <w:spacing w:before="0" w:after="0" w:line="276" w:lineRule="auto"/>
              <w:rPr>
                <w:iCs/>
                <w:sz w:val="20"/>
                <w:szCs w:val="20"/>
              </w:rPr>
            </w:pPr>
            <w:r w:rsidRPr="001708A9">
              <w:rPr>
                <w:iCs/>
                <w:sz w:val="20"/>
                <w:szCs w:val="20"/>
              </w:rPr>
              <w:t xml:space="preserve">Predlog Zakona spremembah in dopolnitvah Zakona o dohodnini </w:t>
            </w:r>
          </w:p>
          <w:p w14:paraId="6438AEC7" w14:textId="77777777" w:rsidR="00C106E6" w:rsidRPr="001708A9" w:rsidRDefault="00C106E6" w:rsidP="004F3703">
            <w:pPr>
              <w:pStyle w:val="Neotevilenodstavek"/>
              <w:spacing w:before="0" w:after="0" w:line="276" w:lineRule="auto"/>
              <w:rPr>
                <w:iCs/>
                <w:sz w:val="20"/>
                <w:szCs w:val="20"/>
              </w:rPr>
            </w:pPr>
          </w:p>
          <w:p w14:paraId="6D96002D" w14:textId="77777777" w:rsidR="00C106E6" w:rsidRPr="001708A9" w:rsidRDefault="00C106E6" w:rsidP="004F3703">
            <w:pPr>
              <w:pStyle w:val="Neotevilenodstavek"/>
              <w:spacing w:before="0" w:after="0" w:line="276" w:lineRule="auto"/>
              <w:rPr>
                <w:iCs/>
                <w:sz w:val="20"/>
                <w:szCs w:val="20"/>
              </w:rPr>
            </w:pPr>
            <w:r w:rsidRPr="001708A9">
              <w:rPr>
                <w:iCs/>
                <w:sz w:val="20"/>
                <w:szCs w:val="20"/>
              </w:rPr>
              <w:t>Sklep prejmejo:</w:t>
            </w:r>
          </w:p>
          <w:p w14:paraId="2E91B02A" w14:textId="77777777" w:rsidR="00C106E6" w:rsidRDefault="00C106E6" w:rsidP="004F3703">
            <w:pPr>
              <w:pStyle w:val="Neotevilenodstavek"/>
              <w:numPr>
                <w:ilvl w:val="0"/>
                <w:numId w:val="13"/>
              </w:numPr>
              <w:spacing w:before="0" w:after="0" w:line="276" w:lineRule="auto"/>
              <w:rPr>
                <w:iCs/>
                <w:sz w:val="20"/>
                <w:szCs w:val="20"/>
              </w:rPr>
            </w:pPr>
            <w:r w:rsidRPr="001708A9">
              <w:rPr>
                <w:iCs/>
                <w:sz w:val="20"/>
                <w:szCs w:val="20"/>
              </w:rPr>
              <w:t>Državni zbor Republike Slovenije</w:t>
            </w:r>
            <w:r>
              <w:rPr>
                <w:iCs/>
                <w:sz w:val="20"/>
                <w:szCs w:val="20"/>
              </w:rPr>
              <w:t>,</w:t>
            </w:r>
          </w:p>
          <w:p w14:paraId="4B1E6DC2" w14:textId="0134E7A0" w:rsidR="004F3703" w:rsidRPr="004F3703" w:rsidRDefault="00C106E6" w:rsidP="004F3703">
            <w:pPr>
              <w:pStyle w:val="Neotevilenodstavek"/>
              <w:numPr>
                <w:ilvl w:val="0"/>
                <w:numId w:val="13"/>
              </w:numPr>
              <w:spacing w:before="0" w:after="0" w:line="276" w:lineRule="auto"/>
              <w:rPr>
                <w:iCs/>
                <w:sz w:val="20"/>
                <w:szCs w:val="20"/>
              </w:rPr>
            </w:pPr>
            <w:r w:rsidRPr="001708A9">
              <w:rPr>
                <w:iCs/>
                <w:sz w:val="20"/>
                <w:szCs w:val="20"/>
              </w:rPr>
              <w:t>Ministrstvo za finance</w:t>
            </w:r>
            <w:r>
              <w:rPr>
                <w:iCs/>
                <w:sz w:val="20"/>
                <w:szCs w:val="20"/>
              </w:rPr>
              <w:t>,</w:t>
            </w:r>
          </w:p>
          <w:p w14:paraId="69657DAC" w14:textId="451EA6E2" w:rsidR="004F3703" w:rsidRPr="004F3703" w:rsidRDefault="004F3703" w:rsidP="004F3703">
            <w:pPr>
              <w:pStyle w:val="Neotevilenodstavek"/>
              <w:numPr>
                <w:ilvl w:val="0"/>
                <w:numId w:val="13"/>
              </w:numPr>
              <w:spacing w:before="0" w:after="0" w:line="276" w:lineRule="auto"/>
              <w:rPr>
                <w:iCs/>
                <w:sz w:val="20"/>
                <w:szCs w:val="20"/>
              </w:rPr>
            </w:pPr>
            <w:r w:rsidRPr="004F3703">
              <w:rPr>
                <w:iCs/>
                <w:sz w:val="20"/>
                <w:szCs w:val="20"/>
              </w:rPr>
              <w:t>Ministrstvo za delo, družino, socialne zadeve in enake možnosti</w:t>
            </w:r>
            <w:r>
              <w:rPr>
                <w:iCs/>
                <w:sz w:val="20"/>
                <w:szCs w:val="20"/>
              </w:rPr>
              <w:t>,</w:t>
            </w:r>
          </w:p>
          <w:p w14:paraId="3B2B9D9B" w14:textId="4EAB090C" w:rsidR="004F3703" w:rsidRPr="004F3703" w:rsidRDefault="004F3703" w:rsidP="004F3703">
            <w:pPr>
              <w:pStyle w:val="Neotevilenodstavek"/>
              <w:numPr>
                <w:ilvl w:val="0"/>
                <w:numId w:val="13"/>
              </w:numPr>
              <w:spacing w:before="0" w:after="0" w:line="276" w:lineRule="auto"/>
              <w:rPr>
                <w:iCs/>
                <w:sz w:val="20"/>
                <w:szCs w:val="20"/>
              </w:rPr>
            </w:pPr>
            <w:r w:rsidRPr="004F3703">
              <w:rPr>
                <w:iCs/>
                <w:sz w:val="20"/>
                <w:szCs w:val="20"/>
              </w:rPr>
              <w:t>Ministrstvo za gospodarski razvoj in tehnologijo</w:t>
            </w:r>
            <w:r>
              <w:rPr>
                <w:iCs/>
                <w:sz w:val="20"/>
                <w:szCs w:val="20"/>
              </w:rPr>
              <w:t>,</w:t>
            </w:r>
          </w:p>
          <w:p w14:paraId="5D94CCE3" w14:textId="128703C7" w:rsidR="004F3703" w:rsidRPr="004F3703" w:rsidRDefault="004F3703" w:rsidP="004F3703">
            <w:pPr>
              <w:pStyle w:val="Neotevilenodstavek"/>
              <w:numPr>
                <w:ilvl w:val="0"/>
                <w:numId w:val="13"/>
              </w:numPr>
              <w:spacing w:before="0" w:after="0" w:line="276" w:lineRule="auto"/>
              <w:rPr>
                <w:iCs/>
                <w:sz w:val="20"/>
                <w:szCs w:val="20"/>
              </w:rPr>
            </w:pPr>
            <w:r w:rsidRPr="004F3703">
              <w:rPr>
                <w:iCs/>
                <w:sz w:val="20"/>
                <w:szCs w:val="20"/>
              </w:rPr>
              <w:t>Ministrstvo za izobraževanje, znanost in šport</w:t>
            </w:r>
            <w:r>
              <w:rPr>
                <w:iCs/>
                <w:sz w:val="20"/>
                <w:szCs w:val="20"/>
              </w:rPr>
              <w:t>,</w:t>
            </w:r>
          </w:p>
          <w:p w14:paraId="27857105" w14:textId="60A8AAC7" w:rsidR="004F3703" w:rsidRPr="004F3703" w:rsidRDefault="004F3703" w:rsidP="004F3703">
            <w:pPr>
              <w:pStyle w:val="Neotevilenodstavek"/>
              <w:numPr>
                <w:ilvl w:val="0"/>
                <w:numId w:val="13"/>
              </w:numPr>
              <w:spacing w:before="0" w:after="0" w:line="276" w:lineRule="auto"/>
              <w:rPr>
                <w:iCs/>
                <w:sz w:val="20"/>
                <w:szCs w:val="20"/>
              </w:rPr>
            </w:pPr>
            <w:r w:rsidRPr="004F3703">
              <w:rPr>
                <w:iCs/>
                <w:sz w:val="20"/>
                <w:szCs w:val="20"/>
              </w:rPr>
              <w:t>Ministrstvo za infrastrukturo</w:t>
            </w:r>
            <w:r>
              <w:rPr>
                <w:iCs/>
                <w:sz w:val="20"/>
                <w:szCs w:val="20"/>
              </w:rPr>
              <w:t>,</w:t>
            </w:r>
          </w:p>
          <w:p w14:paraId="2F004ADC" w14:textId="41AC8B0E" w:rsidR="004F3703" w:rsidRPr="004F3703" w:rsidRDefault="004F3703" w:rsidP="004F3703">
            <w:pPr>
              <w:pStyle w:val="Neotevilenodstavek"/>
              <w:numPr>
                <w:ilvl w:val="0"/>
                <w:numId w:val="13"/>
              </w:numPr>
              <w:spacing w:before="0" w:after="0" w:line="276" w:lineRule="auto"/>
              <w:rPr>
                <w:iCs/>
                <w:sz w:val="20"/>
                <w:szCs w:val="20"/>
              </w:rPr>
            </w:pPr>
            <w:r w:rsidRPr="004F3703">
              <w:rPr>
                <w:iCs/>
                <w:sz w:val="20"/>
                <w:szCs w:val="20"/>
              </w:rPr>
              <w:t>Ministrstvo za javno upravo</w:t>
            </w:r>
            <w:r>
              <w:rPr>
                <w:iCs/>
                <w:sz w:val="20"/>
                <w:szCs w:val="20"/>
              </w:rPr>
              <w:t>,</w:t>
            </w:r>
          </w:p>
          <w:p w14:paraId="1E0A6BF2" w14:textId="135F6E1B" w:rsidR="004F3703" w:rsidRPr="004F3703" w:rsidRDefault="004F3703" w:rsidP="004F3703">
            <w:pPr>
              <w:pStyle w:val="Neotevilenodstavek"/>
              <w:numPr>
                <w:ilvl w:val="0"/>
                <w:numId w:val="13"/>
              </w:numPr>
              <w:spacing w:before="0" w:after="0" w:line="276" w:lineRule="auto"/>
              <w:rPr>
                <w:iCs/>
                <w:sz w:val="20"/>
                <w:szCs w:val="20"/>
              </w:rPr>
            </w:pPr>
            <w:r w:rsidRPr="004F3703">
              <w:rPr>
                <w:iCs/>
                <w:sz w:val="20"/>
                <w:szCs w:val="20"/>
              </w:rPr>
              <w:t>Ministrstvo za kulturo</w:t>
            </w:r>
            <w:r>
              <w:rPr>
                <w:iCs/>
                <w:sz w:val="20"/>
                <w:szCs w:val="20"/>
              </w:rPr>
              <w:t>,</w:t>
            </w:r>
          </w:p>
          <w:p w14:paraId="20772F83" w14:textId="4F0FC95D" w:rsidR="004F3703" w:rsidRPr="004F3703" w:rsidRDefault="004F3703" w:rsidP="004F3703">
            <w:pPr>
              <w:pStyle w:val="Neotevilenodstavek"/>
              <w:numPr>
                <w:ilvl w:val="0"/>
                <w:numId w:val="13"/>
              </w:numPr>
              <w:spacing w:before="0" w:after="0" w:line="276" w:lineRule="auto"/>
              <w:rPr>
                <w:iCs/>
                <w:sz w:val="20"/>
                <w:szCs w:val="20"/>
              </w:rPr>
            </w:pPr>
            <w:r w:rsidRPr="004F3703">
              <w:rPr>
                <w:iCs/>
                <w:sz w:val="20"/>
                <w:szCs w:val="20"/>
              </w:rPr>
              <w:t>Ministrstvo za kmetijstvo, gozdarstvo in prehrano</w:t>
            </w:r>
            <w:r>
              <w:rPr>
                <w:iCs/>
                <w:sz w:val="20"/>
                <w:szCs w:val="20"/>
              </w:rPr>
              <w:t>,</w:t>
            </w:r>
          </w:p>
          <w:p w14:paraId="242784BA" w14:textId="2BACE089" w:rsidR="004F3703" w:rsidRPr="004F3703" w:rsidRDefault="004F3703" w:rsidP="004F3703">
            <w:pPr>
              <w:pStyle w:val="Neotevilenodstavek"/>
              <w:numPr>
                <w:ilvl w:val="0"/>
                <w:numId w:val="13"/>
              </w:numPr>
              <w:spacing w:before="0" w:after="0" w:line="276" w:lineRule="auto"/>
              <w:rPr>
                <w:iCs/>
                <w:sz w:val="20"/>
                <w:szCs w:val="20"/>
              </w:rPr>
            </w:pPr>
            <w:r w:rsidRPr="004F3703">
              <w:rPr>
                <w:iCs/>
                <w:sz w:val="20"/>
                <w:szCs w:val="20"/>
              </w:rPr>
              <w:t>Ministrstvo za okolje in prostor</w:t>
            </w:r>
            <w:r>
              <w:rPr>
                <w:iCs/>
                <w:sz w:val="20"/>
                <w:szCs w:val="20"/>
              </w:rPr>
              <w:t>,</w:t>
            </w:r>
          </w:p>
          <w:p w14:paraId="6E7DDFC2" w14:textId="222EA2E4" w:rsidR="004F3703" w:rsidRPr="004F3703" w:rsidRDefault="004F3703" w:rsidP="004F3703">
            <w:pPr>
              <w:pStyle w:val="Neotevilenodstavek"/>
              <w:numPr>
                <w:ilvl w:val="0"/>
                <w:numId w:val="13"/>
              </w:numPr>
              <w:spacing w:before="0" w:after="0" w:line="276" w:lineRule="auto"/>
              <w:rPr>
                <w:iCs/>
                <w:sz w:val="20"/>
                <w:szCs w:val="20"/>
              </w:rPr>
            </w:pPr>
            <w:r w:rsidRPr="004F3703">
              <w:rPr>
                <w:iCs/>
                <w:sz w:val="20"/>
                <w:szCs w:val="20"/>
              </w:rPr>
              <w:t>Ministrstvo za notranje zadeve</w:t>
            </w:r>
            <w:r>
              <w:rPr>
                <w:iCs/>
                <w:sz w:val="20"/>
                <w:szCs w:val="20"/>
              </w:rPr>
              <w:t>,</w:t>
            </w:r>
          </w:p>
          <w:p w14:paraId="6D029BA7" w14:textId="722BC45D" w:rsidR="004F3703" w:rsidRPr="004F3703" w:rsidRDefault="004F3703" w:rsidP="004F3703">
            <w:pPr>
              <w:pStyle w:val="Neotevilenodstavek"/>
              <w:numPr>
                <w:ilvl w:val="0"/>
                <w:numId w:val="13"/>
              </w:numPr>
              <w:spacing w:before="0" w:after="0" w:line="276" w:lineRule="auto"/>
              <w:rPr>
                <w:iCs/>
                <w:sz w:val="20"/>
                <w:szCs w:val="20"/>
              </w:rPr>
            </w:pPr>
            <w:r w:rsidRPr="004F3703">
              <w:rPr>
                <w:iCs/>
                <w:sz w:val="20"/>
                <w:szCs w:val="20"/>
              </w:rPr>
              <w:lastRenderedPageBreak/>
              <w:t>Ministrstvo za obrambo</w:t>
            </w:r>
            <w:r>
              <w:rPr>
                <w:iCs/>
                <w:sz w:val="20"/>
                <w:szCs w:val="20"/>
              </w:rPr>
              <w:t>,</w:t>
            </w:r>
          </w:p>
          <w:p w14:paraId="1355B6D7" w14:textId="14192530" w:rsidR="004F3703" w:rsidRPr="004F3703" w:rsidRDefault="004F3703" w:rsidP="004F3703">
            <w:pPr>
              <w:pStyle w:val="Neotevilenodstavek"/>
              <w:numPr>
                <w:ilvl w:val="0"/>
                <w:numId w:val="13"/>
              </w:numPr>
              <w:spacing w:before="0" w:after="0" w:line="276" w:lineRule="auto"/>
              <w:rPr>
                <w:iCs/>
                <w:sz w:val="20"/>
                <w:szCs w:val="20"/>
              </w:rPr>
            </w:pPr>
            <w:r w:rsidRPr="004F3703">
              <w:rPr>
                <w:iCs/>
                <w:sz w:val="20"/>
                <w:szCs w:val="20"/>
              </w:rPr>
              <w:t>Ministrstvo za pravosodje</w:t>
            </w:r>
            <w:r>
              <w:rPr>
                <w:iCs/>
                <w:sz w:val="20"/>
                <w:szCs w:val="20"/>
              </w:rPr>
              <w:t>,</w:t>
            </w:r>
          </w:p>
          <w:p w14:paraId="16D06547" w14:textId="23B47097" w:rsidR="004F3703" w:rsidRPr="004F3703" w:rsidRDefault="004F3703" w:rsidP="004F3703">
            <w:pPr>
              <w:pStyle w:val="Neotevilenodstavek"/>
              <w:numPr>
                <w:ilvl w:val="0"/>
                <w:numId w:val="13"/>
              </w:numPr>
              <w:spacing w:before="0" w:after="0" w:line="276" w:lineRule="auto"/>
              <w:rPr>
                <w:iCs/>
                <w:sz w:val="20"/>
                <w:szCs w:val="20"/>
              </w:rPr>
            </w:pPr>
            <w:r w:rsidRPr="004F3703">
              <w:rPr>
                <w:iCs/>
                <w:sz w:val="20"/>
                <w:szCs w:val="20"/>
              </w:rPr>
              <w:t>Ministrstvo za zdravje</w:t>
            </w:r>
            <w:r>
              <w:rPr>
                <w:iCs/>
                <w:sz w:val="20"/>
                <w:szCs w:val="20"/>
              </w:rPr>
              <w:t>,</w:t>
            </w:r>
          </w:p>
          <w:p w14:paraId="0ABA1913" w14:textId="5C5015A3" w:rsidR="004F3703" w:rsidRPr="004F3703" w:rsidRDefault="004F3703" w:rsidP="004F3703">
            <w:pPr>
              <w:pStyle w:val="Neotevilenodstavek"/>
              <w:numPr>
                <w:ilvl w:val="0"/>
                <w:numId w:val="13"/>
              </w:numPr>
              <w:spacing w:before="0" w:after="0" w:line="276" w:lineRule="auto"/>
              <w:rPr>
                <w:iCs/>
                <w:sz w:val="20"/>
                <w:szCs w:val="20"/>
              </w:rPr>
            </w:pPr>
            <w:r w:rsidRPr="004F3703">
              <w:rPr>
                <w:iCs/>
                <w:sz w:val="20"/>
                <w:szCs w:val="20"/>
              </w:rPr>
              <w:t>Ministrstvo za zunanje zadeve</w:t>
            </w:r>
            <w:r>
              <w:rPr>
                <w:iCs/>
                <w:sz w:val="20"/>
                <w:szCs w:val="20"/>
              </w:rPr>
              <w:t>,</w:t>
            </w:r>
          </w:p>
          <w:p w14:paraId="3B255F50" w14:textId="77777777" w:rsidR="00C106E6" w:rsidRDefault="00C106E6" w:rsidP="004F3703">
            <w:pPr>
              <w:pStyle w:val="Neotevilenodstavek"/>
              <w:numPr>
                <w:ilvl w:val="0"/>
                <w:numId w:val="13"/>
              </w:numPr>
              <w:spacing w:before="0" w:after="0" w:line="276" w:lineRule="auto"/>
              <w:rPr>
                <w:iCs/>
                <w:sz w:val="20"/>
                <w:szCs w:val="20"/>
              </w:rPr>
            </w:pPr>
            <w:r w:rsidRPr="001708A9">
              <w:rPr>
                <w:iCs/>
                <w:sz w:val="20"/>
                <w:szCs w:val="20"/>
              </w:rPr>
              <w:t>Služba Vlade Republike Slovenije za zakonodajo</w:t>
            </w:r>
            <w:r>
              <w:rPr>
                <w:iCs/>
                <w:sz w:val="20"/>
                <w:szCs w:val="20"/>
              </w:rPr>
              <w:t>,</w:t>
            </w:r>
          </w:p>
          <w:p w14:paraId="23C6642B" w14:textId="77777777" w:rsidR="00C106E6" w:rsidRPr="001708A9" w:rsidRDefault="00C106E6" w:rsidP="004F3703">
            <w:pPr>
              <w:pStyle w:val="Neotevilenodstavek"/>
              <w:numPr>
                <w:ilvl w:val="0"/>
                <w:numId w:val="13"/>
              </w:numPr>
              <w:spacing w:before="0" w:after="0" w:line="276" w:lineRule="auto"/>
              <w:rPr>
                <w:iCs/>
                <w:sz w:val="20"/>
                <w:szCs w:val="20"/>
              </w:rPr>
            </w:pPr>
            <w:r w:rsidRPr="001708A9">
              <w:rPr>
                <w:iCs/>
                <w:sz w:val="20"/>
                <w:szCs w:val="20"/>
              </w:rPr>
              <w:t>Generalni sekretariat Vlade Republike Slovenije</w:t>
            </w:r>
            <w:r>
              <w:rPr>
                <w:iCs/>
                <w:sz w:val="20"/>
                <w:szCs w:val="20"/>
              </w:rPr>
              <w:t>.</w:t>
            </w:r>
          </w:p>
        </w:tc>
      </w:tr>
      <w:tr w:rsidR="00C106E6" w:rsidRPr="008D1759" w14:paraId="308560E4" w14:textId="77777777" w:rsidTr="00833C5D">
        <w:tc>
          <w:tcPr>
            <w:tcW w:w="9319" w:type="dxa"/>
            <w:gridSpan w:val="4"/>
          </w:tcPr>
          <w:p w14:paraId="76F85943" w14:textId="77777777" w:rsidR="00C106E6" w:rsidRPr="00D43F59" w:rsidRDefault="00C106E6" w:rsidP="00EC45FA">
            <w:pPr>
              <w:pStyle w:val="Neotevilenodstavek"/>
              <w:spacing w:before="0" w:after="0" w:line="276" w:lineRule="auto"/>
              <w:rPr>
                <w:b/>
                <w:iCs/>
                <w:sz w:val="20"/>
                <w:szCs w:val="20"/>
              </w:rPr>
            </w:pPr>
            <w:r>
              <w:rPr>
                <w:b/>
                <w:sz w:val="20"/>
                <w:szCs w:val="20"/>
              </w:rPr>
              <w:lastRenderedPageBreak/>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C106E6" w:rsidRPr="008D1759" w14:paraId="26C181EA" w14:textId="77777777" w:rsidTr="00833C5D">
        <w:trPr>
          <w:trHeight w:val="3730"/>
        </w:trPr>
        <w:tc>
          <w:tcPr>
            <w:tcW w:w="9319" w:type="dxa"/>
            <w:gridSpan w:val="4"/>
          </w:tcPr>
          <w:p w14:paraId="07E2E6EB" w14:textId="420BA1BB" w:rsidR="00C106E6" w:rsidRPr="004337C3" w:rsidRDefault="0064652C" w:rsidP="0064652C">
            <w:pPr>
              <w:spacing w:line="276" w:lineRule="auto"/>
              <w:jc w:val="both"/>
              <w:rPr>
                <w:rFonts w:ascii="Arial" w:hAnsi="Arial"/>
                <w:sz w:val="20"/>
              </w:rPr>
            </w:pPr>
            <w:r w:rsidRPr="004337C3">
              <w:rPr>
                <w:rFonts w:ascii="Arial" w:hAnsi="Arial"/>
                <w:sz w:val="20"/>
              </w:rPr>
              <w:t>V skladu s prvim odstavkom 143.</w:t>
            </w:r>
            <w:r>
              <w:rPr>
                <w:rFonts w:ascii="Arial" w:eastAsia="Times New Roman" w:hAnsi="Arial" w:cs="Arial"/>
                <w:bCs/>
                <w:sz w:val="20"/>
                <w:szCs w:val="20"/>
                <w:lang w:eastAsia="sl-SI"/>
              </w:rPr>
              <w:t> </w:t>
            </w:r>
            <w:r w:rsidRPr="00C830EC">
              <w:rPr>
                <w:rFonts w:ascii="Arial" w:eastAsia="Times New Roman" w:hAnsi="Arial" w:cs="Arial"/>
                <w:bCs/>
                <w:sz w:val="20"/>
                <w:szCs w:val="20"/>
                <w:lang w:eastAsia="sl-SI"/>
              </w:rPr>
              <w:t>člena Poslovnika Državnega zbora RS (Uradni list RS, št.</w:t>
            </w:r>
            <w:r>
              <w:rPr>
                <w:rFonts w:ascii="Arial" w:eastAsia="Times New Roman" w:hAnsi="Arial" w:cs="Arial"/>
                <w:bCs/>
                <w:sz w:val="20"/>
                <w:szCs w:val="20"/>
                <w:lang w:eastAsia="sl-SI"/>
              </w:rPr>
              <w:t> </w:t>
            </w:r>
            <w:r w:rsidRPr="00C830EC">
              <w:rPr>
                <w:rFonts w:ascii="Arial" w:eastAsia="Times New Roman" w:hAnsi="Arial" w:cs="Arial"/>
                <w:bCs/>
                <w:sz w:val="20"/>
                <w:szCs w:val="20"/>
                <w:lang w:eastAsia="sl-SI"/>
              </w:rPr>
              <w:t xml:space="preserve">92/07 – uradno prečiščeno besedilo, 105/10, 80/13, 38/17, 36/20, 105/21 – </w:t>
            </w:r>
            <w:proofErr w:type="spellStart"/>
            <w:r w:rsidRPr="00C830EC">
              <w:rPr>
                <w:rFonts w:ascii="Arial" w:eastAsia="Times New Roman" w:hAnsi="Arial" w:cs="Arial"/>
                <w:bCs/>
                <w:sz w:val="20"/>
                <w:szCs w:val="20"/>
                <w:lang w:eastAsia="sl-SI"/>
              </w:rPr>
              <w:t>odl</w:t>
            </w:r>
            <w:proofErr w:type="spellEnd"/>
            <w:r w:rsidRPr="00C830EC">
              <w:rPr>
                <w:rFonts w:ascii="Arial" w:eastAsia="Times New Roman" w:hAnsi="Arial" w:cs="Arial"/>
                <w:bCs/>
                <w:sz w:val="20"/>
                <w:szCs w:val="20"/>
                <w:lang w:eastAsia="sl-SI"/>
              </w:rPr>
              <w:t xml:space="preserve">. US in 111/21) vlada predlaga obravnavo predloga zakona po nujnem postopku, ker bi v primeru </w:t>
            </w:r>
            <w:r>
              <w:rPr>
                <w:rFonts w:ascii="Arial" w:eastAsia="Times New Roman" w:hAnsi="Arial" w:cs="Arial"/>
                <w:bCs/>
                <w:sz w:val="20"/>
                <w:szCs w:val="20"/>
                <w:lang w:eastAsia="sl-SI"/>
              </w:rPr>
              <w:t>poznejšega</w:t>
            </w:r>
            <w:r w:rsidRPr="00C830EC">
              <w:rPr>
                <w:rFonts w:ascii="Arial" w:eastAsia="Times New Roman" w:hAnsi="Arial" w:cs="Arial"/>
                <w:bCs/>
                <w:sz w:val="20"/>
                <w:szCs w:val="20"/>
                <w:lang w:eastAsia="sl-SI"/>
              </w:rPr>
              <w:t xml:space="preserve"> sprejetja predloga zakona lahko nastale težko popravljive posledice za državo. Namreč v luči napovedanih makroekonomskih gibanj in tveganj, povezanih tako z visoko inflacijo kot vojno v Ukrajini, je pomembno, da določimo ustrezno fiskalno pot konsolidacije, ki ne bo imela učinkov na rast in investicije. Predlagane rešitve v predlogu zakona, ki imajo finančni vpliv, so tako prilagojene javnofinančnim zmožnostim, s tem pa se lahko usmerja</w:t>
            </w:r>
            <w:r>
              <w:rPr>
                <w:rFonts w:ascii="Arial" w:eastAsia="Times New Roman" w:hAnsi="Arial" w:cs="Arial"/>
                <w:bCs/>
                <w:sz w:val="20"/>
                <w:szCs w:val="20"/>
                <w:lang w:eastAsia="sl-SI"/>
              </w:rPr>
              <w:t>jo</w:t>
            </w:r>
            <w:r w:rsidRPr="00C830EC">
              <w:rPr>
                <w:rFonts w:ascii="Arial" w:eastAsia="Times New Roman" w:hAnsi="Arial" w:cs="Arial"/>
                <w:bCs/>
                <w:sz w:val="20"/>
                <w:szCs w:val="20"/>
                <w:lang w:eastAsia="sl-SI"/>
              </w:rPr>
              <w:t xml:space="preserve"> dodatna sredstva tudi na ukrepe, nujno potrebn</w:t>
            </w:r>
            <w:r>
              <w:rPr>
                <w:rFonts w:ascii="Arial" w:eastAsia="Times New Roman" w:hAnsi="Arial" w:cs="Arial"/>
                <w:bCs/>
                <w:sz w:val="20"/>
                <w:szCs w:val="20"/>
                <w:lang w:eastAsia="sl-SI"/>
              </w:rPr>
              <w:t>e</w:t>
            </w:r>
            <w:r w:rsidRPr="00C830EC">
              <w:rPr>
                <w:rFonts w:ascii="Arial" w:eastAsia="Times New Roman" w:hAnsi="Arial" w:cs="Arial"/>
                <w:bCs/>
                <w:sz w:val="20"/>
                <w:szCs w:val="20"/>
                <w:lang w:eastAsia="sl-SI"/>
              </w:rPr>
              <w:t xml:space="preserve"> v aktualnih razmerah. Spremembe je treba uveljaviti čim prej, da bo gospodarstvo in tudi prebivalstvo čim prej in s čim večjo gotovostjo seznanjeno o pogojih poslovanja oziroma delovanja v naslednjem obdobju, da bo lahko tudi davčni vidik pravočasno upoštevalo v okviru svojih načrtov okrevanja oziroma poslovanja. Spremembe zakona pa zahtevajo tudi pripravo in uveljavitev podzakonskih aktov najpozneje do začetka uporabe zakona oziroma čim prej po uveljavitvi zakona zaradi ustreznih prilagoditev davčnega organa </w:t>
            </w:r>
            <w:r>
              <w:rPr>
                <w:rFonts w:ascii="Arial" w:eastAsia="Times New Roman" w:hAnsi="Arial" w:cs="Arial"/>
                <w:bCs/>
                <w:sz w:val="20"/>
                <w:szCs w:val="20"/>
                <w:lang w:eastAsia="sl-SI"/>
              </w:rPr>
              <w:t>in tudi</w:t>
            </w:r>
            <w:r w:rsidRPr="00C830EC">
              <w:rPr>
                <w:rFonts w:ascii="Arial" w:eastAsia="Times New Roman" w:hAnsi="Arial" w:cs="Arial"/>
                <w:bCs/>
                <w:sz w:val="20"/>
                <w:szCs w:val="20"/>
                <w:lang w:eastAsia="sl-SI"/>
              </w:rPr>
              <w:t xml:space="preserve"> zavezancev za davek.</w:t>
            </w:r>
          </w:p>
        </w:tc>
      </w:tr>
      <w:tr w:rsidR="00C106E6" w:rsidRPr="008D1759" w14:paraId="2023B106" w14:textId="77777777" w:rsidTr="00833C5D">
        <w:tc>
          <w:tcPr>
            <w:tcW w:w="9319" w:type="dxa"/>
            <w:gridSpan w:val="4"/>
          </w:tcPr>
          <w:p w14:paraId="68A1BEDA" w14:textId="77777777" w:rsidR="00C106E6" w:rsidRPr="00D43F59" w:rsidRDefault="00C106E6" w:rsidP="00EC45FA">
            <w:pPr>
              <w:pStyle w:val="Neotevilenodstavek"/>
              <w:spacing w:before="0" w:after="0" w:line="276" w:lineRule="auto"/>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C106E6" w:rsidRPr="008D1759" w14:paraId="480BD194" w14:textId="77777777" w:rsidTr="00833C5D">
        <w:tc>
          <w:tcPr>
            <w:tcW w:w="9319" w:type="dxa"/>
            <w:gridSpan w:val="4"/>
          </w:tcPr>
          <w:p w14:paraId="144B0860" w14:textId="77777777" w:rsidR="00C106E6" w:rsidRPr="005C0138" w:rsidRDefault="00C106E6" w:rsidP="00EC45FA">
            <w:pPr>
              <w:numPr>
                <w:ilvl w:val="0"/>
                <w:numId w:val="14"/>
              </w:numPr>
              <w:suppressAutoHyphens/>
              <w:overflowPunct w:val="0"/>
              <w:autoSpaceDE w:val="0"/>
              <w:autoSpaceDN w:val="0"/>
              <w:adjustRightInd w:val="0"/>
              <w:spacing w:after="0" w:line="276" w:lineRule="auto"/>
              <w:textAlignment w:val="baseline"/>
              <w:outlineLvl w:val="3"/>
              <w:rPr>
                <w:iCs/>
                <w:color w:val="A6A6A6"/>
                <w:sz w:val="20"/>
                <w:szCs w:val="20"/>
              </w:rPr>
            </w:pPr>
            <w:r w:rsidRPr="00EA4703">
              <w:rPr>
                <w:rFonts w:ascii="Arial" w:eastAsia="Times New Roman" w:hAnsi="Arial" w:cs="Arial"/>
                <w:sz w:val="20"/>
                <w:szCs w:val="20"/>
                <w:lang w:eastAsia="sl-SI"/>
              </w:rPr>
              <w:t xml:space="preserve">mag. </w:t>
            </w:r>
            <w:r>
              <w:rPr>
                <w:rFonts w:ascii="Arial" w:eastAsia="Times New Roman" w:hAnsi="Arial" w:cs="Arial"/>
                <w:sz w:val="20"/>
                <w:szCs w:val="20"/>
                <w:lang w:eastAsia="sl-SI"/>
              </w:rPr>
              <w:t>Tina Humar</w:t>
            </w:r>
            <w:r w:rsidRPr="00EA4703">
              <w:rPr>
                <w:rFonts w:ascii="Arial" w:eastAsia="Times New Roman" w:hAnsi="Arial" w:cs="Arial"/>
                <w:sz w:val="20"/>
                <w:szCs w:val="20"/>
                <w:lang w:eastAsia="sl-SI"/>
              </w:rPr>
              <w:t>, generaln</w:t>
            </w:r>
            <w:r>
              <w:rPr>
                <w:rFonts w:ascii="Arial" w:eastAsia="Times New Roman" w:hAnsi="Arial" w:cs="Arial"/>
                <w:sz w:val="20"/>
                <w:szCs w:val="20"/>
                <w:lang w:eastAsia="sl-SI"/>
              </w:rPr>
              <w:t>a</w:t>
            </w:r>
            <w:r w:rsidRPr="00EA4703">
              <w:rPr>
                <w:rFonts w:ascii="Arial" w:eastAsia="Times New Roman" w:hAnsi="Arial" w:cs="Arial"/>
                <w:sz w:val="20"/>
                <w:szCs w:val="20"/>
                <w:lang w:eastAsia="sl-SI"/>
              </w:rPr>
              <w:t xml:space="preserve"> direktoric</w:t>
            </w:r>
            <w:r>
              <w:rPr>
                <w:rFonts w:ascii="Arial" w:eastAsia="Times New Roman" w:hAnsi="Arial" w:cs="Arial"/>
                <w:sz w:val="20"/>
                <w:szCs w:val="20"/>
                <w:lang w:eastAsia="sl-SI"/>
              </w:rPr>
              <w:t>a</w:t>
            </w:r>
            <w:r w:rsidRPr="00EA4703">
              <w:rPr>
                <w:rFonts w:ascii="Arial" w:eastAsia="Times New Roman" w:hAnsi="Arial" w:cs="Arial"/>
                <w:sz w:val="20"/>
                <w:szCs w:val="20"/>
                <w:lang w:eastAsia="sl-SI"/>
              </w:rPr>
              <w:t xml:space="preserve"> Direktorata za sistem davčnih, carinskih in drugih javnih prihodkov, Ministrstvo za finance,</w:t>
            </w:r>
          </w:p>
          <w:p w14:paraId="1D8D1282" w14:textId="77777777" w:rsidR="00C106E6" w:rsidRPr="00441D47" w:rsidRDefault="00C106E6" w:rsidP="00EC45FA">
            <w:pPr>
              <w:numPr>
                <w:ilvl w:val="0"/>
                <w:numId w:val="14"/>
              </w:numPr>
              <w:suppressAutoHyphens/>
              <w:overflowPunct w:val="0"/>
              <w:autoSpaceDE w:val="0"/>
              <w:autoSpaceDN w:val="0"/>
              <w:adjustRightInd w:val="0"/>
              <w:spacing w:after="0" w:line="276" w:lineRule="auto"/>
              <w:textAlignment w:val="baseline"/>
              <w:outlineLvl w:val="3"/>
              <w:rPr>
                <w:iCs/>
                <w:color w:val="A6A6A6"/>
                <w:sz w:val="20"/>
                <w:szCs w:val="20"/>
              </w:rPr>
            </w:pPr>
            <w:r>
              <w:rPr>
                <w:rFonts w:ascii="Arial" w:eastAsia="Times New Roman" w:hAnsi="Arial" w:cs="Arial"/>
                <w:sz w:val="20"/>
                <w:szCs w:val="20"/>
                <w:lang w:eastAsia="sl-SI"/>
              </w:rPr>
              <w:t>mag. Petra Istenič</w:t>
            </w:r>
            <w:r w:rsidRPr="00EA4703">
              <w:rPr>
                <w:rFonts w:ascii="Arial" w:eastAsia="Times New Roman" w:hAnsi="Arial" w:cs="Arial"/>
                <w:sz w:val="20"/>
                <w:szCs w:val="20"/>
                <w:lang w:eastAsia="sl-SI"/>
              </w:rPr>
              <w:t>, vodja Sektorja za sistem obdavčitve dohodkov in pre</w:t>
            </w:r>
            <w:r>
              <w:rPr>
                <w:rFonts w:ascii="Arial" w:eastAsia="Times New Roman" w:hAnsi="Arial" w:cs="Arial"/>
                <w:sz w:val="20"/>
                <w:szCs w:val="20"/>
                <w:lang w:eastAsia="sl-SI"/>
              </w:rPr>
              <w:t>moženja, Ministrstvo za finance</w:t>
            </w:r>
          </w:p>
        </w:tc>
      </w:tr>
      <w:tr w:rsidR="00C106E6" w:rsidRPr="008D1759" w14:paraId="6402C9E6" w14:textId="77777777" w:rsidTr="00833C5D">
        <w:tc>
          <w:tcPr>
            <w:tcW w:w="9319" w:type="dxa"/>
            <w:gridSpan w:val="4"/>
          </w:tcPr>
          <w:p w14:paraId="0873F821" w14:textId="77777777" w:rsidR="00C106E6" w:rsidRPr="005F3DC6" w:rsidRDefault="00C106E6" w:rsidP="00EC45FA">
            <w:pPr>
              <w:pStyle w:val="Neotevilenodstavek"/>
              <w:spacing w:before="0" w:after="0" w:line="276" w:lineRule="auto"/>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C106E6" w:rsidRPr="008D1759" w14:paraId="124DD429" w14:textId="77777777" w:rsidTr="00833C5D">
        <w:tc>
          <w:tcPr>
            <w:tcW w:w="9319" w:type="dxa"/>
            <w:gridSpan w:val="4"/>
          </w:tcPr>
          <w:p w14:paraId="5A087A6F" w14:textId="77777777" w:rsidR="00C106E6" w:rsidRPr="00441D47" w:rsidRDefault="00C106E6" w:rsidP="00EC45FA">
            <w:pPr>
              <w:pStyle w:val="Neotevilenodstavek"/>
              <w:spacing w:before="0" w:after="0" w:line="276" w:lineRule="auto"/>
              <w:rPr>
                <w:iCs/>
                <w:color w:val="A6A6A6"/>
                <w:sz w:val="20"/>
                <w:szCs w:val="20"/>
              </w:rPr>
            </w:pPr>
            <w:r w:rsidRPr="004A6BCE">
              <w:rPr>
                <w:iCs/>
                <w:sz w:val="20"/>
                <w:szCs w:val="20"/>
              </w:rPr>
              <w:t xml:space="preserve">Pri pripravi zunanji strokovnjaki niso sodelovali. </w:t>
            </w:r>
          </w:p>
        </w:tc>
      </w:tr>
      <w:tr w:rsidR="00C106E6" w:rsidRPr="008D1759" w14:paraId="3F77851B" w14:textId="77777777" w:rsidTr="00833C5D">
        <w:tc>
          <w:tcPr>
            <w:tcW w:w="9319" w:type="dxa"/>
            <w:gridSpan w:val="4"/>
          </w:tcPr>
          <w:p w14:paraId="4ED0E895" w14:textId="77777777" w:rsidR="00C106E6" w:rsidRPr="00D43F59" w:rsidRDefault="00C106E6" w:rsidP="00EC45FA">
            <w:pPr>
              <w:pStyle w:val="Neotevilenodstavek"/>
              <w:spacing w:before="0" w:after="0" w:line="276" w:lineRule="auto"/>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C106E6" w:rsidRPr="008D1759" w14:paraId="5A82D537" w14:textId="77777777" w:rsidTr="00833C5D">
        <w:tc>
          <w:tcPr>
            <w:tcW w:w="9319" w:type="dxa"/>
            <w:gridSpan w:val="4"/>
          </w:tcPr>
          <w:p w14:paraId="673A22A4" w14:textId="77777777" w:rsidR="00C106E6" w:rsidRPr="00D87777" w:rsidRDefault="00C106E6" w:rsidP="00EC45FA">
            <w:pPr>
              <w:numPr>
                <w:ilvl w:val="0"/>
                <w:numId w:val="15"/>
              </w:numPr>
              <w:overflowPunct w:val="0"/>
              <w:autoSpaceDE w:val="0"/>
              <w:autoSpaceDN w:val="0"/>
              <w:adjustRightInd w:val="0"/>
              <w:spacing w:after="0" w:line="276" w:lineRule="auto"/>
              <w:textAlignment w:val="baseline"/>
              <w:rPr>
                <w:rFonts w:ascii="Arial" w:eastAsia="Times New Roman" w:hAnsi="Arial" w:cs="Arial"/>
                <w:color w:val="000000"/>
                <w:sz w:val="20"/>
                <w:szCs w:val="24"/>
                <w:lang w:eastAsia="sl-SI"/>
              </w:rPr>
            </w:pPr>
            <w:r>
              <w:rPr>
                <w:rFonts w:ascii="Arial" w:eastAsia="Times New Roman" w:hAnsi="Arial" w:cs="Arial"/>
                <w:color w:val="000000"/>
                <w:sz w:val="20"/>
                <w:szCs w:val="24"/>
                <w:lang w:eastAsia="sl-SI"/>
              </w:rPr>
              <w:t>Klemen Boštjančič</w:t>
            </w:r>
            <w:r w:rsidRPr="00D87777">
              <w:rPr>
                <w:rFonts w:ascii="Arial" w:eastAsia="Times New Roman" w:hAnsi="Arial" w:cs="Arial"/>
                <w:color w:val="000000"/>
                <w:sz w:val="20"/>
                <w:szCs w:val="24"/>
                <w:lang w:eastAsia="sl-SI"/>
              </w:rPr>
              <w:t>, minister, Ministrstvo za finance,</w:t>
            </w:r>
          </w:p>
          <w:p w14:paraId="3C4FD282" w14:textId="77777777" w:rsidR="00C106E6" w:rsidRPr="00D87777" w:rsidRDefault="00C106E6" w:rsidP="00EC45FA">
            <w:pPr>
              <w:numPr>
                <w:ilvl w:val="0"/>
                <w:numId w:val="15"/>
              </w:numPr>
              <w:overflowPunct w:val="0"/>
              <w:autoSpaceDE w:val="0"/>
              <w:autoSpaceDN w:val="0"/>
              <w:adjustRightInd w:val="0"/>
              <w:spacing w:after="0" w:line="276" w:lineRule="auto"/>
              <w:textAlignment w:val="baseline"/>
              <w:rPr>
                <w:rFonts w:ascii="Arial" w:eastAsia="Times New Roman" w:hAnsi="Arial" w:cs="Arial"/>
                <w:color w:val="000000"/>
                <w:sz w:val="20"/>
                <w:szCs w:val="24"/>
                <w:lang w:eastAsia="sl-SI"/>
              </w:rPr>
            </w:pPr>
            <w:r w:rsidRPr="00D87777">
              <w:rPr>
                <w:rFonts w:ascii="Arial" w:eastAsia="Times New Roman" w:hAnsi="Arial" w:cs="Arial"/>
                <w:color w:val="000000"/>
                <w:sz w:val="20"/>
                <w:szCs w:val="24"/>
                <w:lang w:eastAsia="sl-SI"/>
              </w:rPr>
              <w:t xml:space="preserve">mag. </w:t>
            </w:r>
            <w:r>
              <w:rPr>
                <w:rFonts w:ascii="Arial" w:eastAsia="Times New Roman" w:hAnsi="Arial" w:cs="Arial"/>
                <w:color w:val="000000"/>
                <w:sz w:val="20"/>
                <w:szCs w:val="24"/>
                <w:lang w:eastAsia="sl-SI"/>
              </w:rPr>
              <w:t>Saša Jazbec</w:t>
            </w:r>
            <w:r w:rsidRPr="00D87777">
              <w:rPr>
                <w:rFonts w:ascii="Arial" w:eastAsia="Times New Roman" w:hAnsi="Arial" w:cs="Arial"/>
                <w:color w:val="000000"/>
                <w:sz w:val="20"/>
                <w:szCs w:val="24"/>
                <w:lang w:eastAsia="sl-SI"/>
              </w:rPr>
              <w:t>, državna sekretarka, Ministrstvo za finance,</w:t>
            </w:r>
          </w:p>
          <w:p w14:paraId="5D4B9267" w14:textId="77777777" w:rsidR="00C106E6" w:rsidRPr="00D87777" w:rsidRDefault="00C106E6" w:rsidP="00EC45FA">
            <w:pPr>
              <w:numPr>
                <w:ilvl w:val="0"/>
                <w:numId w:val="15"/>
              </w:numPr>
              <w:overflowPunct w:val="0"/>
              <w:autoSpaceDE w:val="0"/>
              <w:autoSpaceDN w:val="0"/>
              <w:adjustRightInd w:val="0"/>
              <w:spacing w:after="0" w:line="276" w:lineRule="auto"/>
              <w:textAlignment w:val="baseline"/>
              <w:rPr>
                <w:rFonts w:ascii="Arial" w:eastAsia="Times New Roman" w:hAnsi="Arial" w:cs="Arial"/>
                <w:color w:val="000000"/>
                <w:sz w:val="20"/>
                <w:szCs w:val="24"/>
                <w:lang w:eastAsia="sl-SI"/>
              </w:rPr>
            </w:pPr>
            <w:r>
              <w:rPr>
                <w:rFonts w:ascii="Arial" w:eastAsia="Times New Roman" w:hAnsi="Arial" w:cs="Arial"/>
                <w:color w:val="000000"/>
                <w:sz w:val="20"/>
                <w:szCs w:val="24"/>
                <w:lang w:eastAsia="sl-SI"/>
              </w:rPr>
              <w:t>Tilen Božič</w:t>
            </w:r>
            <w:r w:rsidRPr="00D87777">
              <w:rPr>
                <w:rFonts w:ascii="Arial" w:eastAsia="Times New Roman" w:hAnsi="Arial" w:cs="Arial"/>
                <w:color w:val="000000"/>
                <w:sz w:val="20"/>
                <w:szCs w:val="24"/>
                <w:lang w:eastAsia="sl-SI"/>
              </w:rPr>
              <w:t>, državni sekretar, Ministrstvo za finance,</w:t>
            </w:r>
          </w:p>
          <w:p w14:paraId="373C56B4" w14:textId="53484EFC" w:rsidR="00C106E6" w:rsidRPr="00D87777" w:rsidRDefault="00C106E6" w:rsidP="00EC45FA">
            <w:pPr>
              <w:numPr>
                <w:ilvl w:val="0"/>
                <w:numId w:val="15"/>
              </w:numPr>
              <w:overflowPunct w:val="0"/>
              <w:autoSpaceDE w:val="0"/>
              <w:autoSpaceDN w:val="0"/>
              <w:adjustRightInd w:val="0"/>
              <w:spacing w:after="0" w:line="276" w:lineRule="auto"/>
              <w:textAlignment w:val="baseline"/>
              <w:rPr>
                <w:rFonts w:ascii="Arial" w:eastAsia="Times New Roman" w:hAnsi="Arial" w:cs="Arial"/>
                <w:color w:val="000000"/>
                <w:sz w:val="20"/>
                <w:szCs w:val="24"/>
                <w:lang w:eastAsia="sl-SI"/>
              </w:rPr>
            </w:pPr>
            <w:r w:rsidRPr="00D87777">
              <w:rPr>
                <w:rFonts w:ascii="Arial" w:eastAsia="Times New Roman" w:hAnsi="Arial" w:cs="Arial"/>
                <w:color w:val="000000"/>
                <w:sz w:val="20"/>
                <w:szCs w:val="24"/>
                <w:lang w:eastAsia="sl-SI"/>
              </w:rPr>
              <w:t>mag. Tina Humar, generalna direktorica Direktorata za sistem davčnih, carinskih in drugih javnih prihodkov, Ministrstvo za finance,</w:t>
            </w:r>
          </w:p>
          <w:p w14:paraId="20D716B4" w14:textId="180B0166" w:rsidR="00C106E6" w:rsidRPr="00EE08BF" w:rsidRDefault="00C106E6" w:rsidP="00EC45FA">
            <w:pPr>
              <w:numPr>
                <w:ilvl w:val="0"/>
                <w:numId w:val="15"/>
              </w:numPr>
              <w:overflowPunct w:val="0"/>
              <w:autoSpaceDE w:val="0"/>
              <w:autoSpaceDN w:val="0"/>
              <w:adjustRightInd w:val="0"/>
              <w:spacing w:after="0" w:line="276" w:lineRule="auto"/>
              <w:textAlignment w:val="baseline"/>
              <w:rPr>
                <w:rFonts w:ascii="Arial" w:hAnsi="Arial" w:cs="Arial"/>
                <w:sz w:val="20"/>
                <w:szCs w:val="20"/>
              </w:rPr>
            </w:pPr>
            <w:r w:rsidRPr="00D87777">
              <w:rPr>
                <w:rFonts w:ascii="Arial" w:eastAsia="Times New Roman" w:hAnsi="Arial" w:cs="Arial"/>
                <w:color w:val="000000"/>
                <w:sz w:val="20"/>
                <w:szCs w:val="24"/>
                <w:lang w:eastAsia="sl-SI"/>
              </w:rPr>
              <w:t>mag. Petra Istenič, vodja Sektorja za sistem obdavčitve dohodkov in premoženja, Ministrstvo za finance</w:t>
            </w:r>
            <w:r>
              <w:rPr>
                <w:rFonts w:ascii="Arial" w:eastAsia="Times New Roman" w:hAnsi="Arial" w:cs="Arial"/>
                <w:color w:val="000000"/>
                <w:sz w:val="20"/>
                <w:szCs w:val="24"/>
                <w:lang w:eastAsia="sl-SI"/>
              </w:rPr>
              <w:t>,</w:t>
            </w:r>
          </w:p>
          <w:p w14:paraId="768EACA9" w14:textId="1BBC22C1" w:rsidR="00C106E6" w:rsidRPr="005C0138" w:rsidRDefault="00C106E6" w:rsidP="00EC45FA">
            <w:pPr>
              <w:numPr>
                <w:ilvl w:val="0"/>
                <w:numId w:val="15"/>
              </w:numPr>
              <w:overflowPunct w:val="0"/>
              <w:autoSpaceDE w:val="0"/>
              <w:autoSpaceDN w:val="0"/>
              <w:adjustRightInd w:val="0"/>
              <w:spacing w:after="0" w:line="276" w:lineRule="auto"/>
              <w:textAlignment w:val="baseline"/>
              <w:rPr>
                <w:rFonts w:ascii="Arial" w:hAnsi="Arial" w:cs="Arial"/>
                <w:sz w:val="20"/>
                <w:szCs w:val="20"/>
              </w:rPr>
            </w:pPr>
            <w:r>
              <w:rPr>
                <w:rFonts w:ascii="Arial" w:eastAsia="Times New Roman" w:hAnsi="Arial" w:cs="Arial"/>
                <w:color w:val="000000"/>
                <w:sz w:val="20"/>
                <w:szCs w:val="24"/>
                <w:lang w:eastAsia="sl-SI"/>
              </w:rPr>
              <w:t>Meta Šinkovec, vodja Sektorja za analize in koordinacijo davčne politike</w:t>
            </w:r>
            <w:r w:rsidR="00CC6F07">
              <w:rPr>
                <w:rFonts w:ascii="Arial" w:eastAsia="Times New Roman" w:hAnsi="Arial" w:cs="Arial"/>
                <w:color w:val="000000"/>
                <w:sz w:val="20"/>
                <w:szCs w:val="24"/>
                <w:lang w:eastAsia="sl-SI"/>
              </w:rPr>
              <w:t>, Ministrstvo za finance</w:t>
            </w:r>
            <w:r>
              <w:rPr>
                <w:rFonts w:ascii="Arial" w:eastAsia="Times New Roman" w:hAnsi="Arial" w:cs="Arial"/>
                <w:color w:val="000000"/>
                <w:sz w:val="20"/>
                <w:szCs w:val="24"/>
                <w:lang w:eastAsia="sl-SI"/>
              </w:rPr>
              <w:t>.</w:t>
            </w:r>
          </w:p>
        </w:tc>
      </w:tr>
      <w:tr w:rsidR="00C106E6" w:rsidRPr="008D1759" w14:paraId="289B468C" w14:textId="77777777" w:rsidTr="00833C5D">
        <w:tc>
          <w:tcPr>
            <w:tcW w:w="9319" w:type="dxa"/>
            <w:gridSpan w:val="4"/>
          </w:tcPr>
          <w:p w14:paraId="683A88B4" w14:textId="77777777" w:rsidR="00C106E6" w:rsidRPr="008D1759" w:rsidRDefault="00C106E6" w:rsidP="00EC45FA">
            <w:pPr>
              <w:pStyle w:val="Oddelek"/>
              <w:numPr>
                <w:ilvl w:val="0"/>
                <w:numId w:val="0"/>
              </w:numPr>
              <w:spacing w:before="0" w:after="0" w:line="276" w:lineRule="auto"/>
              <w:jc w:val="left"/>
              <w:rPr>
                <w:sz w:val="20"/>
                <w:szCs w:val="20"/>
              </w:rPr>
            </w:pPr>
            <w:r>
              <w:rPr>
                <w:sz w:val="20"/>
                <w:szCs w:val="20"/>
              </w:rPr>
              <w:t>5</w:t>
            </w:r>
            <w:r w:rsidRPr="008D1759">
              <w:rPr>
                <w:sz w:val="20"/>
                <w:szCs w:val="20"/>
              </w:rPr>
              <w:t>. Kratek povzetek gradiva</w:t>
            </w:r>
            <w:r>
              <w:rPr>
                <w:sz w:val="20"/>
                <w:szCs w:val="20"/>
              </w:rPr>
              <w:t>:</w:t>
            </w:r>
          </w:p>
        </w:tc>
      </w:tr>
      <w:tr w:rsidR="00C106E6" w:rsidRPr="008D1759" w14:paraId="493F116A" w14:textId="77777777" w:rsidTr="00833C5D">
        <w:tc>
          <w:tcPr>
            <w:tcW w:w="9319" w:type="dxa"/>
            <w:gridSpan w:val="4"/>
          </w:tcPr>
          <w:p w14:paraId="67EE2493" w14:textId="77777777" w:rsidR="00C106E6" w:rsidRDefault="00C106E6" w:rsidP="00CC1503">
            <w:pPr>
              <w:pStyle w:val="Neotevilenodstavek"/>
              <w:spacing w:before="0" w:after="0" w:line="276" w:lineRule="auto"/>
              <w:contextualSpacing/>
              <w:rPr>
                <w:sz w:val="20"/>
              </w:rPr>
            </w:pPr>
            <w:r w:rsidRPr="00777996">
              <w:rPr>
                <w:iCs/>
                <w:sz w:val="20"/>
                <w:szCs w:val="20"/>
              </w:rPr>
              <w:t xml:space="preserve">Obdavčitev dohodkov fizičnih oseb je določena z </w:t>
            </w:r>
            <w:r>
              <w:rPr>
                <w:iCs/>
                <w:sz w:val="20"/>
                <w:szCs w:val="20"/>
              </w:rPr>
              <w:t>Zakonom</w:t>
            </w:r>
            <w:r w:rsidRPr="00DC7F0B">
              <w:rPr>
                <w:iCs/>
                <w:sz w:val="20"/>
                <w:szCs w:val="20"/>
              </w:rPr>
              <w:t xml:space="preserve"> o dohodnini (Uradni list RS, št. 13/11 – uradno prečiščeno besedilo, 9/11 – ZUKD-1, 9/12 – </w:t>
            </w:r>
            <w:proofErr w:type="spellStart"/>
            <w:r w:rsidRPr="00DC7F0B">
              <w:rPr>
                <w:iCs/>
                <w:sz w:val="20"/>
                <w:szCs w:val="20"/>
              </w:rPr>
              <w:t>odl</w:t>
            </w:r>
            <w:proofErr w:type="spellEnd"/>
            <w:r w:rsidRPr="00DC7F0B">
              <w:rPr>
                <w:iCs/>
                <w:sz w:val="20"/>
                <w:szCs w:val="20"/>
              </w:rPr>
              <w:t xml:space="preserve">. US, 24/12, 30/12, 40/12 – ZUJF, 75/12, 94/12, 96/13, 29/14 – </w:t>
            </w:r>
            <w:proofErr w:type="spellStart"/>
            <w:r w:rsidRPr="00DC7F0B">
              <w:rPr>
                <w:iCs/>
                <w:sz w:val="20"/>
                <w:szCs w:val="20"/>
              </w:rPr>
              <w:t>odl</w:t>
            </w:r>
            <w:proofErr w:type="spellEnd"/>
            <w:r w:rsidRPr="00DC7F0B">
              <w:rPr>
                <w:iCs/>
                <w:sz w:val="20"/>
                <w:szCs w:val="20"/>
              </w:rPr>
              <w:t>. US, 50/14, 23/15, 55/15, 63/16, 69/17, 21/19</w:t>
            </w:r>
            <w:r>
              <w:rPr>
                <w:iCs/>
                <w:sz w:val="20"/>
                <w:szCs w:val="20"/>
              </w:rPr>
              <w:t>,</w:t>
            </w:r>
            <w:r w:rsidRPr="00DC7F0B">
              <w:rPr>
                <w:iCs/>
                <w:sz w:val="20"/>
                <w:szCs w:val="20"/>
              </w:rPr>
              <w:t xml:space="preserve"> 28/19</w:t>
            </w:r>
            <w:r>
              <w:rPr>
                <w:iCs/>
                <w:sz w:val="20"/>
                <w:szCs w:val="20"/>
              </w:rPr>
              <w:t xml:space="preserve"> in 39/22</w:t>
            </w:r>
            <w:r w:rsidRPr="00375690">
              <w:rPr>
                <w:iCs/>
                <w:sz w:val="20"/>
                <w:szCs w:val="20"/>
              </w:rPr>
              <w:t>; v nadaljnjem besedilu: ZDoh-2). Obdavčitev dohodkov fizičnih oseb je področje, ki zahteva sprotno spremljanje zaradi ciljev, ki se na splošno želijo doseči z davčno politiko ter tudi zaradi sprememb določene druge področne zakonodaje, sodnih odločb, novih pos</w:t>
            </w:r>
            <w:r w:rsidRPr="00346547">
              <w:rPr>
                <w:iCs/>
                <w:sz w:val="20"/>
                <w:szCs w:val="20"/>
              </w:rPr>
              <w:t>lovnih modelov ter zazna</w:t>
            </w:r>
            <w:r>
              <w:rPr>
                <w:iCs/>
                <w:sz w:val="20"/>
                <w:szCs w:val="20"/>
              </w:rPr>
              <w:t>nih težav</w:t>
            </w:r>
            <w:r w:rsidRPr="00346547">
              <w:rPr>
                <w:iCs/>
                <w:sz w:val="20"/>
                <w:szCs w:val="20"/>
              </w:rPr>
              <w:t xml:space="preserve"> pri izvajanju zakona.</w:t>
            </w:r>
            <w:r w:rsidRPr="005304E1">
              <w:rPr>
                <w:sz w:val="20"/>
                <w:szCs w:val="20"/>
              </w:rPr>
              <w:t xml:space="preserve"> </w:t>
            </w:r>
          </w:p>
          <w:p w14:paraId="35FE12B0" w14:textId="77777777" w:rsidR="00C106E6" w:rsidRDefault="00C106E6" w:rsidP="00CC1503">
            <w:pPr>
              <w:pStyle w:val="Neotevilenodstavek"/>
              <w:spacing w:before="0" w:after="0" w:line="276" w:lineRule="auto"/>
              <w:contextualSpacing/>
              <w:rPr>
                <w:sz w:val="20"/>
                <w:szCs w:val="20"/>
              </w:rPr>
            </w:pPr>
          </w:p>
          <w:p w14:paraId="6F1FCA5E" w14:textId="77777777" w:rsidR="00C106E6" w:rsidRDefault="00C106E6" w:rsidP="00CC1503">
            <w:pPr>
              <w:pStyle w:val="Neotevilenodstavek"/>
              <w:spacing w:before="0" w:after="0" w:line="276" w:lineRule="auto"/>
              <w:contextualSpacing/>
              <w:rPr>
                <w:iCs/>
                <w:sz w:val="20"/>
                <w:szCs w:val="20"/>
              </w:rPr>
            </w:pPr>
            <w:r>
              <w:rPr>
                <w:sz w:val="20"/>
                <w:szCs w:val="20"/>
              </w:rPr>
              <w:t>Predlog zakona vsebuje naslednje spremembe in dopolnitve:</w:t>
            </w:r>
          </w:p>
          <w:p w14:paraId="357AD44D" w14:textId="11323364" w:rsidR="00C106E6" w:rsidRPr="00262292" w:rsidRDefault="00C106E6" w:rsidP="00CC1503">
            <w:pPr>
              <w:pStyle w:val="Neotevilenodstavek"/>
              <w:spacing w:before="0" w:after="0" w:line="276" w:lineRule="auto"/>
              <w:contextualSpacing/>
              <w:rPr>
                <w:sz w:val="20"/>
                <w:szCs w:val="20"/>
                <w:u w:val="single"/>
              </w:rPr>
            </w:pPr>
            <w:r w:rsidRPr="00262292">
              <w:rPr>
                <w:sz w:val="20"/>
                <w:szCs w:val="20"/>
              </w:rPr>
              <w:t xml:space="preserve">a) </w:t>
            </w:r>
            <w:r w:rsidRPr="00262292">
              <w:rPr>
                <w:sz w:val="20"/>
                <w:szCs w:val="20"/>
                <w:u w:val="single"/>
              </w:rPr>
              <w:t>dohodki, ki se vštevajo v letno davčno osnovo</w:t>
            </w:r>
            <w:r w:rsidR="004F3703">
              <w:rPr>
                <w:sz w:val="20"/>
                <w:szCs w:val="20"/>
                <w:u w:val="single"/>
              </w:rPr>
              <w:t>:</w:t>
            </w:r>
          </w:p>
          <w:p w14:paraId="442F6FC1" w14:textId="77777777" w:rsidR="00C106E6" w:rsidRPr="00262292" w:rsidRDefault="00C106E6" w:rsidP="00AD68A5">
            <w:pPr>
              <w:pStyle w:val="Neotevilenodstavek"/>
              <w:numPr>
                <w:ilvl w:val="0"/>
                <w:numId w:val="33"/>
              </w:numPr>
              <w:spacing w:before="0" w:after="0" w:line="276" w:lineRule="auto"/>
              <w:rPr>
                <w:sz w:val="20"/>
                <w:szCs w:val="20"/>
              </w:rPr>
            </w:pPr>
            <w:r w:rsidRPr="00262292">
              <w:rPr>
                <w:sz w:val="20"/>
                <w:szCs w:val="20"/>
              </w:rPr>
              <w:t>višina splošne olajšave se določi na višini 5.000 EUR in odpravi postopno zvišanje na 7.500 EUR;</w:t>
            </w:r>
          </w:p>
          <w:p w14:paraId="6ADF1A86" w14:textId="6382A170" w:rsidR="00C106E6" w:rsidRPr="00262292" w:rsidRDefault="00C106E6" w:rsidP="00AD68A5">
            <w:pPr>
              <w:pStyle w:val="Neotevilenodstavek"/>
              <w:numPr>
                <w:ilvl w:val="0"/>
                <w:numId w:val="33"/>
              </w:numPr>
              <w:spacing w:before="0" w:after="0" w:line="276" w:lineRule="auto"/>
              <w:rPr>
                <w:sz w:val="20"/>
                <w:szCs w:val="20"/>
              </w:rPr>
            </w:pPr>
            <w:r w:rsidRPr="00262292">
              <w:rPr>
                <w:sz w:val="20"/>
                <w:szCs w:val="20"/>
              </w:rPr>
              <w:lastRenderedPageBreak/>
              <w:t>zvišuje se skupni dohodek, do katerega se rezidentu poleg splošne olajšave prizna tudi dodatna splošna olajšave, in sicer se poveča s 13.716,33 EUR na 1</w:t>
            </w:r>
            <w:r w:rsidR="00F54419">
              <w:rPr>
                <w:sz w:val="20"/>
                <w:szCs w:val="20"/>
              </w:rPr>
              <w:t>6</w:t>
            </w:r>
            <w:r w:rsidRPr="00262292">
              <w:rPr>
                <w:sz w:val="20"/>
                <w:szCs w:val="20"/>
              </w:rPr>
              <w:t>.000 EUR;</w:t>
            </w:r>
          </w:p>
          <w:p w14:paraId="0C09779A" w14:textId="2EDA2FD3" w:rsidR="00C106E6" w:rsidRPr="00262292" w:rsidRDefault="00C106E6" w:rsidP="00AD68A5">
            <w:pPr>
              <w:pStyle w:val="Neotevilenodstavek"/>
              <w:numPr>
                <w:ilvl w:val="0"/>
                <w:numId w:val="33"/>
              </w:numPr>
              <w:spacing w:before="0" w:after="0" w:line="276" w:lineRule="auto"/>
              <w:rPr>
                <w:sz w:val="20"/>
                <w:szCs w:val="20"/>
              </w:rPr>
            </w:pPr>
            <w:r w:rsidRPr="00262292">
              <w:rPr>
                <w:sz w:val="20"/>
                <w:szCs w:val="20"/>
              </w:rPr>
              <w:t>uvaja se znižanje davčne osnove od dohodkov iz delovnega razmerja v višini 1.000 EUR v davčnem letu za zavezance do dopolnjenega 2</w:t>
            </w:r>
            <w:r w:rsidR="004F3703">
              <w:rPr>
                <w:sz w:val="20"/>
                <w:szCs w:val="20"/>
              </w:rPr>
              <w:t>9</w:t>
            </w:r>
            <w:r w:rsidRPr="00262292">
              <w:rPr>
                <w:sz w:val="20"/>
                <w:szCs w:val="20"/>
              </w:rPr>
              <w:t>. leta starosti (posebna osebna olajšava za mlade);</w:t>
            </w:r>
          </w:p>
          <w:p w14:paraId="623DF83B" w14:textId="77777777" w:rsidR="00C106E6" w:rsidRPr="00262292" w:rsidRDefault="00C106E6" w:rsidP="00AD68A5">
            <w:pPr>
              <w:pStyle w:val="Neotevilenodstavek"/>
              <w:numPr>
                <w:ilvl w:val="0"/>
                <w:numId w:val="33"/>
              </w:numPr>
              <w:spacing w:before="0" w:after="0" w:line="276" w:lineRule="auto"/>
              <w:rPr>
                <w:sz w:val="20"/>
                <w:szCs w:val="20"/>
              </w:rPr>
            </w:pPr>
            <w:r w:rsidRPr="00262292">
              <w:rPr>
                <w:sz w:val="20"/>
                <w:szCs w:val="20"/>
              </w:rPr>
              <w:t>zvišuje se davčna stopnja v zadnjem 5. dohodninskem razredu s sedanjih 45 % na 50 %;</w:t>
            </w:r>
          </w:p>
          <w:p w14:paraId="7E68CC7E" w14:textId="0A96939A" w:rsidR="00C106E6" w:rsidRPr="00262292" w:rsidRDefault="00BD722D" w:rsidP="00AD68A5">
            <w:pPr>
              <w:pStyle w:val="Neotevilenodstavek"/>
              <w:numPr>
                <w:ilvl w:val="0"/>
                <w:numId w:val="33"/>
              </w:numPr>
              <w:spacing w:before="0" w:after="0" w:line="276" w:lineRule="auto"/>
              <w:rPr>
                <w:sz w:val="20"/>
                <w:szCs w:val="20"/>
              </w:rPr>
            </w:pPr>
            <w:r>
              <w:rPr>
                <w:sz w:val="20"/>
                <w:szCs w:val="20"/>
              </w:rPr>
              <w:t xml:space="preserve">spreminja </w:t>
            </w:r>
            <w:r w:rsidR="00C106E6" w:rsidRPr="00262292">
              <w:rPr>
                <w:sz w:val="20"/>
                <w:szCs w:val="20"/>
              </w:rPr>
              <w:t>se mehanizem usklajevanja višin zneskov olajšav in neto letnih davčnih osnov ter uvaja spremenjen mehanizem usklajevanja;</w:t>
            </w:r>
          </w:p>
          <w:p w14:paraId="1579EE8B" w14:textId="77777777" w:rsidR="00C106E6" w:rsidRPr="00262292" w:rsidRDefault="00C106E6" w:rsidP="00AD68A5">
            <w:pPr>
              <w:pStyle w:val="Neotevilenodstavek"/>
              <w:numPr>
                <w:ilvl w:val="0"/>
                <w:numId w:val="33"/>
              </w:numPr>
              <w:spacing w:before="0" w:after="0" w:line="276" w:lineRule="auto"/>
              <w:rPr>
                <w:sz w:val="20"/>
                <w:szCs w:val="20"/>
              </w:rPr>
            </w:pPr>
            <w:r w:rsidRPr="00262292">
              <w:rPr>
                <w:sz w:val="20"/>
                <w:szCs w:val="20"/>
              </w:rPr>
              <w:t>za leto 2023 se uskladitev olajšav in neto letnih davčnih osnov ne opravi;</w:t>
            </w:r>
          </w:p>
          <w:p w14:paraId="7029EDA1" w14:textId="77777777" w:rsidR="004F3703" w:rsidRDefault="00C106E6" w:rsidP="00AD68A5">
            <w:pPr>
              <w:pStyle w:val="Neotevilenodstavek"/>
              <w:numPr>
                <w:ilvl w:val="0"/>
                <w:numId w:val="33"/>
              </w:numPr>
              <w:spacing w:before="0" w:after="0" w:line="276" w:lineRule="auto"/>
              <w:rPr>
                <w:sz w:val="20"/>
                <w:szCs w:val="20"/>
              </w:rPr>
            </w:pPr>
            <w:r w:rsidRPr="004F3703">
              <w:rPr>
                <w:sz w:val="20"/>
                <w:szCs w:val="20"/>
              </w:rPr>
              <w:t>pri plačilu za poslovno uspešnost se uvaja dodatni pogoj za ugodno davčno obravnavo (izplačilo največ dvakrat v koledarskem letu) in odpravlja možnost davčno ugodnejše obravnave dohodka iz tega naslova v višini 100 % povprečne plače delavca (ohranja se splošna višina neobdavčenega dela, to je 100 % povprečne mesečne plače zaposlenih v Sloveniji)</w:t>
            </w:r>
            <w:r w:rsidR="004F3703" w:rsidRPr="004F3703">
              <w:rPr>
                <w:sz w:val="20"/>
                <w:szCs w:val="20"/>
              </w:rPr>
              <w:t>;</w:t>
            </w:r>
          </w:p>
          <w:p w14:paraId="79499CDB" w14:textId="40F2B347" w:rsidR="004F3703" w:rsidRPr="004F3703" w:rsidRDefault="004F3703" w:rsidP="00AD68A5">
            <w:pPr>
              <w:pStyle w:val="Neotevilenodstavek"/>
              <w:numPr>
                <w:ilvl w:val="0"/>
                <w:numId w:val="33"/>
              </w:numPr>
              <w:spacing w:before="0" w:after="0" w:line="276" w:lineRule="auto"/>
              <w:rPr>
                <w:sz w:val="20"/>
                <w:szCs w:val="20"/>
              </w:rPr>
            </w:pPr>
            <w:r w:rsidRPr="004F3703">
              <w:rPr>
                <w:sz w:val="20"/>
                <w:szCs w:val="20"/>
              </w:rPr>
              <w:t xml:space="preserve">nadomestilo za uporabo lastnih sredstev pri delu na domu </w:t>
            </w:r>
            <w:r>
              <w:rPr>
                <w:sz w:val="20"/>
                <w:szCs w:val="20"/>
              </w:rPr>
              <w:t>- s</w:t>
            </w:r>
            <w:r w:rsidRPr="004F3703">
              <w:rPr>
                <w:sz w:val="20"/>
                <w:szCs w:val="20"/>
              </w:rPr>
              <w:t xml:space="preserve">preminjajo se pogoji in višina, do katere se nadomestilo za uporabo lastnih sredstev pri delu na domu ne všteva v davčno osnovo. </w:t>
            </w:r>
          </w:p>
          <w:p w14:paraId="303F0C3D" w14:textId="77777777" w:rsidR="004F3703" w:rsidRDefault="004F3703" w:rsidP="00CC1503">
            <w:pPr>
              <w:pStyle w:val="Neotevilenodstavek"/>
              <w:spacing w:before="0" w:after="0" w:line="276" w:lineRule="auto"/>
              <w:rPr>
                <w:sz w:val="20"/>
                <w:szCs w:val="20"/>
                <w:u w:val="single"/>
              </w:rPr>
            </w:pPr>
          </w:p>
          <w:p w14:paraId="31543C3C" w14:textId="16FBF403" w:rsidR="004F3703" w:rsidRPr="004F3703" w:rsidRDefault="004F3703" w:rsidP="00CC1503">
            <w:pPr>
              <w:pStyle w:val="Neotevilenodstavek"/>
              <w:spacing w:before="0" w:after="0" w:line="276" w:lineRule="auto"/>
              <w:rPr>
                <w:sz w:val="20"/>
                <w:szCs w:val="20"/>
                <w:u w:val="single"/>
              </w:rPr>
            </w:pPr>
            <w:r>
              <w:rPr>
                <w:sz w:val="20"/>
                <w:szCs w:val="20"/>
                <w:u w:val="single"/>
              </w:rPr>
              <w:t>b</w:t>
            </w:r>
            <w:r w:rsidRPr="004F3703">
              <w:rPr>
                <w:sz w:val="20"/>
                <w:szCs w:val="20"/>
                <w:u w:val="single"/>
              </w:rPr>
              <w:t xml:space="preserve">) </w:t>
            </w:r>
            <w:r w:rsidR="00CC1503">
              <w:rPr>
                <w:sz w:val="20"/>
                <w:szCs w:val="20"/>
                <w:u w:val="single"/>
              </w:rPr>
              <w:t>d</w:t>
            </w:r>
            <w:r w:rsidRPr="004F3703">
              <w:rPr>
                <w:sz w:val="20"/>
                <w:szCs w:val="20"/>
                <w:u w:val="single"/>
              </w:rPr>
              <w:t>ohodki iz dejavnosti</w:t>
            </w:r>
            <w:r>
              <w:rPr>
                <w:sz w:val="20"/>
                <w:szCs w:val="20"/>
                <w:u w:val="single"/>
              </w:rPr>
              <w:t>:</w:t>
            </w:r>
          </w:p>
          <w:p w14:paraId="678C00ED" w14:textId="5BEEB2B6" w:rsidR="004F3703" w:rsidRDefault="002901F3" w:rsidP="00AD68A5">
            <w:pPr>
              <w:pStyle w:val="Neotevilenodstavek"/>
              <w:numPr>
                <w:ilvl w:val="0"/>
                <w:numId w:val="33"/>
              </w:numPr>
              <w:spacing w:before="0" w:after="0" w:line="276" w:lineRule="auto"/>
              <w:rPr>
                <w:sz w:val="20"/>
                <w:szCs w:val="20"/>
              </w:rPr>
            </w:pPr>
            <w:r>
              <w:rPr>
                <w:sz w:val="20"/>
                <w:szCs w:val="20"/>
              </w:rPr>
              <w:t>s</w:t>
            </w:r>
            <w:r w:rsidR="004F3703" w:rsidRPr="004F3703">
              <w:rPr>
                <w:sz w:val="20"/>
                <w:szCs w:val="20"/>
              </w:rPr>
              <w:t xml:space="preserve">preminja se višina odhodkov, ki se priznava pri ugotavljanju davčne osnove v sistemu normiranih odhodkov. Višina priznanih normiranih odhodkov se določi v odvisnosti od doseženih prihodkov in obveznega zavarovanja po zakonu, ki ureja pokojninsko in invalidsko zavarovanje, pri zavezancu (v zvezi z dejavnostjo zavezanca), v davčnem letu, za katerega se ugotavlja davčna osnova. Za zavezance, ki izpolnjujejo pogoj, da je pri zavezancu v skladu z zakonom, ki ureja pokojninsko in invalidsko zavarovanje, obvezno zavarovana na podlagi delovnega razmerja ali samozaposlitve, vsaj ena oseba za polni delovni čas neprekinjeno najmanj devet mesecev, se priznajo normiranih odhodki v višini 80 % prihodkov na prihodke do </w:t>
            </w:r>
            <w:r w:rsidR="00545DD6">
              <w:rPr>
                <w:sz w:val="20"/>
                <w:szCs w:val="20"/>
              </w:rPr>
              <w:t>3</w:t>
            </w:r>
            <w:r w:rsidR="004F3703" w:rsidRPr="004F3703">
              <w:rPr>
                <w:sz w:val="20"/>
                <w:szCs w:val="20"/>
              </w:rPr>
              <w:t xml:space="preserve">5.000 EUR, v višini </w:t>
            </w:r>
            <w:r w:rsidR="00A30621">
              <w:rPr>
                <w:sz w:val="20"/>
                <w:szCs w:val="20"/>
              </w:rPr>
              <w:t>4</w:t>
            </w:r>
            <w:r w:rsidR="004F3703" w:rsidRPr="004F3703">
              <w:rPr>
                <w:sz w:val="20"/>
                <w:szCs w:val="20"/>
              </w:rPr>
              <w:t xml:space="preserve">0 % prihodkov na prihodke nad </w:t>
            </w:r>
            <w:r w:rsidR="00545DD6">
              <w:rPr>
                <w:sz w:val="20"/>
                <w:szCs w:val="20"/>
              </w:rPr>
              <w:t>3</w:t>
            </w:r>
            <w:r w:rsidR="004F3703" w:rsidRPr="004F3703">
              <w:rPr>
                <w:sz w:val="20"/>
                <w:szCs w:val="20"/>
              </w:rPr>
              <w:t xml:space="preserve">5.000 EUR do 100.000 EUR, ter v višini 0 % na prihodke nad 100.000 EUR. Za zavezanca, pri katerem ni bila obvezno zavarovana v skladu z zakonom, ki ureja pokojninsko in invalidsko zavarovanje, na podlagi delovnega razmerja ali samozaposlitve vsaj ena oseba za polni delovni čas neprekinjeno najmanj devet mesecev, se upoštevajo normiranih odhodki  v višini </w:t>
            </w:r>
            <w:r w:rsidR="00A30621">
              <w:rPr>
                <w:sz w:val="20"/>
                <w:szCs w:val="20"/>
              </w:rPr>
              <w:t>4</w:t>
            </w:r>
            <w:r w:rsidR="004F3703" w:rsidRPr="004F3703">
              <w:rPr>
                <w:sz w:val="20"/>
                <w:szCs w:val="20"/>
              </w:rPr>
              <w:t>0 % prihodkov, vendar ne več kot 2</w:t>
            </w:r>
            <w:r w:rsidR="00A30621">
              <w:rPr>
                <w:sz w:val="20"/>
                <w:szCs w:val="20"/>
              </w:rPr>
              <w:t>0</w:t>
            </w:r>
            <w:r w:rsidR="004F3703" w:rsidRPr="004F3703">
              <w:rPr>
                <w:sz w:val="20"/>
                <w:szCs w:val="20"/>
              </w:rPr>
              <w:t>.000 EUR</w:t>
            </w:r>
            <w:r w:rsidR="004F3703">
              <w:rPr>
                <w:sz w:val="20"/>
                <w:szCs w:val="20"/>
              </w:rPr>
              <w:t>;</w:t>
            </w:r>
          </w:p>
          <w:p w14:paraId="07757D23" w14:textId="7822C886" w:rsidR="004F3703" w:rsidRPr="004F3703" w:rsidRDefault="004F3703" w:rsidP="00AD68A5">
            <w:pPr>
              <w:pStyle w:val="Neotevilenodstavek"/>
              <w:numPr>
                <w:ilvl w:val="0"/>
                <w:numId w:val="33"/>
              </w:numPr>
              <w:spacing w:before="0" w:after="0" w:line="276" w:lineRule="auto"/>
              <w:rPr>
                <w:sz w:val="20"/>
                <w:szCs w:val="20"/>
              </w:rPr>
            </w:pPr>
            <w:r w:rsidRPr="004F3703">
              <w:rPr>
                <w:sz w:val="20"/>
                <w:szCs w:val="20"/>
              </w:rPr>
              <w:t xml:space="preserve">jasneje </w:t>
            </w:r>
            <w:r>
              <w:rPr>
                <w:sz w:val="20"/>
                <w:szCs w:val="20"/>
              </w:rPr>
              <w:t xml:space="preserve">se </w:t>
            </w:r>
            <w:r w:rsidRPr="004F3703">
              <w:rPr>
                <w:sz w:val="20"/>
                <w:szCs w:val="20"/>
              </w:rPr>
              <w:t>določa pogoj za vstop oziroma obstoj v sistemu normiranih odhodkov, ki je vezan na obvezno pokojninsko in invalidsko zavarovanje zavezanca, ali pri njem zaposlene osebe ter podaljšuje obdobje nepretrgane vključenosti v zavarovanje.</w:t>
            </w:r>
          </w:p>
          <w:p w14:paraId="2BFA3A5F" w14:textId="77777777" w:rsidR="004F3703" w:rsidRDefault="004F3703" w:rsidP="00CC1503">
            <w:pPr>
              <w:pStyle w:val="Neotevilenodstavek"/>
              <w:spacing w:before="0" w:after="0" w:line="276" w:lineRule="auto"/>
              <w:contextualSpacing/>
              <w:rPr>
                <w:sz w:val="20"/>
                <w:szCs w:val="20"/>
              </w:rPr>
            </w:pPr>
          </w:p>
          <w:p w14:paraId="0A1E952F" w14:textId="6973AF8B" w:rsidR="00C106E6" w:rsidRPr="00262292" w:rsidRDefault="00C106E6" w:rsidP="00CC1503">
            <w:pPr>
              <w:pStyle w:val="Neotevilenodstavek"/>
              <w:spacing w:before="0" w:after="0" w:line="276" w:lineRule="auto"/>
              <w:contextualSpacing/>
              <w:rPr>
                <w:sz w:val="20"/>
                <w:szCs w:val="20"/>
              </w:rPr>
            </w:pPr>
            <w:r w:rsidRPr="00262292">
              <w:rPr>
                <w:sz w:val="20"/>
                <w:szCs w:val="20"/>
              </w:rPr>
              <w:t xml:space="preserve">c) </w:t>
            </w:r>
            <w:r w:rsidRPr="00262292">
              <w:rPr>
                <w:sz w:val="20"/>
                <w:szCs w:val="20"/>
                <w:u w:val="single"/>
              </w:rPr>
              <w:t>dohodki iz oddajanja premoženja v najem</w:t>
            </w:r>
            <w:r w:rsidR="004F3703">
              <w:rPr>
                <w:sz w:val="20"/>
                <w:szCs w:val="20"/>
                <w:u w:val="single"/>
              </w:rPr>
              <w:t>:</w:t>
            </w:r>
            <w:r w:rsidRPr="00262292">
              <w:rPr>
                <w:sz w:val="20"/>
                <w:szCs w:val="20"/>
                <w:u w:val="single"/>
              </w:rPr>
              <w:t xml:space="preserve"> </w:t>
            </w:r>
          </w:p>
          <w:p w14:paraId="524DF128" w14:textId="6886612E" w:rsidR="00C106E6" w:rsidRDefault="004F3703" w:rsidP="00AD68A5">
            <w:pPr>
              <w:pStyle w:val="Neotevilenodstavek"/>
              <w:numPr>
                <w:ilvl w:val="0"/>
                <w:numId w:val="33"/>
              </w:numPr>
              <w:spacing w:before="0" w:after="0" w:line="276" w:lineRule="auto"/>
              <w:contextualSpacing/>
              <w:rPr>
                <w:sz w:val="20"/>
                <w:szCs w:val="20"/>
              </w:rPr>
            </w:pPr>
            <w:r>
              <w:rPr>
                <w:sz w:val="20"/>
                <w:szCs w:val="20"/>
              </w:rPr>
              <w:t>s</w:t>
            </w:r>
            <w:r w:rsidR="00C106E6" w:rsidRPr="00262292">
              <w:rPr>
                <w:sz w:val="20"/>
                <w:szCs w:val="20"/>
              </w:rPr>
              <w:t>topnja dohodnine od dohodka iz oddajanja v najem se določi v višini 25</w:t>
            </w:r>
            <w:r w:rsidR="00FE19F6">
              <w:rPr>
                <w:sz w:val="20"/>
                <w:szCs w:val="20"/>
              </w:rPr>
              <w:t xml:space="preserve"> %</w:t>
            </w:r>
            <w:r w:rsidR="00C106E6" w:rsidRPr="00262292">
              <w:rPr>
                <w:sz w:val="20"/>
                <w:szCs w:val="20"/>
              </w:rPr>
              <w:t>.</w:t>
            </w:r>
          </w:p>
          <w:p w14:paraId="13297782" w14:textId="77777777" w:rsidR="00C106E6" w:rsidRPr="00262292" w:rsidRDefault="00C106E6" w:rsidP="00CC1503">
            <w:pPr>
              <w:pStyle w:val="Neotevilenodstavek"/>
              <w:spacing w:before="0" w:after="0" w:line="276" w:lineRule="auto"/>
              <w:contextualSpacing/>
              <w:rPr>
                <w:sz w:val="20"/>
                <w:szCs w:val="20"/>
              </w:rPr>
            </w:pPr>
          </w:p>
          <w:p w14:paraId="38DA5FE3" w14:textId="4B2E7642" w:rsidR="00C106E6" w:rsidRPr="00262292" w:rsidRDefault="00C106E6" w:rsidP="00CC1503">
            <w:pPr>
              <w:pStyle w:val="Neotevilenodstavek"/>
              <w:spacing w:before="0" w:after="0" w:line="276" w:lineRule="auto"/>
              <w:contextualSpacing/>
              <w:rPr>
                <w:sz w:val="20"/>
                <w:szCs w:val="20"/>
              </w:rPr>
            </w:pPr>
            <w:r w:rsidRPr="00262292">
              <w:rPr>
                <w:sz w:val="20"/>
                <w:szCs w:val="20"/>
              </w:rPr>
              <w:t xml:space="preserve">d) </w:t>
            </w:r>
            <w:r w:rsidRPr="00262292">
              <w:rPr>
                <w:sz w:val="20"/>
                <w:szCs w:val="20"/>
                <w:u w:val="single"/>
              </w:rPr>
              <w:t>dohodki iz kapitala</w:t>
            </w:r>
            <w:r w:rsidR="00CC1503">
              <w:rPr>
                <w:sz w:val="20"/>
                <w:szCs w:val="20"/>
              </w:rPr>
              <w:t>:</w:t>
            </w:r>
          </w:p>
          <w:p w14:paraId="6F44834D" w14:textId="27CE3D61" w:rsidR="004F3703" w:rsidRPr="004F3703" w:rsidRDefault="004F3703" w:rsidP="00AD68A5">
            <w:pPr>
              <w:pStyle w:val="Neotevilenodstavek"/>
              <w:numPr>
                <w:ilvl w:val="0"/>
                <w:numId w:val="33"/>
              </w:numPr>
              <w:spacing w:before="0" w:after="0" w:line="276" w:lineRule="auto"/>
              <w:contextualSpacing/>
              <w:rPr>
                <w:sz w:val="20"/>
              </w:rPr>
            </w:pPr>
            <w:r>
              <w:rPr>
                <w:sz w:val="20"/>
                <w:szCs w:val="20"/>
              </w:rPr>
              <w:t>p</w:t>
            </w:r>
            <w:r w:rsidR="00C106E6" w:rsidRPr="004F3703">
              <w:rPr>
                <w:sz w:val="20"/>
                <w:szCs w:val="20"/>
              </w:rPr>
              <w:t>onovno se uvaja obdavčevanje izplačanih vrednosti delnic ali deležev v primeru odsvojitve delnic ali deležev v okviru pridobivanja lastnih delnic oziroma deležev družbe (razen v primeru, ko družba pridobiva lastne delnice na organiziranem trgu), kot dividend</w:t>
            </w:r>
            <w:r>
              <w:rPr>
                <w:sz w:val="20"/>
                <w:szCs w:val="20"/>
              </w:rPr>
              <w:t>;</w:t>
            </w:r>
          </w:p>
          <w:p w14:paraId="2E1568DD" w14:textId="2225F3C4" w:rsidR="00C830EC" w:rsidRPr="004F3703" w:rsidRDefault="00C830EC" w:rsidP="00AD68A5">
            <w:pPr>
              <w:pStyle w:val="Neotevilenodstavek"/>
              <w:numPr>
                <w:ilvl w:val="0"/>
                <w:numId w:val="33"/>
              </w:numPr>
              <w:spacing w:before="0" w:after="0" w:line="276" w:lineRule="auto"/>
              <w:contextualSpacing/>
              <w:rPr>
                <w:sz w:val="20"/>
              </w:rPr>
            </w:pPr>
            <w:r w:rsidRPr="00D02524">
              <w:rPr>
                <w:rFonts w:eastAsia="Calibri"/>
                <w:sz w:val="20"/>
                <w:szCs w:val="20"/>
              </w:rPr>
              <w:t xml:space="preserve">jasneje </w:t>
            </w:r>
            <w:r>
              <w:rPr>
                <w:rFonts w:eastAsia="Calibri"/>
                <w:sz w:val="20"/>
                <w:szCs w:val="20"/>
              </w:rPr>
              <w:t xml:space="preserve">se </w:t>
            </w:r>
            <w:r w:rsidRPr="00D02524">
              <w:rPr>
                <w:rFonts w:eastAsia="Calibri"/>
                <w:sz w:val="20"/>
                <w:szCs w:val="20"/>
              </w:rPr>
              <w:t>določi, da se tudi povečanje osnovnega kapitala družbe iz sredstev družbe, podobno</w:t>
            </w:r>
            <w:r w:rsidR="00DC26D8">
              <w:rPr>
                <w:rFonts w:eastAsia="Calibri"/>
                <w:sz w:val="20"/>
                <w:szCs w:val="20"/>
              </w:rPr>
              <w:t>,</w:t>
            </w:r>
            <w:r w:rsidRPr="00D02524">
              <w:rPr>
                <w:rFonts w:eastAsia="Calibri"/>
                <w:sz w:val="20"/>
                <w:szCs w:val="20"/>
              </w:rPr>
              <w:t xml:space="preserve"> kot v primeru povečanja osnovnega kapitala družbe z vložki, za namene obdavčevanja z dohodnino šteje kot samostojna (tj. ločena oziroma nova) pridobitev kapitala delničarjev/družbenikov, in sicer prek posebne opredelitve časa pridobitve kapitala v teh primerih</w:t>
            </w:r>
            <w:r>
              <w:rPr>
                <w:rFonts w:eastAsia="Calibri"/>
                <w:sz w:val="20"/>
                <w:szCs w:val="20"/>
              </w:rPr>
              <w:t>;</w:t>
            </w:r>
          </w:p>
          <w:p w14:paraId="6BF6F0A2" w14:textId="77777777" w:rsidR="004F3703" w:rsidRDefault="004F3703" w:rsidP="00AD68A5">
            <w:pPr>
              <w:pStyle w:val="Neotevilenodstavek"/>
              <w:numPr>
                <w:ilvl w:val="0"/>
                <w:numId w:val="33"/>
              </w:numPr>
              <w:spacing w:before="0" w:after="0" w:line="276" w:lineRule="auto"/>
              <w:contextualSpacing/>
              <w:rPr>
                <w:sz w:val="20"/>
              </w:rPr>
            </w:pPr>
            <w:r w:rsidRPr="004F3703">
              <w:rPr>
                <w:sz w:val="20"/>
                <w:szCs w:val="20"/>
              </w:rPr>
              <w:t>o</w:t>
            </w:r>
            <w:r w:rsidRPr="004F3703">
              <w:rPr>
                <w:sz w:val="20"/>
              </w:rPr>
              <w:t>dpravi se možnost odločitve o vključitvi dohodkov iz oddajanja premoženja v najem in dohodkov iz kapitala v letno davčno osnovo.</w:t>
            </w:r>
          </w:p>
          <w:p w14:paraId="5BA4EDB7" w14:textId="77777777" w:rsidR="004F3703" w:rsidRPr="004F3703" w:rsidRDefault="004F3703" w:rsidP="00CC1503">
            <w:pPr>
              <w:pStyle w:val="Neotevilenodstavek"/>
              <w:spacing w:before="0" w:after="0" w:line="276" w:lineRule="auto"/>
              <w:contextualSpacing/>
              <w:rPr>
                <w:sz w:val="20"/>
              </w:rPr>
            </w:pPr>
          </w:p>
          <w:p w14:paraId="61406A08" w14:textId="507BAF85" w:rsidR="004F3703" w:rsidRPr="004F3703" w:rsidRDefault="004F3703" w:rsidP="00CC1503">
            <w:pPr>
              <w:pStyle w:val="Neotevilenodstavek"/>
              <w:spacing w:before="0" w:after="0" w:line="276" w:lineRule="auto"/>
              <w:contextualSpacing/>
              <w:rPr>
                <w:sz w:val="20"/>
              </w:rPr>
            </w:pPr>
            <w:bookmarkStart w:id="0" w:name="_Hlk114153602"/>
            <w:r>
              <w:rPr>
                <w:sz w:val="20"/>
              </w:rPr>
              <w:lastRenderedPageBreak/>
              <w:t xml:space="preserve">e) </w:t>
            </w:r>
            <w:r w:rsidR="00CC1503">
              <w:rPr>
                <w:sz w:val="20"/>
              </w:rPr>
              <w:t>k</w:t>
            </w:r>
            <w:r>
              <w:rPr>
                <w:sz w:val="20"/>
              </w:rPr>
              <w:t>metijstvo:</w:t>
            </w:r>
          </w:p>
          <w:p w14:paraId="76BCD257" w14:textId="7F15518A" w:rsidR="008609C0" w:rsidRPr="008609C0" w:rsidRDefault="008609C0" w:rsidP="001E7596">
            <w:pPr>
              <w:pStyle w:val="Odstavekseznama"/>
              <w:numPr>
                <w:ilvl w:val="0"/>
                <w:numId w:val="33"/>
              </w:numPr>
              <w:spacing w:line="276" w:lineRule="auto"/>
              <w:jc w:val="both"/>
              <w:rPr>
                <w:rFonts w:ascii="Arial" w:hAnsi="Arial" w:cs="Arial"/>
                <w:sz w:val="20"/>
                <w:szCs w:val="22"/>
              </w:rPr>
            </w:pPr>
            <w:r w:rsidRPr="008609C0">
              <w:rPr>
                <w:rFonts w:ascii="Arial" w:hAnsi="Arial" w:cs="Arial"/>
                <w:sz w:val="20"/>
                <w:szCs w:val="22"/>
              </w:rPr>
              <w:t xml:space="preserve">določbe 26. člena </w:t>
            </w:r>
            <w:r>
              <w:rPr>
                <w:rFonts w:ascii="Arial" w:hAnsi="Arial" w:cs="Arial"/>
                <w:sz w:val="20"/>
                <w:szCs w:val="22"/>
              </w:rPr>
              <w:t xml:space="preserve">ZDoh-2 </w:t>
            </w:r>
            <w:r w:rsidRPr="008609C0">
              <w:rPr>
                <w:rFonts w:ascii="Arial" w:hAnsi="Arial" w:cs="Arial"/>
                <w:sz w:val="20"/>
                <w:szCs w:val="22"/>
              </w:rPr>
              <w:t xml:space="preserve">se usklajujejo z novimi pravnimi podlagami za izplačevanje podpor za ukrepe kmetijske politike, vsebinsko urejajo s ciljem namenitve oprostitev tim. zelenim podporam, ter razjasnitvi oprostitev, vezanih na podpore za naložbe, dodaja pa se tudi oprostitev za subvencioniranje zavarovalnih premij v podporo večjemu obsegu zavarovanja kmetijskih pridelkov. </w:t>
            </w:r>
          </w:p>
          <w:bookmarkEnd w:id="0"/>
          <w:p w14:paraId="231E494C" w14:textId="77777777" w:rsidR="00833C5D" w:rsidRDefault="00833C5D" w:rsidP="00CC1503">
            <w:pPr>
              <w:pStyle w:val="Neotevilenodstavek"/>
              <w:spacing w:before="0" w:after="0" w:line="276" w:lineRule="auto"/>
              <w:contextualSpacing/>
              <w:rPr>
                <w:sz w:val="20"/>
              </w:rPr>
            </w:pPr>
          </w:p>
          <w:p w14:paraId="471DF532" w14:textId="4B309DB0" w:rsidR="004F3703" w:rsidRPr="004F3703" w:rsidRDefault="00076F4A" w:rsidP="00CC1503">
            <w:pPr>
              <w:pStyle w:val="Neotevilenodstavek"/>
              <w:spacing w:before="0" w:after="0" w:line="276" w:lineRule="auto"/>
              <w:contextualSpacing/>
              <w:rPr>
                <w:sz w:val="20"/>
              </w:rPr>
            </w:pPr>
            <w:r>
              <w:rPr>
                <w:sz w:val="20"/>
              </w:rPr>
              <w:t>f)</w:t>
            </w:r>
            <w:r w:rsidR="004F3703" w:rsidRPr="004F3703">
              <w:rPr>
                <w:sz w:val="20"/>
              </w:rPr>
              <w:t xml:space="preserve"> </w:t>
            </w:r>
            <w:r w:rsidR="00CC1503">
              <w:rPr>
                <w:sz w:val="20"/>
              </w:rPr>
              <w:t>n</w:t>
            </w:r>
            <w:r w:rsidR="004F3703" w:rsidRPr="004F3703">
              <w:rPr>
                <w:sz w:val="20"/>
              </w:rPr>
              <w:t>amenitev dela dohodnine za donacije</w:t>
            </w:r>
            <w:r>
              <w:rPr>
                <w:sz w:val="20"/>
              </w:rPr>
              <w:t>:</w:t>
            </w:r>
          </w:p>
          <w:p w14:paraId="2605D813" w14:textId="5AA76A9C" w:rsidR="004F3703" w:rsidRPr="006507A9" w:rsidRDefault="00AD68A5" w:rsidP="005A492F">
            <w:pPr>
              <w:pStyle w:val="Odstavekseznama"/>
              <w:numPr>
                <w:ilvl w:val="0"/>
                <w:numId w:val="33"/>
              </w:numPr>
              <w:spacing w:line="276" w:lineRule="auto"/>
              <w:contextualSpacing/>
              <w:jc w:val="both"/>
              <w:rPr>
                <w:sz w:val="20"/>
                <w:szCs w:val="20"/>
              </w:rPr>
            </w:pPr>
            <w:bookmarkStart w:id="1" w:name="_Hlk114495452"/>
            <w:r>
              <w:rPr>
                <w:rFonts w:ascii="Arial" w:hAnsi="Arial" w:cs="Arial"/>
                <w:sz w:val="20"/>
                <w:szCs w:val="20"/>
              </w:rPr>
              <w:t xml:space="preserve">v ZDoh-2 se prenesejo že veljavne rešitve instituta namenitve dela dohodnine za donacije, trenutno urejene v drugih zakonih. Gre za višino deleža dohodnine, ki jo lahko rezident nameni upravičencem do donacij, to je 1 % odmerjene dohodnine, in pa za nove upravičence do donacij iz dela dohodnine, to so ustanovitelji šolskih skladov, katerim je višina donacije omejena na največ 0,3 % dohodnine. </w:t>
            </w:r>
            <w:bookmarkEnd w:id="1"/>
            <w:r>
              <w:rPr>
                <w:rFonts w:ascii="Arial" w:hAnsi="Arial" w:cs="Arial"/>
                <w:sz w:val="20"/>
                <w:szCs w:val="20"/>
              </w:rPr>
              <w:t>Dodatno se jasno opredeli kot upravičence do donacij tudi sestavne dele registriranih cerkva in drugih verskih skupnosti, ki so pridobili pravno osebnost.</w:t>
            </w:r>
          </w:p>
        </w:tc>
      </w:tr>
      <w:tr w:rsidR="00C106E6" w:rsidRPr="008D1759" w14:paraId="7BC59302" w14:textId="77777777" w:rsidTr="00833C5D">
        <w:tc>
          <w:tcPr>
            <w:tcW w:w="9319" w:type="dxa"/>
            <w:gridSpan w:val="4"/>
          </w:tcPr>
          <w:p w14:paraId="138BF869" w14:textId="77777777" w:rsidR="00C106E6" w:rsidRPr="008D1759" w:rsidRDefault="00C106E6" w:rsidP="00EC45FA">
            <w:pPr>
              <w:pStyle w:val="Oddelek"/>
              <w:numPr>
                <w:ilvl w:val="0"/>
                <w:numId w:val="0"/>
              </w:numPr>
              <w:spacing w:before="0" w:after="0" w:line="276" w:lineRule="auto"/>
              <w:jc w:val="left"/>
              <w:rPr>
                <w:sz w:val="20"/>
                <w:szCs w:val="20"/>
              </w:rPr>
            </w:pPr>
            <w:r>
              <w:rPr>
                <w:sz w:val="20"/>
                <w:szCs w:val="20"/>
              </w:rPr>
              <w:lastRenderedPageBreak/>
              <w:t>6</w:t>
            </w:r>
            <w:r w:rsidRPr="008D1759">
              <w:rPr>
                <w:sz w:val="20"/>
                <w:szCs w:val="20"/>
              </w:rPr>
              <w:t>. Presoja posledic</w:t>
            </w:r>
            <w:r>
              <w:rPr>
                <w:sz w:val="20"/>
                <w:szCs w:val="20"/>
              </w:rPr>
              <w:t xml:space="preserve"> za:</w:t>
            </w:r>
          </w:p>
        </w:tc>
      </w:tr>
      <w:tr w:rsidR="00C106E6" w:rsidRPr="008D1759" w14:paraId="1D95B461" w14:textId="77777777" w:rsidTr="00833C5D">
        <w:tc>
          <w:tcPr>
            <w:tcW w:w="1832" w:type="dxa"/>
          </w:tcPr>
          <w:p w14:paraId="65A59CC6" w14:textId="77777777" w:rsidR="00C106E6" w:rsidRPr="008D1759" w:rsidRDefault="00C106E6" w:rsidP="00EC45FA">
            <w:pPr>
              <w:pStyle w:val="Neotevilenodstavek"/>
              <w:spacing w:before="0" w:after="0" w:line="276" w:lineRule="auto"/>
              <w:ind w:left="360"/>
              <w:rPr>
                <w:iCs/>
                <w:sz w:val="20"/>
                <w:szCs w:val="20"/>
              </w:rPr>
            </w:pPr>
            <w:r w:rsidRPr="008D1759">
              <w:rPr>
                <w:iCs/>
                <w:sz w:val="20"/>
                <w:szCs w:val="20"/>
              </w:rPr>
              <w:t>a)</w:t>
            </w:r>
          </w:p>
        </w:tc>
        <w:tc>
          <w:tcPr>
            <w:tcW w:w="5302" w:type="dxa"/>
            <w:gridSpan w:val="2"/>
          </w:tcPr>
          <w:p w14:paraId="1D7C4B3F" w14:textId="77777777" w:rsidR="00C106E6" w:rsidRPr="008D1759" w:rsidRDefault="00C106E6" w:rsidP="00EC45FA">
            <w:pPr>
              <w:pStyle w:val="Neotevilenodstavek"/>
              <w:spacing w:before="0" w:after="0" w:line="276" w:lineRule="auto"/>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185" w:type="dxa"/>
            <w:vAlign w:val="center"/>
          </w:tcPr>
          <w:p w14:paraId="445F7844" w14:textId="77777777" w:rsidR="00C106E6" w:rsidRPr="00FD688B" w:rsidRDefault="00C106E6" w:rsidP="00EC45FA">
            <w:pPr>
              <w:pStyle w:val="Neotevilenodstavek"/>
              <w:spacing w:before="0" w:after="0" w:line="276" w:lineRule="auto"/>
              <w:jc w:val="center"/>
              <w:rPr>
                <w:iCs/>
                <w:sz w:val="20"/>
                <w:szCs w:val="20"/>
              </w:rPr>
            </w:pPr>
            <w:r w:rsidRPr="006E657E">
              <w:rPr>
                <w:b/>
                <w:sz w:val="20"/>
                <w:szCs w:val="20"/>
                <w:u w:val="single"/>
              </w:rPr>
              <w:t>DA</w:t>
            </w:r>
            <w:r w:rsidRPr="00FD688B">
              <w:rPr>
                <w:sz w:val="20"/>
                <w:szCs w:val="20"/>
              </w:rPr>
              <w:t>/NE</w:t>
            </w:r>
          </w:p>
        </w:tc>
      </w:tr>
      <w:tr w:rsidR="00C106E6" w:rsidRPr="008D1759" w14:paraId="444C2900" w14:textId="77777777" w:rsidTr="00833C5D">
        <w:tc>
          <w:tcPr>
            <w:tcW w:w="1832" w:type="dxa"/>
          </w:tcPr>
          <w:p w14:paraId="1335A164" w14:textId="77777777" w:rsidR="00C106E6" w:rsidRPr="008D1759" w:rsidRDefault="00C106E6" w:rsidP="00EC45FA">
            <w:pPr>
              <w:pStyle w:val="Neotevilenodstavek"/>
              <w:spacing w:before="0" w:after="0" w:line="276" w:lineRule="auto"/>
              <w:ind w:left="360"/>
              <w:rPr>
                <w:iCs/>
                <w:sz w:val="20"/>
                <w:szCs w:val="20"/>
              </w:rPr>
            </w:pPr>
            <w:r w:rsidRPr="008D1759">
              <w:rPr>
                <w:iCs/>
                <w:sz w:val="20"/>
                <w:szCs w:val="20"/>
              </w:rPr>
              <w:t>b)</w:t>
            </w:r>
          </w:p>
        </w:tc>
        <w:tc>
          <w:tcPr>
            <w:tcW w:w="5302" w:type="dxa"/>
            <w:gridSpan w:val="2"/>
          </w:tcPr>
          <w:p w14:paraId="0B7D3CFE" w14:textId="77777777" w:rsidR="00C106E6" w:rsidRPr="008D1759" w:rsidRDefault="00C106E6" w:rsidP="00EC45FA">
            <w:pPr>
              <w:pStyle w:val="Neotevilenodstavek"/>
              <w:spacing w:before="0" w:after="0" w:line="276" w:lineRule="auto"/>
              <w:rPr>
                <w:iCs/>
                <w:sz w:val="20"/>
                <w:szCs w:val="20"/>
              </w:rPr>
            </w:pPr>
            <w:r w:rsidRPr="008D1759">
              <w:rPr>
                <w:bCs/>
                <w:sz w:val="20"/>
                <w:szCs w:val="20"/>
              </w:rPr>
              <w:t>usklajenost slovenskega pravnega reda s pravnim redom Evropske unije</w:t>
            </w:r>
          </w:p>
        </w:tc>
        <w:tc>
          <w:tcPr>
            <w:tcW w:w="2185" w:type="dxa"/>
            <w:vAlign w:val="center"/>
          </w:tcPr>
          <w:p w14:paraId="5E999092" w14:textId="77777777" w:rsidR="00C106E6" w:rsidRPr="00FD688B" w:rsidRDefault="00C106E6" w:rsidP="00EC45FA">
            <w:pPr>
              <w:pStyle w:val="Neotevilenodstavek"/>
              <w:spacing w:before="0" w:after="0" w:line="276" w:lineRule="auto"/>
              <w:jc w:val="center"/>
              <w:rPr>
                <w:iCs/>
                <w:sz w:val="20"/>
                <w:szCs w:val="20"/>
              </w:rPr>
            </w:pPr>
            <w:r w:rsidRPr="00FD688B">
              <w:rPr>
                <w:sz w:val="20"/>
                <w:szCs w:val="20"/>
              </w:rPr>
              <w:t>DA/</w:t>
            </w:r>
            <w:r w:rsidRPr="006E657E">
              <w:rPr>
                <w:b/>
                <w:sz w:val="20"/>
                <w:szCs w:val="20"/>
                <w:u w:val="single"/>
              </w:rPr>
              <w:t>NE</w:t>
            </w:r>
          </w:p>
        </w:tc>
      </w:tr>
      <w:tr w:rsidR="00C106E6" w:rsidRPr="008D1759" w14:paraId="47FBE9BA" w14:textId="77777777" w:rsidTr="00833C5D">
        <w:tc>
          <w:tcPr>
            <w:tcW w:w="1832" w:type="dxa"/>
          </w:tcPr>
          <w:p w14:paraId="38CDB76C" w14:textId="77777777" w:rsidR="00C106E6" w:rsidRPr="008D1759" w:rsidRDefault="00C106E6" w:rsidP="00EC45FA">
            <w:pPr>
              <w:pStyle w:val="Neotevilenodstavek"/>
              <w:spacing w:before="0" w:after="0" w:line="276" w:lineRule="auto"/>
              <w:ind w:left="360"/>
              <w:rPr>
                <w:iCs/>
                <w:sz w:val="20"/>
                <w:szCs w:val="20"/>
              </w:rPr>
            </w:pPr>
            <w:r w:rsidRPr="008D1759">
              <w:rPr>
                <w:iCs/>
                <w:sz w:val="20"/>
                <w:szCs w:val="20"/>
              </w:rPr>
              <w:t>c)</w:t>
            </w:r>
          </w:p>
        </w:tc>
        <w:tc>
          <w:tcPr>
            <w:tcW w:w="5302" w:type="dxa"/>
            <w:gridSpan w:val="2"/>
          </w:tcPr>
          <w:p w14:paraId="47027C95" w14:textId="77777777" w:rsidR="00C106E6" w:rsidRPr="008D1759" w:rsidRDefault="00C106E6" w:rsidP="00EC45FA">
            <w:pPr>
              <w:pStyle w:val="Neotevilenodstavek"/>
              <w:spacing w:before="0" w:after="0" w:line="276" w:lineRule="auto"/>
              <w:rPr>
                <w:iCs/>
                <w:sz w:val="20"/>
                <w:szCs w:val="20"/>
              </w:rPr>
            </w:pPr>
            <w:r w:rsidRPr="008D1759">
              <w:rPr>
                <w:sz w:val="20"/>
                <w:szCs w:val="20"/>
              </w:rPr>
              <w:t>administrativne posledice</w:t>
            </w:r>
          </w:p>
        </w:tc>
        <w:tc>
          <w:tcPr>
            <w:tcW w:w="2185" w:type="dxa"/>
            <w:vAlign w:val="center"/>
          </w:tcPr>
          <w:p w14:paraId="45722B82" w14:textId="77777777" w:rsidR="00C106E6" w:rsidRPr="00FD688B" w:rsidRDefault="00C106E6" w:rsidP="00EC45FA">
            <w:pPr>
              <w:pStyle w:val="Neotevilenodstavek"/>
              <w:spacing w:before="0" w:after="0" w:line="276" w:lineRule="auto"/>
              <w:jc w:val="center"/>
              <w:rPr>
                <w:sz w:val="20"/>
                <w:szCs w:val="20"/>
              </w:rPr>
            </w:pPr>
            <w:r w:rsidRPr="008B594C">
              <w:rPr>
                <w:b/>
                <w:sz w:val="20"/>
                <w:szCs w:val="20"/>
                <w:u w:val="single"/>
              </w:rPr>
              <w:t>DA</w:t>
            </w:r>
            <w:r w:rsidRPr="00FD688B">
              <w:rPr>
                <w:sz w:val="20"/>
                <w:szCs w:val="20"/>
              </w:rPr>
              <w:t>/NE</w:t>
            </w:r>
          </w:p>
        </w:tc>
      </w:tr>
      <w:tr w:rsidR="00C106E6" w:rsidRPr="008D1759" w14:paraId="54254EA8" w14:textId="77777777" w:rsidTr="00833C5D">
        <w:tc>
          <w:tcPr>
            <w:tcW w:w="1832" w:type="dxa"/>
          </w:tcPr>
          <w:p w14:paraId="264253B2" w14:textId="77777777" w:rsidR="00C106E6" w:rsidRPr="008D1759" w:rsidRDefault="00C106E6" w:rsidP="00EC45FA">
            <w:pPr>
              <w:pStyle w:val="Neotevilenodstavek"/>
              <w:spacing w:before="0" w:after="0" w:line="276" w:lineRule="auto"/>
              <w:ind w:left="360"/>
              <w:rPr>
                <w:iCs/>
                <w:sz w:val="20"/>
                <w:szCs w:val="20"/>
              </w:rPr>
            </w:pPr>
            <w:r w:rsidRPr="008D1759">
              <w:rPr>
                <w:iCs/>
                <w:sz w:val="20"/>
                <w:szCs w:val="20"/>
              </w:rPr>
              <w:t>č)</w:t>
            </w:r>
          </w:p>
        </w:tc>
        <w:tc>
          <w:tcPr>
            <w:tcW w:w="5302" w:type="dxa"/>
            <w:gridSpan w:val="2"/>
          </w:tcPr>
          <w:p w14:paraId="5991A64F" w14:textId="02344977" w:rsidR="00C106E6" w:rsidRPr="008D1759" w:rsidRDefault="00C106E6" w:rsidP="00EC45FA">
            <w:pPr>
              <w:pStyle w:val="Neotevilenodstavek"/>
              <w:spacing w:before="0" w:after="0" w:line="276" w:lineRule="auto"/>
              <w:rPr>
                <w:bCs/>
                <w:sz w:val="20"/>
                <w:szCs w:val="20"/>
              </w:rPr>
            </w:pPr>
            <w:r>
              <w:rPr>
                <w:sz w:val="20"/>
                <w:szCs w:val="20"/>
              </w:rPr>
              <w:t>gospodarstvo, zlasti</w:t>
            </w:r>
            <w:r w:rsidRPr="008D1759">
              <w:rPr>
                <w:bCs/>
                <w:sz w:val="20"/>
                <w:szCs w:val="20"/>
              </w:rPr>
              <w:t xml:space="preserve"> mala in srednja podjetja ter konkurenčnost podjetij</w:t>
            </w:r>
            <w:r>
              <w:rPr>
                <w:bCs/>
                <w:sz w:val="20"/>
                <w:szCs w:val="20"/>
              </w:rPr>
              <w:t xml:space="preserve"> </w:t>
            </w:r>
            <w:r w:rsidRPr="009E5D35">
              <w:rPr>
                <w:bCs/>
                <w:sz w:val="20"/>
                <w:szCs w:val="20"/>
              </w:rPr>
              <w:t>– MSP test v prilogi</w:t>
            </w:r>
          </w:p>
        </w:tc>
        <w:tc>
          <w:tcPr>
            <w:tcW w:w="2185" w:type="dxa"/>
            <w:vAlign w:val="center"/>
          </w:tcPr>
          <w:p w14:paraId="43A60BF3" w14:textId="77777777" w:rsidR="00C106E6" w:rsidRPr="00FD688B" w:rsidRDefault="00C106E6" w:rsidP="00EC45FA">
            <w:pPr>
              <w:pStyle w:val="Neotevilenodstavek"/>
              <w:spacing w:before="0" w:after="0" w:line="276" w:lineRule="auto"/>
              <w:jc w:val="center"/>
              <w:rPr>
                <w:iCs/>
                <w:sz w:val="20"/>
                <w:szCs w:val="20"/>
              </w:rPr>
            </w:pPr>
            <w:r w:rsidRPr="007B6895">
              <w:rPr>
                <w:sz w:val="20"/>
                <w:szCs w:val="20"/>
              </w:rPr>
              <w:t>DA</w:t>
            </w:r>
            <w:r w:rsidRPr="00FD688B">
              <w:rPr>
                <w:sz w:val="20"/>
                <w:szCs w:val="20"/>
              </w:rPr>
              <w:t>/</w:t>
            </w:r>
            <w:r w:rsidRPr="007B6895">
              <w:rPr>
                <w:b/>
                <w:sz w:val="20"/>
                <w:szCs w:val="20"/>
                <w:u w:val="single"/>
              </w:rPr>
              <w:t>NE</w:t>
            </w:r>
          </w:p>
        </w:tc>
      </w:tr>
      <w:tr w:rsidR="00C106E6" w:rsidRPr="008D1759" w14:paraId="1042BB05" w14:textId="77777777" w:rsidTr="00833C5D">
        <w:tc>
          <w:tcPr>
            <w:tcW w:w="1832" w:type="dxa"/>
          </w:tcPr>
          <w:p w14:paraId="364753A8" w14:textId="77777777" w:rsidR="00C106E6" w:rsidRPr="008D1759" w:rsidRDefault="00C106E6" w:rsidP="00EC45FA">
            <w:pPr>
              <w:pStyle w:val="Neotevilenodstavek"/>
              <w:spacing w:before="0" w:after="0" w:line="276" w:lineRule="auto"/>
              <w:ind w:left="360"/>
              <w:rPr>
                <w:iCs/>
                <w:sz w:val="20"/>
                <w:szCs w:val="20"/>
              </w:rPr>
            </w:pPr>
            <w:r w:rsidRPr="008D1759">
              <w:rPr>
                <w:iCs/>
                <w:sz w:val="20"/>
                <w:szCs w:val="20"/>
              </w:rPr>
              <w:t>d)</w:t>
            </w:r>
          </w:p>
        </w:tc>
        <w:tc>
          <w:tcPr>
            <w:tcW w:w="5302" w:type="dxa"/>
            <w:gridSpan w:val="2"/>
          </w:tcPr>
          <w:p w14:paraId="69611897" w14:textId="77777777" w:rsidR="00C106E6" w:rsidRPr="008D1759" w:rsidRDefault="00C106E6" w:rsidP="00EC45FA">
            <w:pPr>
              <w:pStyle w:val="Neotevilenodstavek"/>
              <w:spacing w:before="0" w:after="0" w:line="276" w:lineRule="auto"/>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185" w:type="dxa"/>
            <w:vAlign w:val="center"/>
          </w:tcPr>
          <w:p w14:paraId="4CF93A69" w14:textId="77777777" w:rsidR="00C106E6" w:rsidRPr="00FD688B" w:rsidRDefault="00C106E6" w:rsidP="00EC45FA">
            <w:pPr>
              <w:pStyle w:val="Neotevilenodstavek"/>
              <w:spacing w:before="0" w:after="0" w:line="276" w:lineRule="auto"/>
              <w:jc w:val="center"/>
              <w:rPr>
                <w:iCs/>
                <w:sz w:val="20"/>
                <w:szCs w:val="20"/>
              </w:rPr>
            </w:pPr>
            <w:r w:rsidRPr="00FD688B">
              <w:rPr>
                <w:sz w:val="20"/>
                <w:szCs w:val="20"/>
              </w:rPr>
              <w:t>DA/</w:t>
            </w:r>
            <w:r w:rsidRPr="008B594C">
              <w:rPr>
                <w:b/>
                <w:sz w:val="20"/>
                <w:szCs w:val="20"/>
                <w:u w:val="single"/>
              </w:rPr>
              <w:t>NE</w:t>
            </w:r>
          </w:p>
        </w:tc>
      </w:tr>
      <w:tr w:rsidR="00C106E6" w:rsidRPr="008D1759" w14:paraId="696E671A" w14:textId="77777777" w:rsidTr="00833C5D">
        <w:tc>
          <w:tcPr>
            <w:tcW w:w="1832" w:type="dxa"/>
          </w:tcPr>
          <w:p w14:paraId="6B0D5F5E" w14:textId="77777777" w:rsidR="00C106E6" w:rsidRPr="008D1759" w:rsidRDefault="00C106E6" w:rsidP="00EC45FA">
            <w:pPr>
              <w:pStyle w:val="Neotevilenodstavek"/>
              <w:spacing w:before="0" w:after="0" w:line="276" w:lineRule="auto"/>
              <w:ind w:left="360"/>
              <w:rPr>
                <w:iCs/>
                <w:sz w:val="20"/>
                <w:szCs w:val="20"/>
              </w:rPr>
            </w:pPr>
            <w:r w:rsidRPr="008D1759">
              <w:rPr>
                <w:iCs/>
                <w:sz w:val="20"/>
                <w:szCs w:val="20"/>
              </w:rPr>
              <w:t>e)</w:t>
            </w:r>
          </w:p>
        </w:tc>
        <w:tc>
          <w:tcPr>
            <w:tcW w:w="5302" w:type="dxa"/>
            <w:gridSpan w:val="2"/>
          </w:tcPr>
          <w:p w14:paraId="7B108DF5" w14:textId="77777777" w:rsidR="00C106E6" w:rsidRPr="008D1759" w:rsidRDefault="00C106E6" w:rsidP="00EC45FA">
            <w:pPr>
              <w:pStyle w:val="Neotevilenodstavek"/>
              <w:spacing w:before="0" w:after="0" w:line="276" w:lineRule="auto"/>
              <w:rPr>
                <w:bCs/>
                <w:sz w:val="20"/>
                <w:szCs w:val="20"/>
              </w:rPr>
            </w:pPr>
            <w:r w:rsidRPr="008D1759">
              <w:rPr>
                <w:bCs/>
                <w:sz w:val="20"/>
                <w:szCs w:val="20"/>
              </w:rPr>
              <w:t>socialno področje</w:t>
            </w:r>
          </w:p>
        </w:tc>
        <w:tc>
          <w:tcPr>
            <w:tcW w:w="2185" w:type="dxa"/>
            <w:vAlign w:val="center"/>
          </w:tcPr>
          <w:p w14:paraId="4522F71A" w14:textId="77777777" w:rsidR="00C106E6" w:rsidRPr="00FD688B" w:rsidRDefault="00C106E6" w:rsidP="00EC45FA">
            <w:pPr>
              <w:pStyle w:val="Neotevilenodstavek"/>
              <w:spacing w:before="0" w:after="0" w:line="276" w:lineRule="auto"/>
              <w:jc w:val="center"/>
              <w:rPr>
                <w:iCs/>
                <w:sz w:val="20"/>
                <w:szCs w:val="20"/>
              </w:rPr>
            </w:pPr>
            <w:r w:rsidRPr="008B594C">
              <w:rPr>
                <w:b/>
                <w:sz w:val="20"/>
                <w:szCs w:val="20"/>
                <w:u w:val="single"/>
              </w:rPr>
              <w:t>DA</w:t>
            </w:r>
            <w:r w:rsidRPr="00FD688B">
              <w:rPr>
                <w:sz w:val="20"/>
                <w:szCs w:val="20"/>
              </w:rPr>
              <w:t>/NE</w:t>
            </w:r>
          </w:p>
        </w:tc>
      </w:tr>
      <w:tr w:rsidR="00C106E6" w:rsidRPr="008D1759" w14:paraId="5D8FD014" w14:textId="77777777" w:rsidTr="00833C5D">
        <w:tc>
          <w:tcPr>
            <w:tcW w:w="1832" w:type="dxa"/>
            <w:tcBorders>
              <w:bottom w:val="single" w:sz="4" w:space="0" w:color="auto"/>
            </w:tcBorders>
          </w:tcPr>
          <w:p w14:paraId="4B76354C" w14:textId="77777777" w:rsidR="00C106E6" w:rsidRPr="008D1759" w:rsidRDefault="00C106E6" w:rsidP="00EC45FA">
            <w:pPr>
              <w:pStyle w:val="Neotevilenodstavek"/>
              <w:spacing w:before="0" w:after="0" w:line="276" w:lineRule="auto"/>
              <w:ind w:left="360"/>
              <w:rPr>
                <w:iCs/>
                <w:sz w:val="20"/>
                <w:szCs w:val="20"/>
              </w:rPr>
            </w:pPr>
            <w:r w:rsidRPr="008D1759">
              <w:rPr>
                <w:iCs/>
                <w:sz w:val="20"/>
                <w:szCs w:val="20"/>
              </w:rPr>
              <w:t>f)</w:t>
            </w:r>
          </w:p>
        </w:tc>
        <w:tc>
          <w:tcPr>
            <w:tcW w:w="5302" w:type="dxa"/>
            <w:gridSpan w:val="2"/>
            <w:tcBorders>
              <w:bottom w:val="single" w:sz="4" w:space="0" w:color="auto"/>
            </w:tcBorders>
          </w:tcPr>
          <w:p w14:paraId="10E7912F" w14:textId="77777777" w:rsidR="00C106E6" w:rsidRPr="008D1759" w:rsidRDefault="00C106E6" w:rsidP="00EC45FA">
            <w:pPr>
              <w:pStyle w:val="Neotevilenodstavek"/>
              <w:spacing w:before="0" w:after="0" w:line="276" w:lineRule="auto"/>
              <w:rPr>
                <w:bCs/>
                <w:sz w:val="20"/>
                <w:szCs w:val="20"/>
              </w:rPr>
            </w:pPr>
            <w:r>
              <w:rPr>
                <w:bCs/>
                <w:sz w:val="20"/>
                <w:szCs w:val="20"/>
              </w:rPr>
              <w:t>dokumente</w:t>
            </w:r>
            <w:r w:rsidRPr="008D1759">
              <w:rPr>
                <w:bCs/>
                <w:sz w:val="20"/>
                <w:szCs w:val="20"/>
              </w:rPr>
              <w:t xml:space="preserve"> razvojnega načrtovanja:</w:t>
            </w:r>
          </w:p>
          <w:p w14:paraId="1EB9731F" w14:textId="77777777" w:rsidR="00C106E6" w:rsidRPr="008D1759" w:rsidRDefault="00C106E6" w:rsidP="00EC45FA">
            <w:pPr>
              <w:pStyle w:val="Neotevilenodstavek"/>
              <w:numPr>
                <w:ilvl w:val="0"/>
                <w:numId w:val="9"/>
              </w:numPr>
              <w:spacing w:before="0" w:after="0" w:line="276" w:lineRule="auto"/>
              <w:rPr>
                <w:bCs/>
                <w:sz w:val="20"/>
                <w:szCs w:val="20"/>
              </w:rPr>
            </w:pPr>
            <w:r w:rsidRPr="008D1759">
              <w:rPr>
                <w:bCs/>
                <w:sz w:val="20"/>
                <w:szCs w:val="20"/>
              </w:rPr>
              <w:t>nacionalne d</w:t>
            </w:r>
            <w:r>
              <w:rPr>
                <w:bCs/>
                <w:sz w:val="20"/>
                <w:szCs w:val="20"/>
              </w:rPr>
              <w:t>okumente razvojnega načrtovanja</w:t>
            </w:r>
          </w:p>
          <w:p w14:paraId="4B8224D5" w14:textId="77777777" w:rsidR="00C106E6" w:rsidRPr="008D1759" w:rsidRDefault="00C106E6" w:rsidP="00EC45FA">
            <w:pPr>
              <w:pStyle w:val="Neotevilenodstavek"/>
              <w:numPr>
                <w:ilvl w:val="0"/>
                <w:numId w:val="9"/>
              </w:numPr>
              <w:spacing w:before="0" w:after="0" w:line="276" w:lineRule="auto"/>
              <w:rPr>
                <w:bCs/>
                <w:sz w:val="20"/>
                <w:szCs w:val="20"/>
              </w:rPr>
            </w:pPr>
            <w:r w:rsidRPr="008D1759">
              <w:rPr>
                <w:bCs/>
                <w:sz w:val="20"/>
                <w:szCs w:val="20"/>
              </w:rPr>
              <w:t>razvojne politike na ravni programov po strukturi razvojne klasifikacije programskega proračuna</w:t>
            </w:r>
          </w:p>
          <w:p w14:paraId="5ACBDE89" w14:textId="77777777" w:rsidR="00C106E6" w:rsidRPr="008D1759" w:rsidRDefault="00C106E6" w:rsidP="00EC45FA">
            <w:pPr>
              <w:pStyle w:val="Neotevilenodstavek"/>
              <w:numPr>
                <w:ilvl w:val="0"/>
                <w:numId w:val="9"/>
              </w:numPr>
              <w:spacing w:before="0" w:after="0" w:line="276" w:lineRule="auto"/>
              <w:rPr>
                <w:bCs/>
                <w:sz w:val="20"/>
                <w:szCs w:val="20"/>
              </w:rPr>
            </w:pPr>
            <w:r w:rsidRPr="008D1759">
              <w:rPr>
                <w:bCs/>
                <w:sz w:val="20"/>
                <w:szCs w:val="20"/>
              </w:rPr>
              <w:t>razvojne dokumente Evropske unije in mednarodnih organizacij</w:t>
            </w:r>
          </w:p>
        </w:tc>
        <w:tc>
          <w:tcPr>
            <w:tcW w:w="2185" w:type="dxa"/>
            <w:tcBorders>
              <w:bottom w:val="single" w:sz="4" w:space="0" w:color="auto"/>
            </w:tcBorders>
            <w:vAlign w:val="center"/>
          </w:tcPr>
          <w:p w14:paraId="5A2521D5" w14:textId="77777777" w:rsidR="00C106E6" w:rsidRPr="00FD688B" w:rsidRDefault="00C106E6" w:rsidP="00EC45FA">
            <w:pPr>
              <w:pStyle w:val="Neotevilenodstavek"/>
              <w:spacing w:before="0" w:after="0" w:line="276" w:lineRule="auto"/>
              <w:jc w:val="center"/>
              <w:rPr>
                <w:iCs/>
                <w:sz w:val="20"/>
                <w:szCs w:val="20"/>
              </w:rPr>
            </w:pPr>
            <w:r w:rsidRPr="00FD688B">
              <w:rPr>
                <w:sz w:val="20"/>
                <w:szCs w:val="20"/>
              </w:rPr>
              <w:t>DA/</w:t>
            </w:r>
            <w:r w:rsidRPr="008B594C">
              <w:rPr>
                <w:b/>
                <w:sz w:val="20"/>
                <w:szCs w:val="20"/>
                <w:u w:val="single"/>
              </w:rPr>
              <w:t>NE</w:t>
            </w:r>
          </w:p>
        </w:tc>
      </w:tr>
      <w:tr w:rsidR="00C106E6" w:rsidRPr="008D1759" w14:paraId="1005BC5C" w14:textId="77777777" w:rsidTr="00833C5D">
        <w:tc>
          <w:tcPr>
            <w:tcW w:w="9319" w:type="dxa"/>
            <w:gridSpan w:val="4"/>
            <w:tcBorders>
              <w:top w:val="single" w:sz="4" w:space="0" w:color="auto"/>
              <w:left w:val="single" w:sz="4" w:space="0" w:color="auto"/>
              <w:bottom w:val="single" w:sz="4" w:space="0" w:color="auto"/>
              <w:right w:val="single" w:sz="4" w:space="0" w:color="auto"/>
            </w:tcBorders>
          </w:tcPr>
          <w:p w14:paraId="712E7816" w14:textId="77777777" w:rsidR="00C106E6" w:rsidRPr="008D1759" w:rsidRDefault="00C106E6" w:rsidP="00EC45FA">
            <w:pPr>
              <w:pStyle w:val="Oddelek"/>
              <w:widowControl w:val="0"/>
              <w:numPr>
                <w:ilvl w:val="0"/>
                <w:numId w:val="0"/>
              </w:numPr>
              <w:spacing w:before="0" w:after="0" w:line="276" w:lineRule="auto"/>
              <w:jc w:val="both"/>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1EC1E89E" w14:textId="0A70BFEF" w:rsidR="00C106E6" w:rsidRPr="001E7596" w:rsidRDefault="00D01BA8" w:rsidP="001E7596">
            <w:pPr>
              <w:spacing w:after="0" w:line="276" w:lineRule="auto"/>
              <w:jc w:val="both"/>
              <w:rPr>
                <w:rFonts w:ascii="Arial" w:hAnsi="Arial" w:cs="Arial"/>
                <w:sz w:val="20"/>
                <w:szCs w:val="20"/>
                <w:highlight w:val="yellow"/>
              </w:rPr>
            </w:pPr>
            <w:r w:rsidRPr="00865D0C">
              <w:rPr>
                <w:rFonts w:ascii="Arial" w:hAnsi="Arial" w:cs="Arial"/>
                <w:sz w:val="20"/>
                <w:szCs w:val="20"/>
              </w:rPr>
              <w:t xml:space="preserve">Ocenjujemo, da bodo predlagane rešitve zakona v letu 2023 okrepile javnofinančne prihodke iz naslova dohodnine. Odmerjena dohodnina za leto 2023 se bo povečala za okoli </w:t>
            </w:r>
            <w:r>
              <w:rPr>
                <w:rFonts w:ascii="Arial" w:hAnsi="Arial" w:cs="Arial"/>
                <w:sz w:val="20"/>
                <w:szCs w:val="20"/>
              </w:rPr>
              <w:t>1</w:t>
            </w:r>
            <w:r w:rsidR="55F2124F">
              <w:rPr>
                <w:rFonts w:ascii="Arial" w:hAnsi="Arial" w:cs="Arial"/>
                <w:sz w:val="20"/>
                <w:szCs w:val="20"/>
              </w:rPr>
              <w:t>12</w:t>
            </w:r>
            <w:r w:rsidRPr="00865D0C">
              <w:rPr>
                <w:rFonts w:ascii="Arial" w:hAnsi="Arial" w:cs="Arial"/>
                <w:sz w:val="20"/>
                <w:szCs w:val="20"/>
              </w:rPr>
              <w:t xml:space="preserve"> mio EUR glede na dohodnino, ki bi bila odmerjena, če bi veljal trenutno veljavni sistem za leto 2023. </w:t>
            </w:r>
            <w:r w:rsidRPr="00865D0C">
              <w:rPr>
                <w:rFonts w:ascii="Arial" w:eastAsia="Arial" w:hAnsi="Arial" w:cs="Arial"/>
                <w:sz w:val="20"/>
                <w:szCs w:val="20"/>
              </w:rPr>
              <w:t xml:space="preserve">Prav tako spremembe pomenijo, da ne bo prišlo do dodatnega znižanja odmerjene dohodnine zaradi </w:t>
            </w:r>
            <w:r>
              <w:rPr>
                <w:rFonts w:ascii="Arial" w:eastAsia="Arial" w:hAnsi="Arial" w:cs="Arial"/>
                <w:sz w:val="20"/>
                <w:szCs w:val="20"/>
              </w:rPr>
              <w:t>nadaljnjih</w:t>
            </w:r>
            <w:r w:rsidRPr="00865D0C">
              <w:rPr>
                <w:rFonts w:ascii="Arial" w:eastAsia="Arial" w:hAnsi="Arial" w:cs="Arial"/>
                <w:sz w:val="20"/>
                <w:szCs w:val="20"/>
              </w:rPr>
              <w:t xml:space="preserve"> zvišanj splošne olajšave v letih 2024 in 2025, in sicer po oceni dodatno za okoli 180 mio EUR v letu 2024 in dodanih 170 mio EUR v letu 2025</w:t>
            </w:r>
            <w:r w:rsidRPr="00865D0C">
              <w:rPr>
                <w:rFonts w:ascii="Arial" w:hAnsi="Arial" w:cs="Arial"/>
                <w:sz w:val="20"/>
                <w:szCs w:val="20"/>
              </w:rPr>
              <w:t>.</w:t>
            </w:r>
          </w:p>
        </w:tc>
      </w:tr>
    </w:tbl>
    <w:p w14:paraId="5F47BC32" w14:textId="77777777" w:rsidR="00C106E6" w:rsidRDefault="00C106E6">
      <w:r>
        <w:br w:type="page"/>
      </w:r>
    </w:p>
    <w:tbl>
      <w:tblPr>
        <w:tblW w:w="9434" w:type="dxa"/>
        <w:tblLook w:val="04A0" w:firstRow="1" w:lastRow="0" w:firstColumn="1" w:lastColumn="0" w:noHBand="0" w:noVBand="1"/>
      </w:tblPr>
      <w:tblGrid>
        <w:gridCol w:w="9434"/>
      </w:tblGrid>
      <w:tr w:rsidR="004513FD" w:rsidRPr="004513FD" w14:paraId="3AEF1A47" w14:textId="77777777" w:rsidTr="00C830EC">
        <w:trPr>
          <w:trHeight w:val="12191"/>
        </w:trPr>
        <w:tc>
          <w:tcPr>
            <w:tcW w:w="9434" w:type="dxa"/>
          </w:tcPr>
          <w:p w14:paraId="324721E5" w14:textId="102B24C5" w:rsidR="00C106E6" w:rsidRDefault="0090367F" w:rsidP="00C106E6">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 xml:space="preserve">       </w:t>
            </w: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253"/>
              <w:gridCol w:w="1017"/>
              <w:gridCol w:w="98"/>
              <w:gridCol w:w="2092"/>
              <w:gridCol w:w="1235"/>
              <w:gridCol w:w="2834"/>
            </w:tblGrid>
            <w:tr w:rsidR="00C106E6" w:rsidRPr="008D1759" w14:paraId="177DCFF2" w14:textId="77777777" w:rsidTr="00833C5D">
              <w:trPr>
                <w:cantSplit/>
                <w:trHeight w:val="35"/>
              </w:trPr>
              <w:tc>
                <w:tcPr>
                  <w:tcW w:w="920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6DEC2614" w14:textId="77777777" w:rsidR="00C106E6" w:rsidRPr="008D1759" w:rsidRDefault="00C106E6" w:rsidP="00C106E6">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t>I. Ocena finančnih posledic, ki niso načrtovane v sprejetem proračunu</w:t>
                  </w:r>
                </w:p>
              </w:tc>
            </w:tr>
            <w:tr w:rsidR="00C106E6" w:rsidRPr="002274DC" w14:paraId="6B125E22" w14:textId="77777777" w:rsidTr="00833C5D">
              <w:trPr>
                <w:cantSplit/>
                <w:trHeight w:val="276"/>
              </w:trPr>
              <w:tc>
                <w:tcPr>
                  <w:tcW w:w="1924" w:type="dxa"/>
                  <w:gridSpan w:val="2"/>
                  <w:tcBorders>
                    <w:top w:val="single" w:sz="4" w:space="0" w:color="auto"/>
                    <w:left w:val="single" w:sz="4" w:space="0" w:color="auto"/>
                    <w:bottom w:val="single" w:sz="4" w:space="0" w:color="auto"/>
                    <w:right w:val="single" w:sz="4" w:space="0" w:color="auto"/>
                  </w:tcBorders>
                  <w:vAlign w:val="center"/>
                </w:tcPr>
                <w:p w14:paraId="509F21FF" w14:textId="77777777" w:rsidR="00C106E6" w:rsidRPr="002274DC" w:rsidRDefault="00C106E6" w:rsidP="00C106E6">
                  <w:pPr>
                    <w:widowControl w:val="0"/>
                    <w:ind w:left="-122" w:right="-112"/>
                    <w:jc w:val="center"/>
                    <w:rPr>
                      <w:rFonts w:ascii="Arial" w:hAnsi="Arial" w:cs="Arial"/>
                      <w:sz w:val="20"/>
                      <w:szCs w:val="20"/>
                    </w:rPr>
                  </w:pPr>
                </w:p>
              </w:tc>
              <w:tc>
                <w:tcPr>
                  <w:tcW w:w="1115" w:type="dxa"/>
                  <w:gridSpan w:val="2"/>
                  <w:tcBorders>
                    <w:top w:val="single" w:sz="4" w:space="0" w:color="auto"/>
                    <w:left w:val="single" w:sz="4" w:space="0" w:color="auto"/>
                    <w:bottom w:val="single" w:sz="4" w:space="0" w:color="auto"/>
                    <w:right w:val="single" w:sz="4" w:space="0" w:color="auto"/>
                  </w:tcBorders>
                  <w:vAlign w:val="center"/>
                </w:tcPr>
                <w:p w14:paraId="03E81E7D"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t>Tekoče leto (t)</w:t>
                  </w:r>
                </w:p>
              </w:tc>
              <w:tc>
                <w:tcPr>
                  <w:tcW w:w="2092" w:type="dxa"/>
                  <w:tcBorders>
                    <w:top w:val="single" w:sz="4" w:space="0" w:color="auto"/>
                    <w:left w:val="single" w:sz="4" w:space="0" w:color="auto"/>
                    <w:bottom w:val="single" w:sz="4" w:space="0" w:color="auto"/>
                    <w:right w:val="single" w:sz="4" w:space="0" w:color="auto"/>
                  </w:tcBorders>
                  <w:vAlign w:val="center"/>
                </w:tcPr>
                <w:p w14:paraId="7AE655A2"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t>t + 1</w:t>
                  </w:r>
                </w:p>
              </w:tc>
              <w:tc>
                <w:tcPr>
                  <w:tcW w:w="1235" w:type="dxa"/>
                  <w:tcBorders>
                    <w:top w:val="single" w:sz="4" w:space="0" w:color="auto"/>
                    <w:left w:val="single" w:sz="4" w:space="0" w:color="auto"/>
                    <w:bottom w:val="single" w:sz="4" w:space="0" w:color="auto"/>
                    <w:right w:val="single" w:sz="4" w:space="0" w:color="auto"/>
                  </w:tcBorders>
                  <w:vAlign w:val="center"/>
                </w:tcPr>
                <w:p w14:paraId="717018D7"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t>t + 2</w:t>
                  </w:r>
                </w:p>
              </w:tc>
              <w:tc>
                <w:tcPr>
                  <w:tcW w:w="2834" w:type="dxa"/>
                  <w:tcBorders>
                    <w:top w:val="single" w:sz="4" w:space="0" w:color="auto"/>
                    <w:left w:val="single" w:sz="4" w:space="0" w:color="auto"/>
                    <w:bottom w:val="single" w:sz="4" w:space="0" w:color="auto"/>
                    <w:right w:val="single" w:sz="4" w:space="0" w:color="auto"/>
                  </w:tcBorders>
                  <w:vAlign w:val="center"/>
                </w:tcPr>
                <w:p w14:paraId="7475ED02"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t>t + 3</w:t>
                  </w:r>
                </w:p>
              </w:tc>
            </w:tr>
            <w:tr w:rsidR="00C106E6" w:rsidRPr="002274DC" w14:paraId="7EAF66B2" w14:textId="77777777" w:rsidTr="00833C5D">
              <w:trPr>
                <w:cantSplit/>
                <w:trHeight w:val="423"/>
              </w:trPr>
              <w:tc>
                <w:tcPr>
                  <w:tcW w:w="1924" w:type="dxa"/>
                  <w:gridSpan w:val="2"/>
                  <w:tcBorders>
                    <w:top w:val="single" w:sz="4" w:space="0" w:color="auto"/>
                    <w:left w:val="single" w:sz="4" w:space="0" w:color="auto"/>
                    <w:bottom w:val="single" w:sz="4" w:space="0" w:color="auto"/>
                    <w:right w:val="single" w:sz="4" w:space="0" w:color="auto"/>
                  </w:tcBorders>
                  <w:vAlign w:val="center"/>
                </w:tcPr>
                <w:p w14:paraId="3AB23AA9" w14:textId="77777777" w:rsidR="00C106E6" w:rsidRPr="002274DC" w:rsidRDefault="00C106E6" w:rsidP="00C106E6">
                  <w:pPr>
                    <w:widowControl w:val="0"/>
                    <w:rPr>
                      <w:rFonts w:ascii="Arial" w:hAnsi="Arial" w:cs="Arial"/>
                      <w:bCs/>
                      <w:sz w:val="20"/>
                      <w:szCs w:val="20"/>
                    </w:rPr>
                  </w:pPr>
                  <w:r w:rsidRPr="002274DC">
                    <w:rPr>
                      <w:rFonts w:ascii="Arial" w:hAnsi="Arial" w:cs="Arial"/>
                      <w:bCs/>
                      <w:sz w:val="20"/>
                      <w:szCs w:val="20"/>
                    </w:rPr>
                    <w:t>Predvideno povečanje (+) ali zmanjšanje (</w:t>
                  </w:r>
                  <w:r w:rsidRPr="002274DC">
                    <w:rPr>
                      <w:rFonts w:ascii="Arial" w:hAnsi="Arial" w:cs="Arial"/>
                      <w:b/>
                      <w:sz w:val="20"/>
                      <w:szCs w:val="20"/>
                    </w:rPr>
                    <w:t>–</w:t>
                  </w:r>
                  <w:r w:rsidRPr="002274DC">
                    <w:rPr>
                      <w:rFonts w:ascii="Arial" w:hAnsi="Arial" w:cs="Arial"/>
                      <w:bCs/>
                      <w:sz w:val="20"/>
                      <w:szCs w:val="20"/>
                    </w:rPr>
                    <w:t xml:space="preserve">) prihodkov državnega proračuna </w:t>
                  </w:r>
                </w:p>
              </w:tc>
              <w:tc>
                <w:tcPr>
                  <w:tcW w:w="1115" w:type="dxa"/>
                  <w:gridSpan w:val="2"/>
                  <w:tcBorders>
                    <w:top w:val="single" w:sz="4" w:space="0" w:color="auto"/>
                    <w:left w:val="single" w:sz="4" w:space="0" w:color="auto"/>
                    <w:bottom w:val="single" w:sz="4" w:space="0" w:color="auto"/>
                    <w:right w:val="single" w:sz="4" w:space="0" w:color="auto"/>
                  </w:tcBorders>
                  <w:vAlign w:val="center"/>
                </w:tcPr>
                <w:p w14:paraId="6281260E" w14:textId="77777777" w:rsidR="00C106E6" w:rsidRPr="002274DC" w:rsidRDefault="00C106E6" w:rsidP="00C106E6">
                  <w:pPr>
                    <w:pStyle w:val="Naslov1"/>
                    <w:keepNext w:val="0"/>
                    <w:widowControl w:val="0"/>
                    <w:tabs>
                      <w:tab w:val="left" w:pos="360"/>
                    </w:tabs>
                    <w:spacing w:before="0" w:after="0"/>
                    <w:jc w:val="center"/>
                    <w:rPr>
                      <w:rFonts w:cs="Arial"/>
                      <w:b w:val="0"/>
                      <w:bCs/>
                      <w:sz w:val="20"/>
                      <w:szCs w:val="20"/>
                    </w:rPr>
                  </w:pPr>
                </w:p>
              </w:tc>
              <w:tc>
                <w:tcPr>
                  <w:tcW w:w="2092" w:type="dxa"/>
                  <w:tcBorders>
                    <w:top w:val="single" w:sz="4" w:space="0" w:color="auto"/>
                    <w:left w:val="single" w:sz="4" w:space="0" w:color="auto"/>
                    <w:bottom w:val="single" w:sz="4" w:space="0" w:color="auto"/>
                    <w:right w:val="single" w:sz="4" w:space="0" w:color="auto"/>
                  </w:tcBorders>
                  <w:vAlign w:val="center"/>
                </w:tcPr>
                <w:p w14:paraId="0F9DDDED" w14:textId="3539B376" w:rsidR="00C106E6" w:rsidRPr="00C86DCA" w:rsidRDefault="00C106E6" w:rsidP="00C106E6">
                  <w:pPr>
                    <w:pStyle w:val="Naslov1"/>
                    <w:keepNext w:val="0"/>
                    <w:widowControl w:val="0"/>
                    <w:tabs>
                      <w:tab w:val="left" w:pos="360"/>
                    </w:tabs>
                    <w:spacing w:before="0" w:after="0"/>
                    <w:jc w:val="center"/>
                    <w:rPr>
                      <w:rFonts w:cs="Arial"/>
                      <w:b w:val="0"/>
                      <w:sz w:val="20"/>
                      <w:szCs w:val="20"/>
                    </w:rPr>
                  </w:pPr>
                  <w:r w:rsidRPr="00865D0C">
                    <w:rPr>
                      <w:rFonts w:cs="Arial"/>
                      <w:b w:val="0"/>
                      <w:sz w:val="20"/>
                      <w:szCs w:val="20"/>
                    </w:rPr>
                    <w:t>+</w:t>
                  </w:r>
                  <w:r w:rsidR="00931FA0">
                    <w:rPr>
                      <w:rFonts w:cs="Arial"/>
                      <w:b w:val="0"/>
                      <w:sz w:val="20"/>
                      <w:szCs w:val="20"/>
                    </w:rPr>
                    <w:t>1</w:t>
                  </w:r>
                  <w:r w:rsidR="2DA25AC2">
                    <w:rPr>
                      <w:rFonts w:cs="Arial"/>
                      <w:b w:val="0"/>
                      <w:sz w:val="20"/>
                      <w:szCs w:val="20"/>
                    </w:rPr>
                    <w:t>12</w:t>
                  </w:r>
                  <w:r w:rsidR="00931FA0" w:rsidRPr="00865D0C">
                    <w:rPr>
                      <w:rFonts w:cs="Arial"/>
                      <w:b w:val="0"/>
                      <w:sz w:val="20"/>
                      <w:szCs w:val="20"/>
                    </w:rPr>
                    <w:t xml:space="preserve"> </w:t>
                  </w:r>
                  <w:r w:rsidRPr="00865D0C">
                    <w:rPr>
                      <w:rFonts w:cs="Arial"/>
                      <w:b w:val="0"/>
                      <w:sz w:val="20"/>
                      <w:szCs w:val="20"/>
                    </w:rPr>
                    <w:t xml:space="preserve">mio </w:t>
                  </w:r>
                  <w:r w:rsidRPr="00D5352B">
                    <w:rPr>
                      <w:rFonts w:cs="Arial"/>
                      <w:b w:val="0"/>
                      <w:sz w:val="20"/>
                      <w:szCs w:val="20"/>
                    </w:rPr>
                    <w:t>evrov</w:t>
                  </w:r>
                </w:p>
              </w:tc>
              <w:tc>
                <w:tcPr>
                  <w:tcW w:w="1235" w:type="dxa"/>
                  <w:tcBorders>
                    <w:top w:val="single" w:sz="4" w:space="0" w:color="auto"/>
                    <w:left w:val="single" w:sz="4" w:space="0" w:color="auto"/>
                    <w:bottom w:val="single" w:sz="4" w:space="0" w:color="auto"/>
                    <w:right w:val="single" w:sz="4" w:space="0" w:color="auto"/>
                  </w:tcBorders>
                  <w:vAlign w:val="center"/>
                </w:tcPr>
                <w:p w14:paraId="365783B9" w14:textId="403B8AA0" w:rsidR="00C106E6" w:rsidRPr="002274DC" w:rsidRDefault="00C106E6" w:rsidP="00C106E6">
                  <w:pPr>
                    <w:pStyle w:val="Naslov1"/>
                    <w:keepNext w:val="0"/>
                    <w:widowControl w:val="0"/>
                    <w:tabs>
                      <w:tab w:val="left" w:pos="360"/>
                    </w:tabs>
                    <w:spacing w:before="0" w:after="0"/>
                    <w:jc w:val="center"/>
                    <w:rPr>
                      <w:rFonts w:cs="Arial"/>
                      <w:b w:val="0"/>
                      <w:sz w:val="20"/>
                      <w:szCs w:val="20"/>
                    </w:rPr>
                  </w:pPr>
                  <w:r w:rsidRPr="00865D0C">
                    <w:rPr>
                      <w:rFonts w:cs="Arial"/>
                      <w:b w:val="0"/>
                      <w:sz w:val="20"/>
                      <w:szCs w:val="20"/>
                    </w:rPr>
                    <w:t>+</w:t>
                  </w:r>
                  <w:r w:rsidR="00931FA0">
                    <w:rPr>
                      <w:rFonts w:cs="Arial"/>
                      <w:b w:val="0"/>
                      <w:sz w:val="20"/>
                      <w:szCs w:val="20"/>
                    </w:rPr>
                    <w:t>180</w:t>
                  </w:r>
                  <w:r w:rsidR="00931FA0" w:rsidRPr="00865D0C">
                    <w:rPr>
                      <w:rFonts w:cs="Arial"/>
                      <w:b w:val="0"/>
                      <w:sz w:val="20"/>
                      <w:szCs w:val="20"/>
                    </w:rPr>
                    <w:t xml:space="preserve"> </w:t>
                  </w:r>
                  <w:r w:rsidRPr="00865D0C">
                    <w:rPr>
                      <w:rFonts w:cs="Arial"/>
                      <w:b w:val="0"/>
                      <w:sz w:val="20"/>
                      <w:szCs w:val="20"/>
                    </w:rPr>
                    <w:t>mio evrov</w:t>
                  </w:r>
                </w:p>
              </w:tc>
              <w:tc>
                <w:tcPr>
                  <w:tcW w:w="2834" w:type="dxa"/>
                  <w:tcBorders>
                    <w:top w:val="single" w:sz="4" w:space="0" w:color="auto"/>
                    <w:left w:val="single" w:sz="4" w:space="0" w:color="auto"/>
                    <w:bottom w:val="single" w:sz="4" w:space="0" w:color="auto"/>
                    <w:right w:val="single" w:sz="4" w:space="0" w:color="auto"/>
                  </w:tcBorders>
                  <w:vAlign w:val="center"/>
                </w:tcPr>
                <w:p w14:paraId="566513A4" w14:textId="50C1E785" w:rsidR="00C106E6" w:rsidRPr="002274DC" w:rsidRDefault="00C106E6" w:rsidP="00C106E6">
                  <w:pPr>
                    <w:pStyle w:val="Naslov1"/>
                    <w:keepNext w:val="0"/>
                    <w:widowControl w:val="0"/>
                    <w:tabs>
                      <w:tab w:val="left" w:pos="360"/>
                    </w:tabs>
                    <w:spacing w:before="0" w:after="0"/>
                    <w:jc w:val="center"/>
                    <w:rPr>
                      <w:rFonts w:cs="Arial"/>
                      <w:b w:val="0"/>
                      <w:sz w:val="20"/>
                      <w:szCs w:val="20"/>
                    </w:rPr>
                  </w:pPr>
                  <w:r w:rsidRPr="00865D0C">
                    <w:rPr>
                      <w:rFonts w:cs="Arial"/>
                      <w:b w:val="0"/>
                      <w:sz w:val="20"/>
                      <w:szCs w:val="20"/>
                    </w:rPr>
                    <w:t>+170 mio evrov</w:t>
                  </w:r>
                </w:p>
              </w:tc>
            </w:tr>
            <w:tr w:rsidR="00C106E6" w:rsidRPr="002274DC" w14:paraId="58B5DEE7" w14:textId="77777777" w:rsidTr="00833C5D">
              <w:trPr>
                <w:cantSplit/>
                <w:trHeight w:val="423"/>
              </w:trPr>
              <w:tc>
                <w:tcPr>
                  <w:tcW w:w="1924" w:type="dxa"/>
                  <w:gridSpan w:val="2"/>
                  <w:tcBorders>
                    <w:top w:val="single" w:sz="4" w:space="0" w:color="auto"/>
                    <w:left w:val="single" w:sz="4" w:space="0" w:color="auto"/>
                    <w:bottom w:val="single" w:sz="4" w:space="0" w:color="auto"/>
                    <w:right w:val="single" w:sz="4" w:space="0" w:color="auto"/>
                  </w:tcBorders>
                  <w:vAlign w:val="center"/>
                </w:tcPr>
                <w:p w14:paraId="2A03BEFD" w14:textId="77777777" w:rsidR="00C106E6" w:rsidRPr="002274DC" w:rsidRDefault="00C106E6" w:rsidP="00C106E6">
                  <w:pPr>
                    <w:widowControl w:val="0"/>
                    <w:rPr>
                      <w:rFonts w:ascii="Arial" w:hAnsi="Arial" w:cs="Arial"/>
                      <w:bCs/>
                      <w:sz w:val="20"/>
                      <w:szCs w:val="20"/>
                    </w:rPr>
                  </w:pPr>
                  <w:r w:rsidRPr="002274DC">
                    <w:rPr>
                      <w:rFonts w:ascii="Arial" w:hAnsi="Arial" w:cs="Arial"/>
                      <w:bCs/>
                      <w:sz w:val="20"/>
                      <w:szCs w:val="20"/>
                    </w:rPr>
                    <w:t>Predvideno povečanje (+) ali zmanjšanje (</w:t>
                  </w:r>
                  <w:r w:rsidRPr="002274DC">
                    <w:rPr>
                      <w:rFonts w:ascii="Arial" w:hAnsi="Arial" w:cs="Arial"/>
                      <w:b/>
                      <w:sz w:val="20"/>
                      <w:szCs w:val="20"/>
                    </w:rPr>
                    <w:t>–</w:t>
                  </w:r>
                  <w:r w:rsidRPr="002274DC">
                    <w:rPr>
                      <w:rFonts w:ascii="Arial" w:hAnsi="Arial" w:cs="Arial"/>
                      <w:bCs/>
                      <w:sz w:val="20"/>
                      <w:szCs w:val="20"/>
                    </w:rPr>
                    <w:t xml:space="preserve">) prihodkov občinskih proračunov </w:t>
                  </w:r>
                </w:p>
              </w:tc>
              <w:tc>
                <w:tcPr>
                  <w:tcW w:w="1115" w:type="dxa"/>
                  <w:gridSpan w:val="2"/>
                  <w:tcBorders>
                    <w:top w:val="single" w:sz="4" w:space="0" w:color="auto"/>
                    <w:left w:val="single" w:sz="4" w:space="0" w:color="auto"/>
                    <w:bottom w:val="single" w:sz="4" w:space="0" w:color="auto"/>
                    <w:right w:val="single" w:sz="4" w:space="0" w:color="auto"/>
                  </w:tcBorders>
                  <w:vAlign w:val="center"/>
                </w:tcPr>
                <w:p w14:paraId="6CC2C15B" w14:textId="77777777" w:rsidR="00C106E6" w:rsidRPr="002274DC" w:rsidRDefault="00C106E6" w:rsidP="00C106E6">
                  <w:pPr>
                    <w:pStyle w:val="Naslov1"/>
                    <w:keepNext w:val="0"/>
                    <w:widowControl w:val="0"/>
                    <w:tabs>
                      <w:tab w:val="left" w:pos="360"/>
                    </w:tabs>
                    <w:spacing w:before="0" w:after="0"/>
                    <w:jc w:val="center"/>
                    <w:rPr>
                      <w:rFonts w:cs="Arial"/>
                      <w:b w:val="0"/>
                      <w:bCs/>
                      <w:sz w:val="20"/>
                      <w:szCs w:val="20"/>
                    </w:rPr>
                  </w:pPr>
                </w:p>
              </w:tc>
              <w:tc>
                <w:tcPr>
                  <w:tcW w:w="2092" w:type="dxa"/>
                  <w:tcBorders>
                    <w:top w:val="single" w:sz="4" w:space="0" w:color="auto"/>
                    <w:left w:val="single" w:sz="4" w:space="0" w:color="auto"/>
                    <w:bottom w:val="single" w:sz="4" w:space="0" w:color="auto"/>
                    <w:right w:val="single" w:sz="4" w:space="0" w:color="auto"/>
                  </w:tcBorders>
                  <w:vAlign w:val="center"/>
                </w:tcPr>
                <w:p w14:paraId="0680AAE9" w14:textId="77777777" w:rsidR="00C106E6" w:rsidRPr="002274DC" w:rsidRDefault="00C106E6" w:rsidP="00C106E6">
                  <w:pPr>
                    <w:pStyle w:val="Naslov1"/>
                    <w:keepNext w:val="0"/>
                    <w:widowControl w:val="0"/>
                    <w:tabs>
                      <w:tab w:val="left" w:pos="360"/>
                    </w:tabs>
                    <w:spacing w:before="0" w:after="0"/>
                    <w:jc w:val="center"/>
                    <w:rPr>
                      <w:rFonts w:cs="Arial"/>
                      <w:b w:val="0"/>
                      <w:bCs/>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11296106" w14:textId="77777777" w:rsidR="00C106E6" w:rsidRPr="002274DC" w:rsidRDefault="00C106E6" w:rsidP="00C106E6">
                  <w:pPr>
                    <w:pStyle w:val="Naslov1"/>
                    <w:keepNext w:val="0"/>
                    <w:widowControl w:val="0"/>
                    <w:tabs>
                      <w:tab w:val="left" w:pos="360"/>
                    </w:tabs>
                    <w:spacing w:before="0" w:after="0"/>
                    <w:jc w:val="center"/>
                    <w:rPr>
                      <w:rFonts w:cs="Arial"/>
                      <w:b w:val="0"/>
                      <w:sz w:val="20"/>
                      <w:szCs w:val="20"/>
                    </w:rPr>
                  </w:pPr>
                </w:p>
              </w:tc>
              <w:tc>
                <w:tcPr>
                  <w:tcW w:w="2834" w:type="dxa"/>
                  <w:tcBorders>
                    <w:top w:val="single" w:sz="4" w:space="0" w:color="auto"/>
                    <w:left w:val="single" w:sz="4" w:space="0" w:color="auto"/>
                    <w:bottom w:val="single" w:sz="4" w:space="0" w:color="auto"/>
                    <w:right w:val="single" w:sz="4" w:space="0" w:color="auto"/>
                  </w:tcBorders>
                  <w:vAlign w:val="center"/>
                </w:tcPr>
                <w:p w14:paraId="7B7BD561" w14:textId="77777777" w:rsidR="00C106E6" w:rsidRPr="002274DC" w:rsidRDefault="00C106E6" w:rsidP="00C106E6">
                  <w:pPr>
                    <w:pStyle w:val="Naslov1"/>
                    <w:keepNext w:val="0"/>
                    <w:widowControl w:val="0"/>
                    <w:tabs>
                      <w:tab w:val="left" w:pos="360"/>
                    </w:tabs>
                    <w:spacing w:before="0" w:after="0"/>
                    <w:jc w:val="center"/>
                    <w:rPr>
                      <w:rFonts w:cs="Arial"/>
                      <w:b w:val="0"/>
                      <w:sz w:val="20"/>
                      <w:szCs w:val="20"/>
                    </w:rPr>
                  </w:pPr>
                </w:p>
              </w:tc>
            </w:tr>
            <w:tr w:rsidR="00C106E6" w:rsidRPr="002274DC" w14:paraId="3AB26867" w14:textId="77777777" w:rsidTr="00833C5D">
              <w:trPr>
                <w:cantSplit/>
                <w:trHeight w:val="423"/>
              </w:trPr>
              <w:tc>
                <w:tcPr>
                  <w:tcW w:w="1924" w:type="dxa"/>
                  <w:gridSpan w:val="2"/>
                  <w:tcBorders>
                    <w:top w:val="single" w:sz="4" w:space="0" w:color="auto"/>
                    <w:left w:val="single" w:sz="4" w:space="0" w:color="auto"/>
                    <w:bottom w:val="single" w:sz="4" w:space="0" w:color="auto"/>
                    <w:right w:val="single" w:sz="4" w:space="0" w:color="auto"/>
                  </w:tcBorders>
                  <w:vAlign w:val="center"/>
                </w:tcPr>
                <w:p w14:paraId="543516B6" w14:textId="77777777" w:rsidR="00C106E6" w:rsidRPr="002274DC" w:rsidRDefault="00C106E6" w:rsidP="00C106E6">
                  <w:pPr>
                    <w:widowControl w:val="0"/>
                    <w:rPr>
                      <w:rFonts w:ascii="Arial" w:hAnsi="Arial" w:cs="Arial"/>
                      <w:bCs/>
                      <w:sz w:val="20"/>
                      <w:szCs w:val="20"/>
                    </w:rPr>
                  </w:pPr>
                  <w:r w:rsidRPr="002274DC">
                    <w:rPr>
                      <w:rFonts w:ascii="Arial" w:hAnsi="Arial" w:cs="Arial"/>
                      <w:bCs/>
                      <w:sz w:val="20"/>
                      <w:szCs w:val="20"/>
                    </w:rPr>
                    <w:t>Predvideno povečanje (+) ali zmanjšanje (</w:t>
                  </w:r>
                  <w:r w:rsidRPr="002274DC">
                    <w:rPr>
                      <w:rFonts w:ascii="Arial" w:hAnsi="Arial" w:cs="Arial"/>
                      <w:b/>
                      <w:sz w:val="20"/>
                      <w:szCs w:val="20"/>
                    </w:rPr>
                    <w:t>–</w:t>
                  </w:r>
                  <w:r w:rsidRPr="002274DC">
                    <w:rPr>
                      <w:rFonts w:ascii="Arial" w:hAnsi="Arial" w:cs="Arial"/>
                      <w:bCs/>
                      <w:sz w:val="20"/>
                      <w:szCs w:val="20"/>
                    </w:rPr>
                    <w:t xml:space="preserve">) odhodkov državnega proračuna </w:t>
                  </w:r>
                </w:p>
              </w:tc>
              <w:tc>
                <w:tcPr>
                  <w:tcW w:w="1115" w:type="dxa"/>
                  <w:gridSpan w:val="2"/>
                  <w:tcBorders>
                    <w:top w:val="single" w:sz="4" w:space="0" w:color="auto"/>
                    <w:left w:val="single" w:sz="4" w:space="0" w:color="auto"/>
                    <w:bottom w:val="single" w:sz="4" w:space="0" w:color="auto"/>
                    <w:right w:val="single" w:sz="4" w:space="0" w:color="auto"/>
                  </w:tcBorders>
                  <w:vAlign w:val="center"/>
                </w:tcPr>
                <w:p w14:paraId="13B5394F" w14:textId="77777777" w:rsidR="00C106E6" w:rsidRPr="002274DC" w:rsidRDefault="00C106E6" w:rsidP="00C106E6">
                  <w:pPr>
                    <w:widowControl w:val="0"/>
                    <w:jc w:val="center"/>
                    <w:rPr>
                      <w:rFonts w:ascii="Arial"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vAlign w:val="center"/>
                </w:tcPr>
                <w:p w14:paraId="2A644279" w14:textId="77777777" w:rsidR="00C106E6" w:rsidRPr="002274DC" w:rsidRDefault="00C106E6" w:rsidP="00C106E6">
                  <w:pPr>
                    <w:widowControl w:val="0"/>
                    <w:jc w:val="center"/>
                    <w:rPr>
                      <w:rFonts w:ascii="Arial" w:hAnsi="Arial" w:cs="Arial"/>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6356ED54" w14:textId="77777777" w:rsidR="00C106E6" w:rsidRPr="002274DC" w:rsidRDefault="00C106E6" w:rsidP="00C106E6">
                  <w:pPr>
                    <w:widowControl w:val="0"/>
                    <w:jc w:val="center"/>
                    <w:rPr>
                      <w:rFonts w:ascii="Arial" w:hAnsi="Arial" w:cs="Arial"/>
                      <w:sz w:val="20"/>
                      <w:szCs w:val="20"/>
                    </w:rPr>
                  </w:pPr>
                </w:p>
              </w:tc>
              <w:tc>
                <w:tcPr>
                  <w:tcW w:w="2834" w:type="dxa"/>
                  <w:tcBorders>
                    <w:top w:val="single" w:sz="4" w:space="0" w:color="auto"/>
                    <w:left w:val="single" w:sz="4" w:space="0" w:color="auto"/>
                    <w:bottom w:val="single" w:sz="4" w:space="0" w:color="auto"/>
                    <w:right w:val="single" w:sz="4" w:space="0" w:color="auto"/>
                  </w:tcBorders>
                  <w:vAlign w:val="center"/>
                </w:tcPr>
                <w:p w14:paraId="18DB9366" w14:textId="77777777" w:rsidR="00C106E6" w:rsidRPr="002274DC" w:rsidRDefault="00C106E6" w:rsidP="00C106E6">
                  <w:pPr>
                    <w:widowControl w:val="0"/>
                    <w:jc w:val="center"/>
                    <w:rPr>
                      <w:rFonts w:ascii="Arial" w:hAnsi="Arial" w:cs="Arial"/>
                      <w:sz w:val="20"/>
                      <w:szCs w:val="20"/>
                    </w:rPr>
                  </w:pPr>
                </w:p>
              </w:tc>
            </w:tr>
            <w:tr w:rsidR="00C106E6" w:rsidRPr="002274DC" w14:paraId="2E0A0AA5" w14:textId="77777777" w:rsidTr="00833C5D">
              <w:trPr>
                <w:cantSplit/>
                <w:trHeight w:val="623"/>
              </w:trPr>
              <w:tc>
                <w:tcPr>
                  <w:tcW w:w="1924" w:type="dxa"/>
                  <w:gridSpan w:val="2"/>
                  <w:tcBorders>
                    <w:top w:val="single" w:sz="4" w:space="0" w:color="auto"/>
                    <w:left w:val="single" w:sz="4" w:space="0" w:color="auto"/>
                    <w:bottom w:val="single" w:sz="4" w:space="0" w:color="auto"/>
                    <w:right w:val="single" w:sz="4" w:space="0" w:color="auto"/>
                  </w:tcBorders>
                  <w:vAlign w:val="center"/>
                </w:tcPr>
                <w:p w14:paraId="695C01AB" w14:textId="77777777" w:rsidR="00C106E6" w:rsidRPr="002274DC" w:rsidRDefault="00C106E6" w:rsidP="00C106E6">
                  <w:pPr>
                    <w:widowControl w:val="0"/>
                    <w:rPr>
                      <w:rFonts w:ascii="Arial" w:hAnsi="Arial" w:cs="Arial"/>
                      <w:bCs/>
                      <w:sz w:val="20"/>
                      <w:szCs w:val="20"/>
                    </w:rPr>
                  </w:pPr>
                  <w:r w:rsidRPr="002274DC">
                    <w:rPr>
                      <w:rFonts w:ascii="Arial" w:hAnsi="Arial" w:cs="Arial"/>
                      <w:bCs/>
                      <w:sz w:val="20"/>
                      <w:szCs w:val="20"/>
                    </w:rPr>
                    <w:t>Predvideno povečanje (+) ali zmanjšanje (</w:t>
                  </w:r>
                  <w:r w:rsidRPr="002274DC">
                    <w:rPr>
                      <w:rFonts w:ascii="Arial" w:hAnsi="Arial" w:cs="Arial"/>
                      <w:b/>
                      <w:sz w:val="20"/>
                      <w:szCs w:val="20"/>
                    </w:rPr>
                    <w:t>–</w:t>
                  </w:r>
                  <w:r w:rsidRPr="002274DC">
                    <w:rPr>
                      <w:rFonts w:ascii="Arial" w:hAnsi="Arial" w:cs="Arial"/>
                      <w:bCs/>
                      <w:sz w:val="20"/>
                      <w:szCs w:val="20"/>
                    </w:rPr>
                    <w:t>) odhodkov občinskih proračunov</w:t>
                  </w:r>
                </w:p>
              </w:tc>
              <w:tc>
                <w:tcPr>
                  <w:tcW w:w="1115" w:type="dxa"/>
                  <w:gridSpan w:val="2"/>
                  <w:tcBorders>
                    <w:top w:val="single" w:sz="4" w:space="0" w:color="auto"/>
                    <w:left w:val="single" w:sz="4" w:space="0" w:color="auto"/>
                    <w:bottom w:val="single" w:sz="4" w:space="0" w:color="auto"/>
                    <w:right w:val="single" w:sz="4" w:space="0" w:color="auto"/>
                  </w:tcBorders>
                  <w:vAlign w:val="center"/>
                </w:tcPr>
                <w:p w14:paraId="09B8FD8D" w14:textId="77777777" w:rsidR="00C106E6" w:rsidRPr="002274DC" w:rsidRDefault="00C106E6" w:rsidP="00C106E6">
                  <w:pPr>
                    <w:widowControl w:val="0"/>
                    <w:jc w:val="center"/>
                    <w:rPr>
                      <w:rFonts w:ascii="Arial"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vAlign w:val="center"/>
                </w:tcPr>
                <w:p w14:paraId="18E3CA70" w14:textId="77777777" w:rsidR="00C106E6" w:rsidRPr="002274DC" w:rsidRDefault="00C106E6" w:rsidP="00C106E6">
                  <w:pPr>
                    <w:widowControl w:val="0"/>
                    <w:jc w:val="center"/>
                    <w:rPr>
                      <w:rFonts w:ascii="Arial" w:hAnsi="Arial" w:cs="Arial"/>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75D9F7B6" w14:textId="77777777" w:rsidR="00C106E6" w:rsidRPr="002274DC" w:rsidRDefault="00C106E6" w:rsidP="00C106E6">
                  <w:pPr>
                    <w:widowControl w:val="0"/>
                    <w:jc w:val="center"/>
                    <w:rPr>
                      <w:rFonts w:ascii="Arial" w:hAnsi="Arial" w:cs="Arial"/>
                      <w:sz w:val="20"/>
                      <w:szCs w:val="20"/>
                    </w:rPr>
                  </w:pPr>
                </w:p>
              </w:tc>
              <w:tc>
                <w:tcPr>
                  <w:tcW w:w="2834" w:type="dxa"/>
                  <w:tcBorders>
                    <w:top w:val="single" w:sz="4" w:space="0" w:color="auto"/>
                    <w:left w:val="single" w:sz="4" w:space="0" w:color="auto"/>
                    <w:bottom w:val="single" w:sz="4" w:space="0" w:color="auto"/>
                    <w:right w:val="single" w:sz="4" w:space="0" w:color="auto"/>
                  </w:tcBorders>
                  <w:vAlign w:val="center"/>
                </w:tcPr>
                <w:p w14:paraId="4600F6D4" w14:textId="77777777" w:rsidR="00C106E6" w:rsidRPr="002274DC" w:rsidRDefault="00C106E6" w:rsidP="00C106E6">
                  <w:pPr>
                    <w:widowControl w:val="0"/>
                    <w:jc w:val="center"/>
                    <w:rPr>
                      <w:rFonts w:ascii="Arial" w:hAnsi="Arial" w:cs="Arial"/>
                      <w:sz w:val="20"/>
                      <w:szCs w:val="20"/>
                    </w:rPr>
                  </w:pPr>
                </w:p>
              </w:tc>
            </w:tr>
            <w:tr w:rsidR="00C106E6" w:rsidRPr="002274DC" w14:paraId="20EFC60E" w14:textId="77777777" w:rsidTr="00833C5D">
              <w:trPr>
                <w:cantSplit/>
                <w:trHeight w:val="423"/>
              </w:trPr>
              <w:tc>
                <w:tcPr>
                  <w:tcW w:w="1924" w:type="dxa"/>
                  <w:gridSpan w:val="2"/>
                  <w:tcBorders>
                    <w:top w:val="single" w:sz="4" w:space="0" w:color="auto"/>
                    <w:left w:val="single" w:sz="4" w:space="0" w:color="auto"/>
                    <w:bottom w:val="single" w:sz="4" w:space="0" w:color="auto"/>
                    <w:right w:val="single" w:sz="4" w:space="0" w:color="auto"/>
                  </w:tcBorders>
                  <w:vAlign w:val="center"/>
                </w:tcPr>
                <w:p w14:paraId="5247176F" w14:textId="77777777" w:rsidR="00C106E6" w:rsidRPr="002274DC" w:rsidRDefault="00C106E6" w:rsidP="00C106E6">
                  <w:pPr>
                    <w:widowControl w:val="0"/>
                    <w:rPr>
                      <w:rFonts w:ascii="Arial" w:hAnsi="Arial" w:cs="Arial"/>
                      <w:bCs/>
                      <w:sz w:val="20"/>
                      <w:szCs w:val="20"/>
                    </w:rPr>
                  </w:pPr>
                  <w:r w:rsidRPr="002274DC">
                    <w:rPr>
                      <w:rFonts w:ascii="Arial" w:hAnsi="Arial" w:cs="Arial"/>
                      <w:bCs/>
                      <w:sz w:val="20"/>
                      <w:szCs w:val="20"/>
                    </w:rPr>
                    <w:t>Predvideno povečanje (+) ali zmanjšanje (</w:t>
                  </w:r>
                  <w:r w:rsidRPr="002274DC">
                    <w:rPr>
                      <w:rFonts w:ascii="Arial" w:hAnsi="Arial" w:cs="Arial"/>
                      <w:b/>
                      <w:sz w:val="20"/>
                      <w:szCs w:val="20"/>
                    </w:rPr>
                    <w:t>–</w:t>
                  </w:r>
                  <w:r w:rsidRPr="002274DC">
                    <w:rPr>
                      <w:rFonts w:ascii="Arial" w:hAnsi="Arial" w:cs="Arial"/>
                      <w:bCs/>
                      <w:sz w:val="20"/>
                      <w:szCs w:val="20"/>
                    </w:rPr>
                    <w:t>) obveznosti za druga javnofinančna sredstva</w:t>
                  </w:r>
                </w:p>
              </w:tc>
              <w:tc>
                <w:tcPr>
                  <w:tcW w:w="1115" w:type="dxa"/>
                  <w:gridSpan w:val="2"/>
                  <w:tcBorders>
                    <w:top w:val="single" w:sz="4" w:space="0" w:color="auto"/>
                    <w:left w:val="single" w:sz="4" w:space="0" w:color="auto"/>
                    <w:bottom w:val="single" w:sz="4" w:space="0" w:color="auto"/>
                    <w:right w:val="single" w:sz="4" w:space="0" w:color="auto"/>
                  </w:tcBorders>
                  <w:vAlign w:val="center"/>
                </w:tcPr>
                <w:p w14:paraId="0C5ADFB5" w14:textId="77777777" w:rsidR="00C106E6" w:rsidRPr="002274DC" w:rsidRDefault="00C106E6" w:rsidP="00C106E6">
                  <w:pPr>
                    <w:pStyle w:val="Naslov1"/>
                    <w:keepNext w:val="0"/>
                    <w:widowControl w:val="0"/>
                    <w:tabs>
                      <w:tab w:val="left" w:pos="360"/>
                    </w:tabs>
                    <w:spacing w:before="0" w:after="0"/>
                    <w:jc w:val="center"/>
                    <w:rPr>
                      <w:rFonts w:cs="Arial"/>
                      <w:b w:val="0"/>
                      <w:bCs/>
                      <w:sz w:val="20"/>
                      <w:szCs w:val="20"/>
                    </w:rPr>
                  </w:pPr>
                </w:p>
              </w:tc>
              <w:tc>
                <w:tcPr>
                  <w:tcW w:w="2092" w:type="dxa"/>
                  <w:tcBorders>
                    <w:top w:val="single" w:sz="4" w:space="0" w:color="auto"/>
                    <w:left w:val="single" w:sz="4" w:space="0" w:color="auto"/>
                    <w:bottom w:val="single" w:sz="4" w:space="0" w:color="auto"/>
                    <w:right w:val="single" w:sz="4" w:space="0" w:color="auto"/>
                  </w:tcBorders>
                  <w:vAlign w:val="center"/>
                </w:tcPr>
                <w:p w14:paraId="1544E930" w14:textId="77777777" w:rsidR="00C106E6" w:rsidRPr="002274DC" w:rsidRDefault="00C106E6" w:rsidP="00C106E6">
                  <w:pPr>
                    <w:pStyle w:val="Naslov1"/>
                    <w:keepNext w:val="0"/>
                    <w:widowControl w:val="0"/>
                    <w:tabs>
                      <w:tab w:val="left" w:pos="360"/>
                    </w:tabs>
                    <w:spacing w:before="0" w:after="0"/>
                    <w:jc w:val="center"/>
                    <w:rPr>
                      <w:rFonts w:cs="Arial"/>
                      <w:b w:val="0"/>
                      <w:bCs/>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0FB2A664" w14:textId="77777777" w:rsidR="00C106E6" w:rsidRPr="002274DC" w:rsidRDefault="00C106E6" w:rsidP="00C106E6">
                  <w:pPr>
                    <w:pStyle w:val="Naslov1"/>
                    <w:keepNext w:val="0"/>
                    <w:widowControl w:val="0"/>
                    <w:tabs>
                      <w:tab w:val="left" w:pos="360"/>
                    </w:tabs>
                    <w:spacing w:before="0" w:after="0"/>
                    <w:jc w:val="center"/>
                    <w:rPr>
                      <w:rFonts w:cs="Arial"/>
                      <w:b w:val="0"/>
                      <w:sz w:val="20"/>
                      <w:szCs w:val="20"/>
                    </w:rPr>
                  </w:pPr>
                </w:p>
              </w:tc>
              <w:tc>
                <w:tcPr>
                  <w:tcW w:w="2834" w:type="dxa"/>
                  <w:tcBorders>
                    <w:top w:val="single" w:sz="4" w:space="0" w:color="auto"/>
                    <w:left w:val="single" w:sz="4" w:space="0" w:color="auto"/>
                    <w:bottom w:val="single" w:sz="4" w:space="0" w:color="auto"/>
                    <w:right w:val="single" w:sz="4" w:space="0" w:color="auto"/>
                  </w:tcBorders>
                  <w:vAlign w:val="center"/>
                </w:tcPr>
                <w:p w14:paraId="53A5F689" w14:textId="77777777" w:rsidR="00C106E6" w:rsidRPr="002274DC" w:rsidRDefault="00C106E6" w:rsidP="00C106E6">
                  <w:pPr>
                    <w:pStyle w:val="Naslov1"/>
                    <w:keepNext w:val="0"/>
                    <w:widowControl w:val="0"/>
                    <w:tabs>
                      <w:tab w:val="left" w:pos="360"/>
                    </w:tabs>
                    <w:spacing w:before="0" w:after="0"/>
                    <w:jc w:val="center"/>
                    <w:rPr>
                      <w:rFonts w:cs="Arial"/>
                      <w:b w:val="0"/>
                      <w:sz w:val="20"/>
                      <w:szCs w:val="20"/>
                    </w:rPr>
                  </w:pPr>
                </w:p>
              </w:tc>
            </w:tr>
            <w:tr w:rsidR="00C106E6" w:rsidRPr="008D1759" w14:paraId="3F93BCF5" w14:textId="77777777" w:rsidTr="00EC45FA">
              <w:trPr>
                <w:cantSplit/>
                <w:trHeight w:val="257"/>
              </w:trPr>
              <w:tc>
                <w:tcPr>
                  <w:tcW w:w="9200"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8DCA39" w14:textId="77777777" w:rsidR="00C106E6" w:rsidRPr="008D1759" w:rsidRDefault="00C106E6" w:rsidP="00C106E6">
                  <w:pPr>
                    <w:pStyle w:val="Naslov1"/>
                    <w:keepNext w:val="0"/>
                    <w:widowControl w:val="0"/>
                    <w:tabs>
                      <w:tab w:val="left" w:pos="2340"/>
                    </w:tabs>
                    <w:spacing w:before="0" w:after="0"/>
                    <w:ind w:left="142" w:hanging="142"/>
                    <w:rPr>
                      <w:rFonts w:cs="Arial"/>
                      <w:sz w:val="20"/>
                      <w:szCs w:val="20"/>
                    </w:rPr>
                  </w:pPr>
                  <w:r w:rsidRPr="008D1759">
                    <w:rPr>
                      <w:rFonts w:cs="Arial"/>
                      <w:sz w:val="20"/>
                      <w:szCs w:val="20"/>
                    </w:rPr>
                    <w:t>II. Finančne posledice za državni proračun</w:t>
                  </w:r>
                </w:p>
              </w:tc>
            </w:tr>
            <w:tr w:rsidR="00C106E6" w:rsidRPr="008D1759" w14:paraId="15AFDACB" w14:textId="77777777" w:rsidTr="00EC45FA">
              <w:trPr>
                <w:cantSplit/>
                <w:trHeight w:val="257"/>
              </w:trPr>
              <w:tc>
                <w:tcPr>
                  <w:tcW w:w="9200"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1C4CB16" w14:textId="77777777" w:rsidR="00C106E6" w:rsidRPr="008D1759" w:rsidRDefault="00C106E6" w:rsidP="00C106E6">
                  <w:pPr>
                    <w:pStyle w:val="Naslov1"/>
                    <w:keepNext w:val="0"/>
                    <w:widowControl w:val="0"/>
                    <w:tabs>
                      <w:tab w:val="left" w:pos="2340"/>
                    </w:tabs>
                    <w:spacing w:before="0" w:after="0"/>
                    <w:ind w:left="142" w:hanging="142"/>
                    <w:rPr>
                      <w:rFonts w:cs="Arial"/>
                      <w:sz w:val="20"/>
                      <w:szCs w:val="20"/>
                    </w:rPr>
                  </w:pPr>
                  <w:proofErr w:type="spellStart"/>
                  <w:r>
                    <w:rPr>
                      <w:rFonts w:cs="Arial"/>
                      <w:sz w:val="20"/>
                      <w:szCs w:val="20"/>
                    </w:rPr>
                    <w:t>II.a</w:t>
                  </w:r>
                  <w:proofErr w:type="spellEnd"/>
                  <w:r w:rsidRPr="008D1759">
                    <w:rPr>
                      <w:rFonts w:cs="Arial"/>
                      <w:sz w:val="20"/>
                      <w:szCs w:val="20"/>
                    </w:rPr>
                    <w:t xml:space="preserve"> Pravice porabe za izvedbo predlaganih rešitev </w:t>
                  </w:r>
                  <w:r>
                    <w:rPr>
                      <w:rFonts w:cs="Arial"/>
                      <w:sz w:val="20"/>
                      <w:szCs w:val="20"/>
                    </w:rPr>
                    <w:t>so zagotovljene</w:t>
                  </w:r>
                  <w:r w:rsidRPr="00697AD9">
                    <w:rPr>
                      <w:rFonts w:cs="Arial"/>
                      <w:sz w:val="20"/>
                      <w:szCs w:val="20"/>
                    </w:rPr>
                    <w:t>:</w:t>
                  </w:r>
                </w:p>
              </w:tc>
            </w:tr>
            <w:tr w:rsidR="00C106E6" w:rsidRPr="002274DC" w14:paraId="65B9DC59" w14:textId="77777777" w:rsidTr="00833C5D">
              <w:trPr>
                <w:cantSplit/>
                <w:trHeight w:val="100"/>
              </w:trPr>
              <w:tc>
                <w:tcPr>
                  <w:tcW w:w="1671" w:type="dxa"/>
                  <w:tcBorders>
                    <w:top w:val="single" w:sz="4" w:space="0" w:color="auto"/>
                    <w:left w:val="single" w:sz="4" w:space="0" w:color="auto"/>
                    <w:bottom w:val="single" w:sz="4" w:space="0" w:color="auto"/>
                    <w:right w:val="single" w:sz="4" w:space="0" w:color="auto"/>
                  </w:tcBorders>
                  <w:vAlign w:val="center"/>
                </w:tcPr>
                <w:p w14:paraId="16696262"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t xml:space="preserve">Ime proračunskega uporabnika </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63F00BC3"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t>Šifra in naziv ukrepa, projekta</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0B002098"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t>Šifra in naziv proračunske postavke</w:t>
                  </w:r>
                </w:p>
              </w:tc>
              <w:tc>
                <w:tcPr>
                  <w:tcW w:w="1235" w:type="dxa"/>
                  <w:tcBorders>
                    <w:top w:val="single" w:sz="4" w:space="0" w:color="auto"/>
                    <w:left w:val="single" w:sz="4" w:space="0" w:color="auto"/>
                    <w:bottom w:val="single" w:sz="4" w:space="0" w:color="auto"/>
                    <w:right w:val="single" w:sz="4" w:space="0" w:color="auto"/>
                  </w:tcBorders>
                  <w:vAlign w:val="center"/>
                </w:tcPr>
                <w:p w14:paraId="1EEF1826"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t>Znesek za tekoče leto (t)</w:t>
                  </w:r>
                </w:p>
              </w:tc>
              <w:tc>
                <w:tcPr>
                  <w:tcW w:w="2834" w:type="dxa"/>
                  <w:tcBorders>
                    <w:top w:val="single" w:sz="4" w:space="0" w:color="auto"/>
                    <w:left w:val="single" w:sz="4" w:space="0" w:color="auto"/>
                    <w:bottom w:val="single" w:sz="4" w:space="0" w:color="auto"/>
                    <w:right w:val="single" w:sz="4" w:space="0" w:color="auto"/>
                  </w:tcBorders>
                  <w:vAlign w:val="center"/>
                </w:tcPr>
                <w:p w14:paraId="557E34BB"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t>Znesek za t + 1</w:t>
                  </w:r>
                </w:p>
              </w:tc>
            </w:tr>
            <w:tr w:rsidR="00C106E6" w:rsidRPr="008D1759" w14:paraId="3A7C393E" w14:textId="77777777" w:rsidTr="00833C5D">
              <w:trPr>
                <w:cantSplit/>
                <w:trHeight w:val="328"/>
              </w:trPr>
              <w:tc>
                <w:tcPr>
                  <w:tcW w:w="1671" w:type="dxa"/>
                  <w:tcBorders>
                    <w:top w:val="single" w:sz="4" w:space="0" w:color="auto"/>
                    <w:left w:val="single" w:sz="4" w:space="0" w:color="auto"/>
                    <w:bottom w:val="single" w:sz="4" w:space="0" w:color="auto"/>
                    <w:right w:val="single" w:sz="4" w:space="0" w:color="auto"/>
                  </w:tcBorders>
                  <w:vAlign w:val="center"/>
                </w:tcPr>
                <w:p w14:paraId="26472A2F"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132A1D7A"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51B980F9"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5495BE60"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2834" w:type="dxa"/>
                  <w:tcBorders>
                    <w:top w:val="single" w:sz="4" w:space="0" w:color="auto"/>
                    <w:left w:val="single" w:sz="4" w:space="0" w:color="auto"/>
                    <w:bottom w:val="single" w:sz="4" w:space="0" w:color="auto"/>
                    <w:right w:val="single" w:sz="4" w:space="0" w:color="auto"/>
                  </w:tcBorders>
                  <w:vAlign w:val="center"/>
                </w:tcPr>
                <w:p w14:paraId="0FB554A0"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r>
            <w:tr w:rsidR="00C106E6" w:rsidRPr="008D1759" w14:paraId="518A6FFC" w14:textId="77777777" w:rsidTr="00833C5D">
              <w:trPr>
                <w:cantSplit/>
                <w:trHeight w:val="95"/>
              </w:trPr>
              <w:tc>
                <w:tcPr>
                  <w:tcW w:w="1671" w:type="dxa"/>
                  <w:tcBorders>
                    <w:top w:val="single" w:sz="4" w:space="0" w:color="auto"/>
                    <w:left w:val="single" w:sz="4" w:space="0" w:color="auto"/>
                    <w:bottom w:val="single" w:sz="4" w:space="0" w:color="auto"/>
                    <w:right w:val="single" w:sz="4" w:space="0" w:color="auto"/>
                  </w:tcBorders>
                  <w:vAlign w:val="center"/>
                </w:tcPr>
                <w:p w14:paraId="4AACE56D"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65EA61A2"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BB0784A"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6C03930F"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2834" w:type="dxa"/>
                  <w:tcBorders>
                    <w:top w:val="single" w:sz="4" w:space="0" w:color="auto"/>
                    <w:left w:val="single" w:sz="4" w:space="0" w:color="auto"/>
                    <w:bottom w:val="single" w:sz="4" w:space="0" w:color="auto"/>
                    <w:right w:val="single" w:sz="4" w:space="0" w:color="auto"/>
                  </w:tcBorders>
                  <w:vAlign w:val="center"/>
                </w:tcPr>
                <w:p w14:paraId="602DA11B"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r>
            <w:tr w:rsidR="00C106E6" w:rsidRPr="008D1759" w14:paraId="339561E7" w14:textId="77777777" w:rsidTr="00833C5D">
              <w:trPr>
                <w:cantSplit/>
                <w:trHeight w:val="95"/>
              </w:trPr>
              <w:tc>
                <w:tcPr>
                  <w:tcW w:w="5131" w:type="dxa"/>
                  <w:gridSpan w:val="5"/>
                  <w:tcBorders>
                    <w:top w:val="single" w:sz="4" w:space="0" w:color="auto"/>
                    <w:left w:val="single" w:sz="4" w:space="0" w:color="auto"/>
                    <w:bottom w:val="single" w:sz="4" w:space="0" w:color="auto"/>
                    <w:right w:val="single" w:sz="4" w:space="0" w:color="auto"/>
                  </w:tcBorders>
                  <w:vAlign w:val="center"/>
                </w:tcPr>
                <w:p w14:paraId="46F6F4F5" w14:textId="77777777" w:rsidR="00C106E6" w:rsidRPr="008D1759" w:rsidRDefault="00C106E6" w:rsidP="00C106E6">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1235" w:type="dxa"/>
                  <w:tcBorders>
                    <w:top w:val="single" w:sz="4" w:space="0" w:color="auto"/>
                    <w:left w:val="single" w:sz="4" w:space="0" w:color="auto"/>
                    <w:bottom w:val="single" w:sz="4" w:space="0" w:color="auto"/>
                    <w:right w:val="single" w:sz="4" w:space="0" w:color="auto"/>
                  </w:tcBorders>
                  <w:vAlign w:val="center"/>
                </w:tcPr>
                <w:p w14:paraId="0B202FC0" w14:textId="77777777" w:rsidR="00C106E6" w:rsidRPr="008D1759" w:rsidRDefault="00C106E6" w:rsidP="00C106E6">
                  <w:pPr>
                    <w:widowControl w:val="0"/>
                    <w:jc w:val="center"/>
                    <w:rPr>
                      <w:rFonts w:cs="Arial"/>
                      <w:b/>
                      <w:szCs w:val="20"/>
                    </w:rPr>
                  </w:pPr>
                </w:p>
              </w:tc>
              <w:tc>
                <w:tcPr>
                  <w:tcW w:w="2834" w:type="dxa"/>
                  <w:tcBorders>
                    <w:top w:val="single" w:sz="4" w:space="0" w:color="auto"/>
                    <w:left w:val="single" w:sz="4" w:space="0" w:color="auto"/>
                    <w:bottom w:val="single" w:sz="4" w:space="0" w:color="auto"/>
                    <w:right w:val="single" w:sz="4" w:space="0" w:color="auto"/>
                  </w:tcBorders>
                  <w:vAlign w:val="center"/>
                </w:tcPr>
                <w:p w14:paraId="6CD49CEF" w14:textId="77777777" w:rsidR="00C106E6" w:rsidRPr="008D1759" w:rsidRDefault="00C106E6" w:rsidP="00C106E6">
                  <w:pPr>
                    <w:pStyle w:val="Naslov1"/>
                    <w:keepNext w:val="0"/>
                    <w:widowControl w:val="0"/>
                    <w:tabs>
                      <w:tab w:val="left" w:pos="360"/>
                    </w:tabs>
                    <w:spacing w:before="0" w:after="0"/>
                    <w:rPr>
                      <w:rFonts w:cs="Arial"/>
                      <w:sz w:val="20"/>
                      <w:szCs w:val="20"/>
                    </w:rPr>
                  </w:pPr>
                </w:p>
              </w:tc>
            </w:tr>
            <w:tr w:rsidR="00C106E6" w:rsidRPr="008D1759" w14:paraId="2F2C05D2" w14:textId="77777777" w:rsidTr="00EC45FA">
              <w:trPr>
                <w:cantSplit/>
                <w:trHeight w:val="294"/>
              </w:trPr>
              <w:tc>
                <w:tcPr>
                  <w:tcW w:w="9200"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4D9B61C" w14:textId="77777777" w:rsidR="00C106E6" w:rsidRPr="008D1759" w:rsidRDefault="00C106E6" w:rsidP="00C106E6">
                  <w:pPr>
                    <w:pStyle w:val="Naslov1"/>
                    <w:keepNext w:val="0"/>
                    <w:widowControl w:val="0"/>
                    <w:tabs>
                      <w:tab w:val="left" w:pos="2340"/>
                    </w:tabs>
                    <w:spacing w:before="0" w:after="0"/>
                    <w:rPr>
                      <w:rFonts w:cs="Arial"/>
                      <w:sz w:val="20"/>
                      <w:szCs w:val="20"/>
                    </w:rPr>
                  </w:pPr>
                  <w:proofErr w:type="spellStart"/>
                  <w:r>
                    <w:rPr>
                      <w:rFonts w:cs="Arial"/>
                      <w:sz w:val="20"/>
                      <w:szCs w:val="20"/>
                    </w:rPr>
                    <w:t>II.b</w:t>
                  </w:r>
                  <w:proofErr w:type="spellEnd"/>
                  <w:r w:rsidRPr="008D1759">
                    <w:rPr>
                      <w:rFonts w:cs="Arial"/>
                      <w:sz w:val="20"/>
                      <w:szCs w:val="20"/>
                    </w:rPr>
                    <w:t xml:space="preserve"> Manjkajoče pravice porabe bodo za</w:t>
                  </w:r>
                  <w:r>
                    <w:rPr>
                      <w:rFonts w:cs="Arial"/>
                      <w:sz w:val="20"/>
                      <w:szCs w:val="20"/>
                    </w:rPr>
                    <w:t>gotovljene s prerazporeditvijo</w:t>
                  </w:r>
                  <w:r w:rsidRPr="00697AD9">
                    <w:rPr>
                      <w:rFonts w:cs="Arial"/>
                      <w:sz w:val="20"/>
                      <w:szCs w:val="20"/>
                    </w:rPr>
                    <w:t>:</w:t>
                  </w:r>
                </w:p>
              </w:tc>
            </w:tr>
            <w:tr w:rsidR="00C106E6" w:rsidRPr="008D1759" w14:paraId="28AE0803" w14:textId="77777777" w:rsidTr="00833C5D">
              <w:trPr>
                <w:cantSplit/>
                <w:trHeight w:val="100"/>
              </w:trPr>
              <w:tc>
                <w:tcPr>
                  <w:tcW w:w="1671" w:type="dxa"/>
                  <w:tcBorders>
                    <w:top w:val="single" w:sz="4" w:space="0" w:color="auto"/>
                    <w:left w:val="single" w:sz="4" w:space="0" w:color="auto"/>
                    <w:bottom w:val="single" w:sz="4" w:space="0" w:color="auto"/>
                    <w:right w:val="single" w:sz="4" w:space="0" w:color="auto"/>
                  </w:tcBorders>
                  <w:vAlign w:val="center"/>
                </w:tcPr>
                <w:p w14:paraId="46E8253A"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lastRenderedPageBreak/>
                    <w:t xml:space="preserve">Ime proračunskega uporabnika </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52E8F70A"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t>Šifra in naziv ukrepa, projekta</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4E5A13B9"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t xml:space="preserve">Šifra in naziv proračunske postavke </w:t>
                  </w:r>
                </w:p>
              </w:tc>
              <w:tc>
                <w:tcPr>
                  <w:tcW w:w="1235" w:type="dxa"/>
                  <w:tcBorders>
                    <w:top w:val="single" w:sz="4" w:space="0" w:color="auto"/>
                    <w:left w:val="single" w:sz="4" w:space="0" w:color="auto"/>
                    <w:bottom w:val="single" w:sz="4" w:space="0" w:color="auto"/>
                    <w:right w:val="single" w:sz="4" w:space="0" w:color="auto"/>
                  </w:tcBorders>
                  <w:vAlign w:val="center"/>
                </w:tcPr>
                <w:p w14:paraId="70B378EB"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t>Znesek za tekoče leto (t)</w:t>
                  </w:r>
                </w:p>
              </w:tc>
              <w:tc>
                <w:tcPr>
                  <w:tcW w:w="2834" w:type="dxa"/>
                  <w:tcBorders>
                    <w:top w:val="single" w:sz="4" w:space="0" w:color="auto"/>
                    <w:left w:val="single" w:sz="4" w:space="0" w:color="auto"/>
                    <w:bottom w:val="single" w:sz="4" w:space="0" w:color="auto"/>
                    <w:right w:val="single" w:sz="4" w:space="0" w:color="auto"/>
                  </w:tcBorders>
                  <w:vAlign w:val="center"/>
                </w:tcPr>
                <w:p w14:paraId="3032D1F9" w14:textId="77777777" w:rsidR="00C106E6" w:rsidRPr="002274DC" w:rsidRDefault="00C106E6" w:rsidP="00C106E6">
                  <w:pPr>
                    <w:widowControl w:val="0"/>
                    <w:jc w:val="center"/>
                    <w:rPr>
                      <w:rFonts w:ascii="Arial" w:hAnsi="Arial" w:cs="Arial"/>
                      <w:sz w:val="20"/>
                      <w:szCs w:val="20"/>
                    </w:rPr>
                  </w:pPr>
                  <w:r w:rsidRPr="002274DC">
                    <w:rPr>
                      <w:rFonts w:ascii="Arial" w:hAnsi="Arial" w:cs="Arial"/>
                      <w:sz w:val="20"/>
                      <w:szCs w:val="20"/>
                    </w:rPr>
                    <w:t xml:space="preserve">Znesek za t + 1 </w:t>
                  </w:r>
                </w:p>
              </w:tc>
            </w:tr>
            <w:tr w:rsidR="00C106E6" w:rsidRPr="008D1759" w14:paraId="2DB3EF29" w14:textId="77777777" w:rsidTr="00833C5D">
              <w:trPr>
                <w:cantSplit/>
                <w:trHeight w:val="95"/>
              </w:trPr>
              <w:tc>
                <w:tcPr>
                  <w:tcW w:w="1671" w:type="dxa"/>
                  <w:tcBorders>
                    <w:top w:val="single" w:sz="4" w:space="0" w:color="auto"/>
                    <w:left w:val="single" w:sz="4" w:space="0" w:color="auto"/>
                    <w:bottom w:val="single" w:sz="4" w:space="0" w:color="auto"/>
                    <w:right w:val="single" w:sz="4" w:space="0" w:color="auto"/>
                  </w:tcBorders>
                  <w:vAlign w:val="center"/>
                </w:tcPr>
                <w:p w14:paraId="37762AAA"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4B4F91DA"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469B26B8"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49294878"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2834" w:type="dxa"/>
                  <w:tcBorders>
                    <w:top w:val="single" w:sz="4" w:space="0" w:color="auto"/>
                    <w:left w:val="single" w:sz="4" w:space="0" w:color="auto"/>
                    <w:bottom w:val="single" w:sz="4" w:space="0" w:color="auto"/>
                    <w:right w:val="single" w:sz="4" w:space="0" w:color="auto"/>
                  </w:tcBorders>
                  <w:vAlign w:val="center"/>
                </w:tcPr>
                <w:p w14:paraId="4FCE0573"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r>
            <w:tr w:rsidR="00C106E6" w:rsidRPr="008D1759" w14:paraId="5864CF7C" w14:textId="77777777" w:rsidTr="00833C5D">
              <w:trPr>
                <w:cantSplit/>
                <w:trHeight w:val="95"/>
              </w:trPr>
              <w:tc>
                <w:tcPr>
                  <w:tcW w:w="1671" w:type="dxa"/>
                  <w:tcBorders>
                    <w:top w:val="single" w:sz="4" w:space="0" w:color="auto"/>
                    <w:left w:val="single" w:sz="4" w:space="0" w:color="auto"/>
                    <w:bottom w:val="single" w:sz="4" w:space="0" w:color="auto"/>
                    <w:right w:val="single" w:sz="4" w:space="0" w:color="auto"/>
                  </w:tcBorders>
                  <w:vAlign w:val="center"/>
                </w:tcPr>
                <w:p w14:paraId="6AEABE53"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4A946C77"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3B11E3E1"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385FEFA1"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2834" w:type="dxa"/>
                  <w:tcBorders>
                    <w:top w:val="single" w:sz="4" w:space="0" w:color="auto"/>
                    <w:left w:val="single" w:sz="4" w:space="0" w:color="auto"/>
                    <w:bottom w:val="single" w:sz="4" w:space="0" w:color="auto"/>
                    <w:right w:val="single" w:sz="4" w:space="0" w:color="auto"/>
                  </w:tcBorders>
                  <w:vAlign w:val="center"/>
                </w:tcPr>
                <w:p w14:paraId="5378B281"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r>
            <w:tr w:rsidR="00C106E6" w:rsidRPr="008D1759" w14:paraId="7F122B43" w14:textId="77777777" w:rsidTr="00833C5D">
              <w:trPr>
                <w:cantSplit/>
                <w:trHeight w:val="95"/>
              </w:trPr>
              <w:tc>
                <w:tcPr>
                  <w:tcW w:w="5131" w:type="dxa"/>
                  <w:gridSpan w:val="5"/>
                  <w:tcBorders>
                    <w:top w:val="single" w:sz="4" w:space="0" w:color="auto"/>
                    <w:left w:val="single" w:sz="4" w:space="0" w:color="auto"/>
                    <w:bottom w:val="single" w:sz="4" w:space="0" w:color="auto"/>
                    <w:right w:val="single" w:sz="4" w:space="0" w:color="auto"/>
                  </w:tcBorders>
                  <w:vAlign w:val="center"/>
                </w:tcPr>
                <w:p w14:paraId="2E78B2F9" w14:textId="77777777" w:rsidR="00C106E6" w:rsidRPr="008D1759" w:rsidRDefault="00C106E6" w:rsidP="00C106E6">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1235" w:type="dxa"/>
                  <w:tcBorders>
                    <w:top w:val="single" w:sz="4" w:space="0" w:color="auto"/>
                    <w:left w:val="single" w:sz="4" w:space="0" w:color="auto"/>
                    <w:bottom w:val="single" w:sz="4" w:space="0" w:color="auto"/>
                    <w:right w:val="single" w:sz="4" w:space="0" w:color="auto"/>
                  </w:tcBorders>
                  <w:vAlign w:val="center"/>
                </w:tcPr>
                <w:p w14:paraId="6776B5A6" w14:textId="77777777" w:rsidR="00C106E6" w:rsidRPr="008D1759" w:rsidRDefault="00C106E6" w:rsidP="00C106E6">
                  <w:pPr>
                    <w:pStyle w:val="Naslov1"/>
                    <w:keepNext w:val="0"/>
                    <w:widowControl w:val="0"/>
                    <w:tabs>
                      <w:tab w:val="left" w:pos="360"/>
                    </w:tabs>
                    <w:spacing w:before="0" w:after="0"/>
                    <w:rPr>
                      <w:rFonts w:cs="Arial"/>
                      <w:sz w:val="20"/>
                      <w:szCs w:val="20"/>
                    </w:rPr>
                  </w:pPr>
                </w:p>
              </w:tc>
              <w:tc>
                <w:tcPr>
                  <w:tcW w:w="2834" w:type="dxa"/>
                  <w:tcBorders>
                    <w:top w:val="single" w:sz="4" w:space="0" w:color="auto"/>
                    <w:left w:val="single" w:sz="4" w:space="0" w:color="auto"/>
                    <w:bottom w:val="single" w:sz="4" w:space="0" w:color="auto"/>
                    <w:right w:val="single" w:sz="4" w:space="0" w:color="auto"/>
                  </w:tcBorders>
                  <w:vAlign w:val="center"/>
                </w:tcPr>
                <w:p w14:paraId="50238E2D" w14:textId="77777777" w:rsidR="00C106E6" w:rsidRPr="008D1759" w:rsidRDefault="00C106E6" w:rsidP="00C106E6">
                  <w:pPr>
                    <w:pStyle w:val="Naslov1"/>
                    <w:keepNext w:val="0"/>
                    <w:widowControl w:val="0"/>
                    <w:tabs>
                      <w:tab w:val="left" w:pos="360"/>
                    </w:tabs>
                    <w:spacing w:before="0" w:after="0"/>
                    <w:rPr>
                      <w:rFonts w:cs="Arial"/>
                      <w:sz w:val="20"/>
                      <w:szCs w:val="20"/>
                    </w:rPr>
                  </w:pPr>
                </w:p>
              </w:tc>
            </w:tr>
            <w:tr w:rsidR="00C106E6" w:rsidRPr="008D1759" w14:paraId="204A1EE7" w14:textId="77777777" w:rsidTr="00EC45FA">
              <w:trPr>
                <w:cantSplit/>
                <w:trHeight w:val="207"/>
              </w:trPr>
              <w:tc>
                <w:tcPr>
                  <w:tcW w:w="9200" w:type="dxa"/>
                  <w:gridSpan w:val="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7129E26" w14:textId="77777777" w:rsidR="00C106E6" w:rsidRPr="008D1759" w:rsidRDefault="00C106E6" w:rsidP="00C106E6">
                  <w:pPr>
                    <w:pStyle w:val="Naslov1"/>
                    <w:keepNext w:val="0"/>
                    <w:widowControl w:val="0"/>
                    <w:tabs>
                      <w:tab w:val="left" w:pos="2340"/>
                    </w:tabs>
                    <w:spacing w:before="0" w:after="0"/>
                    <w:rPr>
                      <w:rFonts w:cs="Arial"/>
                      <w:sz w:val="20"/>
                      <w:szCs w:val="20"/>
                    </w:rPr>
                  </w:pPr>
                  <w:proofErr w:type="spellStart"/>
                  <w:r>
                    <w:rPr>
                      <w:rFonts w:cs="Arial"/>
                      <w:sz w:val="20"/>
                      <w:szCs w:val="20"/>
                    </w:rPr>
                    <w:t>II.c</w:t>
                  </w:r>
                  <w:proofErr w:type="spellEnd"/>
                  <w:r w:rsidRPr="008D1759">
                    <w:rPr>
                      <w:rFonts w:cs="Arial"/>
                      <w:sz w:val="20"/>
                      <w:szCs w:val="20"/>
                    </w:rPr>
                    <w:t xml:space="preserve"> Načrtovana nad</w:t>
                  </w:r>
                  <w:r>
                    <w:rPr>
                      <w:rFonts w:cs="Arial"/>
                      <w:sz w:val="20"/>
                      <w:szCs w:val="20"/>
                    </w:rPr>
                    <w:t>omestitev zmanjšanih prihodkov in povečanih odhodkov proračuna</w:t>
                  </w:r>
                  <w:r w:rsidRPr="00697AD9">
                    <w:rPr>
                      <w:rFonts w:cs="Arial"/>
                      <w:sz w:val="20"/>
                      <w:szCs w:val="20"/>
                    </w:rPr>
                    <w:t>:</w:t>
                  </w:r>
                </w:p>
              </w:tc>
            </w:tr>
            <w:tr w:rsidR="00C106E6" w:rsidRPr="002274DC" w14:paraId="62D46C8E" w14:textId="77777777" w:rsidTr="00833C5D">
              <w:trPr>
                <w:cantSplit/>
                <w:trHeight w:val="100"/>
              </w:trPr>
              <w:tc>
                <w:tcPr>
                  <w:tcW w:w="2941" w:type="dxa"/>
                  <w:gridSpan w:val="3"/>
                  <w:tcBorders>
                    <w:top w:val="single" w:sz="4" w:space="0" w:color="auto"/>
                    <w:left w:val="single" w:sz="4" w:space="0" w:color="auto"/>
                    <w:bottom w:val="single" w:sz="4" w:space="0" w:color="auto"/>
                    <w:right w:val="single" w:sz="4" w:space="0" w:color="auto"/>
                  </w:tcBorders>
                  <w:vAlign w:val="center"/>
                </w:tcPr>
                <w:p w14:paraId="56904A93" w14:textId="77777777" w:rsidR="00C106E6" w:rsidRPr="002274DC" w:rsidRDefault="00C106E6" w:rsidP="00C106E6">
                  <w:pPr>
                    <w:widowControl w:val="0"/>
                    <w:ind w:left="-122" w:right="-112"/>
                    <w:jc w:val="center"/>
                    <w:rPr>
                      <w:rFonts w:ascii="Arial" w:hAnsi="Arial" w:cs="Arial"/>
                      <w:sz w:val="20"/>
                      <w:szCs w:val="20"/>
                    </w:rPr>
                  </w:pPr>
                  <w:r w:rsidRPr="002274DC">
                    <w:rPr>
                      <w:rFonts w:ascii="Arial" w:hAnsi="Arial" w:cs="Arial"/>
                      <w:sz w:val="20"/>
                      <w:szCs w:val="20"/>
                    </w:rPr>
                    <w:t>Novi prihodki</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7889CE41" w14:textId="77777777" w:rsidR="00C106E6" w:rsidRPr="002274DC" w:rsidRDefault="00C106E6" w:rsidP="00C106E6">
                  <w:pPr>
                    <w:widowControl w:val="0"/>
                    <w:ind w:left="-122" w:right="-112"/>
                    <w:jc w:val="center"/>
                    <w:rPr>
                      <w:rFonts w:ascii="Arial" w:hAnsi="Arial" w:cs="Arial"/>
                      <w:sz w:val="20"/>
                      <w:szCs w:val="20"/>
                    </w:rPr>
                  </w:pPr>
                  <w:r w:rsidRPr="002274DC">
                    <w:rPr>
                      <w:rFonts w:ascii="Arial" w:hAnsi="Arial" w:cs="Arial"/>
                      <w:sz w:val="20"/>
                      <w:szCs w:val="20"/>
                    </w:rPr>
                    <w:t>Znesek za tekoče leto (t)</w:t>
                  </w:r>
                </w:p>
              </w:tc>
              <w:tc>
                <w:tcPr>
                  <w:tcW w:w="4069" w:type="dxa"/>
                  <w:gridSpan w:val="2"/>
                  <w:tcBorders>
                    <w:top w:val="single" w:sz="4" w:space="0" w:color="auto"/>
                    <w:left w:val="single" w:sz="4" w:space="0" w:color="auto"/>
                    <w:bottom w:val="single" w:sz="4" w:space="0" w:color="auto"/>
                    <w:right w:val="single" w:sz="4" w:space="0" w:color="auto"/>
                  </w:tcBorders>
                  <w:vAlign w:val="center"/>
                </w:tcPr>
                <w:p w14:paraId="59BA802F" w14:textId="77777777" w:rsidR="00C106E6" w:rsidRPr="002274DC" w:rsidRDefault="00C106E6" w:rsidP="00C106E6">
                  <w:pPr>
                    <w:widowControl w:val="0"/>
                    <w:ind w:left="-122" w:right="-112"/>
                    <w:jc w:val="center"/>
                    <w:rPr>
                      <w:rFonts w:ascii="Arial" w:hAnsi="Arial" w:cs="Arial"/>
                      <w:sz w:val="20"/>
                      <w:szCs w:val="20"/>
                    </w:rPr>
                  </w:pPr>
                  <w:r w:rsidRPr="002274DC">
                    <w:rPr>
                      <w:rFonts w:ascii="Arial" w:hAnsi="Arial" w:cs="Arial"/>
                      <w:sz w:val="20"/>
                      <w:szCs w:val="20"/>
                    </w:rPr>
                    <w:t>Znesek za t + 1</w:t>
                  </w:r>
                </w:p>
              </w:tc>
            </w:tr>
            <w:tr w:rsidR="00C106E6" w:rsidRPr="008D1759" w14:paraId="6AAAA75F" w14:textId="77777777" w:rsidTr="00833C5D">
              <w:trPr>
                <w:cantSplit/>
                <w:trHeight w:val="95"/>
              </w:trPr>
              <w:tc>
                <w:tcPr>
                  <w:tcW w:w="2941" w:type="dxa"/>
                  <w:gridSpan w:val="3"/>
                  <w:tcBorders>
                    <w:top w:val="single" w:sz="4" w:space="0" w:color="auto"/>
                    <w:left w:val="single" w:sz="4" w:space="0" w:color="auto"/>
                    <w:bottom w:val="single" w:sz="4" w:space="0" w:color="auto"/>
                    <w:right w:val="single" w:sz="4" w:space="0" w:color="auto"/>
                  </w:tcBorders>
                  <w:vAlign w:val="center"/>
                </w:tcPr>
                <w:p w14:paraId="0A55697E"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09BCBB74"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4069" w:type="dxa"/>
                  <w:gridSpan w:val="2"/>
                  <w:tcBorders>
                    <w:top w:val="single" w:sz="4" w:space="0" w:color="auto"/>
                    <w:left w:val="single" w:sz="4" w:space="0" w:color="auto"/>
                    <w:bottom w:val="single" w:sz="4" w:space="0" w:color="auto"/>
                    <w:right w:val="single" w:sz="4" w:space="0" w:color="auto"/>
                  </w:tcBorders>
                  <w:vAlign w:val="center"/>
                </w:tcPr>
                <w:p w14:paraId="286FF8DB"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r>
            <w:tr w:rsidR="00C106E6" w:rsidRPr="008D1759" w14:paraId="6B213AF7" w14:textId="77777777" w:rsidTr="00833C5D">
              <w:trPr>
                <w:cantSplit/>
                <w:trHeight w:val="95"/>
              </w:trPr>
              <w:tc>
                <w:tcPr>
                  <w:tcW w:w="2941" w:type="dxa"/>
                  <w:gridSpan w:val="3"/>
                  <w:tcBorders>
                    <w:top w:val="single" w:sz="4" w:space="0" w:color="auto"/>
                    <w:left w:val="single" w:sz="4" w:space="0" w:color="auto"/>
                    <w:bottom w:val="single" w:sz="4" w:space="0" w:color="auto"/>
                    <w:right w:val="single" w:sz="4" w:space="0" w:color="auto"/>
                  </w:tcBorders>
                  <w:vAlign w:val="center"/>
                </w:tcPr>
                <w:p w14:paraId="2FE3E219"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546592DA"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4069" w:type="dxa"/>
                  <w:gridSpan w:val="2"/>
                  <w:tcBorders>
                    <w:top w:val="single" w:sz="4" w:space="0" w:color="auto"/>
                    <w:left w:val="single" w:sz="4" w:space="0" w:color="auto"/>
                    <w:bottom w:val="single" w:sz="4" w:space="0" w:color="auto"/>
                    <w:right w:val="single" w:sz="4" w:space="0" w:color="auto"/>
                  </w:tcBorders>
                  <w:vAlign w:val="center"/>
                </w:tcPr>
                <w:p w14:paraId="57BF90C2"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r>
            <w:tr w:rsidR="00C106E6" w:rsidRPr="008D1759" w14:paraId="490EDF0E" w14:textId="77777777" w:rsidTr="00833C5D">
              <w:trPr>
                <w:cantSplit/>
                <w:trHeight w:val="95"/>
              </w:trPr>
              <w:tc>
                <w:tcPr>
                  <w:tcW w:w="2941" w:type="dxa"/>
                  <w:gridSpan w:val="3"/>
                  <w:tcBorders>
                    <w:top w:val="single" w:sz="4" w:space="0" w:color="auto"/>
                    <w:left w:val="single" w:sz="4" w:space="0" w:color="auto"/>
                    <w:bottom w:val="single" w:sz="4" w:space="0" w:color="auto"/>
                    <w:right w:val="single" w:sz="4" w:space="0" w:color="auto"/>
                  </w:tcBorders>
                  <w:vAlign w:val="center"/>
                </w:tcPr>
                <w:p w14:paraId="74E0036C"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50F04370"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c>
                <w:tcPr>
                  <w:tcW w:w="4069" w:type="dxa"/>
                  <w:gridSpan w:val="2"/>
                  <w:tcBorders>
                    <w:top w:val="single" w:sz="4" w:space="0" w:color="auto"/>
                    <w:left w:val="single" w:sz="4" w:space="0" w:color="auto"/>
                    <w:bottom w:val="single" w:sz="4" w:space="0" w:color="auto"/>
                    <w:right w:val="single" w:sz="4" w:space="0" w:color="auto"/>
                  </w:tcBorders>
                  <w:vAlign w:val="center"/>
                </w:tcPr>
                <w:p w14:paraId="2C580D9C" w14:textId="77777777" w:rsidR="00C106E6" w:rsidRPr="008D1759" w:rsidRDefault="00C106E6" w:rsidP="00C106E6">
                  <w:pPr>
                    <w:pStyle w:val="Naslov1"/>
                    <w:keepNext w:val="0"/>
                    <w:widowControl w:val="0"/>
                    <w:tabs>
                      <w:tab w:val="left" w:pos="360"/>
                    </w:tabs>
                    <w:spacing w:before="0" w:after="0"/>
                    <w:rPr>
                      <w:rFonts w:cs="Arial"/>
                      <w:b w:val="0"/>
                      <w:bCs/>
                      <w:sz w:val="20"/>
                      <w:szCs w:val="20"/>
                    </w:rPr>
                  </w:pPr>
                </w:p>
              </w:tc>
            </w:tr>
            <w:tr w:rsidR="00C106E6" w:rsidRPr="008D1759" w14:paraId="31DD25EA" w14:textId="77777777" w:rsidTr="00833C5D">
              <w:trPr>
                <w:cantSplit/>
                <w:trHeight w:val="95"/>
              </w:trPr>
              <w:tc>
                <w:tcPr>
                  <w:tcW w:w="2941" w:type="dxa"/>
                  <w:gridSpan w:val="3"/>
                  <w:tcBorders>
                    <w:top w:val="single" w:sz="4" w:space="0" w:color="auto"/>
                    <w:left w:val="single" w:sz="4" w:space="0" w:color="auto"/>
                    <w:bottom w:val="single" w:sz="4" w:space="0" w:color="auto"/>
                    <w:right w:val="single" w:sz="4" w:space="0" w:color="auto"/>
                  </w:tcBorders>
                  <w:vAlign w:val="center"/>
                </w:tcPr>
                <w:p w14:paraId="5A8FFD91" w14:textId="77777777" w:rsidR="00C106E6" w:rsidRPr="008D1759" w:rsidRDefault="00C106E6" w:rsidP="00C106E6">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0FF8994" w14:textId="77777777" w:rsidR="00C106E6" w:rsidRPr="008D1759" w:rsidRDefault="00C106E6" w:rsidP="00C106E6">
                  <w:pPr>
                    <w:pStyle w:val="Naslov1"/>
                    <w:keepNext w:val="0"/>
                    <w:widowControl w:val="0"/>
                    <w:tabs>
                      <w:tab w:val="left" w:pos="360"/>
                    </w:tabs>
                    <w:spacing w:before="0" w:after="0"/>
                    <w:rPr>
                      <w:rFonts w:cs="Arial"/>
                      <w:sz w:val="20"/>
                      <w:szCs w:val="20"/>
                    </w:rPr>
                  </w:pPr>
                </w:p>
              </w:tc>
              <w:tc>
                <w:tcPr>
                  <w:tcW w:w="4069" w:type="dxa"/>
                  <w:gridSpan w:val="2"/>
                  <w:tcBorders>
                    <w:top w:val="single" w:sz="4" w:space="0" w:color="auto"/>
                    <w:left w:val="single" w:sz="4" w:space="0" w:color="auto"/>
                    <w:bottom w:val="single" w:sz="4" w:space="0" w:color="auto"/>
                    <w:right w:val="single" w:sz="4" w:space="0" w:color="auto"/>
                  </w:tcBorders>
                  <w:vAlign w:val="center"/>
                </w:tcPr>
                <w:p w14:paraId="464DCDCE" w14:textId="77777777" w:rsidR="00C106E6" w:rsidRPr="008D1759" w:rsidRDefault="00C106E6" w:rsidP="00C106E6">
                  <w:pPr>
                    <w:pStyle w:val="Naslov1"/>
                    <w:keepNext w:val="0"/>
                    <w:widowControl w:val="0"/>
                    <w:tabs>
                      <w:tab w:val="left" w:pos="360"/>
                    </w:tabs>
                    <w:spacing w:before="0" w:after="0"/>
                    <w:rPr>
                      <w:rFonts w:cs="Arial"/>
                      <w:sz w:val="20"/>
                      <w:szCs w:val="20"/>
                    </w:rPr>
                  </w:pPr>
                </w:p>
              </w:tc>
            </w:tr>
            <w:tr w:rsidR="00C106E6" w:rsidRPr="008D1759" w14:paraId="5A9D92E4" w14:textId="77777777" w:rsidTr="00833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43FD4" w14:textId="77777777" w:rsidR="00C106E6" w:rsidRPr="002274DC" w:rsidRDefault="00C106E6" w:rsidP="00C106E6">
                  <w:pPr>
                    <w:widowControl w:val="0"/>
                    <w:rPr>
                      <w:rFonts w:ascii="Arial" w:hAnsi="Arial" w:cs="Arial"/>
                      <w:b/>
                      <w:sz w:val="20"/>
                      <w:szCs w:val="20"/>
                    </w:rPr>
                  </w:pPr>
                </w:p>
                <w:p w14:paraId="1A1155E0" w14:textId="77777777" w:rsidR="00C106E6" w:rsidRPr="002274DC" w:rsidRDefault="00C106E6" w:rsidP="00C106E6">
                  <w:pPr>
                    <w:widowControl w:val="0"/>
                    <w:rPr>
                      <w:rFonts w:ascii="Arial" w:hAnsi="Arial" w:cs="Arial"/>
                      <w:b/>
                      <w:sz w:val="20"/>
                      <w:szCs w:val="20"/>
                    </w:rPr>
                  </w:pPr>
                  <w:r w:rsidRPr="002274DC">
                    <w:rPr>
                      <w:rFonts w:ascii="Arial" w:hAnsi="Arial" w:cs="Arial"/>
                      <w:b/>
                      <w:sz w:val="20"/>
                      <w:szCs w:val="20"/>
                    </w:rPr>
                    <w:t>OBRAZLOŽITEV:</w:t>
                  </w:r>
                </w:p>
                <w:p w14:paraId="26182C26" w14:textId="77777777" w:rsidR="00C106E6" w:rsidRPr="002274DC" w:rsidRDefault="00C106E6" w:rsidP="00C106E6">
                  <w:pPr>
                    <w:widowControl w:val="0"/>
                    <w:numPr>
                      <w:ilvl w:val="0"/>
                      <w:numId w:val="8"/>
                    </w:numPr>
                    <w:suppressAutoHyphens/>
                    <w:spacing w:after="0" w:line="260" w:lineRule="exact"/>
                    <w:ind w:left="284" w:hanging="284"/>
                    <w:jc w:val="both"/>
                    <w:rPr>
                      <w:rFonts w:ascii="Arial" w:hAnsi="Arial" w:cs="Arial"/>
                      <w:b/>
                      <w:sz w:val="20"/>
                      <w:szCs w:val="20"/>
                      <w:lang w:eastAsia="sl-SI"/>
                    </w:rPr>
                  </w:pPr>
                  <w:r w:rsidRPr="002274DC">
                    <w:rPr>
                      <w:rFonts w:ascii="Arial" w:hAnsi="Arial" w:cs="Arial"/>
                      <w:b/>
                      <w:sz w:val="20"/>
                      <w:szCs w:val="20"/>
                      <w:lang w:eastAsia="sl-SI"/>
                    </w:rPr>
                    <w:t>Ocena finančnih posledic, ki niso načrtovane v sprejetem proračunu</w:t>
                  </w:r>
                </w:p>
                <w:p w14:paraId="1FB61AD4" w14:textId="77777777" w:rsidR="00C106E6" w:rsidRDefault="00C106E6" w:rsidP="00C106E6">
                  <w:pPr>
                    <w:spacing w:line="276" w:lineRule="auto"/>
                  </w:pPr>
                </w:p>
                <w:p w14:paraId="417CF5DB" w14:textId="77777777" w:rsidR="00C106E6" w:rsidRPr="002274DC" w:rsidRDefault="00C106E6" w:rsidP="00C106E6">
                  <w:pPr>
                    <w:widowControl w:val="0"/>
                    <w:numPr>
                      <w:ilvl w:val="0"/>
                      <w:numId w:val="8"/>
                    </w:numPr>
                    <w:suppressAutoHyphens/>
                    <w:spacing w:after="0" w:line="260" w:lineRule="exact"/>
                    <w:ind w:left="284" w:hanging="284"/>
                    <w:jc w:val="both"/>
                    <w:rPr>
                      <w:rFonts w:ascii="Arial" w:hAnsi="Arial" w:cs="Arial"/>
                      <w:b/>
                      <w:sz w:val="20"/>
                      <w:szCs w:val="20"/>
                      <w:lang w:eastAsia="sl-SI"/>
                    </w:rPr>
                  </w:pPr>
                  <w:r w:rsidRPr="002274DC">
                    <w:rPr>
                      <w:rFonts w:ascii="Arial" w:hAnsi="Arial" w:cs="Arial"/>
                      <w:b/>
                      <w:sz w:val="20"/>
                      <w:szCs w:val="20"/>
                      <w:lang w:eastAsia="sl-SI"/>
                    </w:rPr>
                    <w:t>Finančne posledice za državni proračun</w:t>
                  </w:r>
                </w:p>
                <w:p w14:paraId="71F099E3" w14:textId="77777777" w:rsidR="00C106E6" w:rsidRDefault="00C106E6" w:rsidP="00C106E6">
                  <w:pPr>
                    <w:widowControl w:val="0"/>
                    <w:ind w:left="284"/>
                    <w:jc w:val="both"/>
                    <w:rPr>
                      <w:rFonts w:ascii="Arial" w:hAnsi="Arial" w:cs="Arial"/>
                      <w:color w:val="A6A6A6"/>
                      <w:sz w:val="20"/>
                      <w:szCs w:val="20"/>
                      <w:lang w:eastAsia="sl-SI"/>
                    </w:rPr>
                  </w:pPr>
                  <w:r w:rsidRPr="00441D47">
                    <w:rPr>
                      <w:rFonts w:ascii="Arial" w:hAnsi="Arial" w:cs="Arial"/>
                      <w:color w:val="A6A6A6"/>
                      <w:sz w:val="20"/>
                      <w:szCs w:val="20"/>
                      <w:lang w:eastAsia="sl-SI"/>
                    </w:rPr>
                    <w:t>Prikazane morajo biti finančne posledice za državni proračun, ki so na proračunskih postavkah načrtovane v dinamiki projektov oziroma ukrepov:</w:t>
                  </w:r>
                </w:p>
                <w:p w14:paraId="364C96AC" w14:textId="77777777" w:rsidR="00C106E6" w:rsidRPr="00441D47" w:rsidRDefault="00C106E6" w:rsidP="00C106E6">
                  <w:pPr>
                    <w:widowControl w:val="0"/>
                    <w:ind w:left="284"/>
                    <w:jc w:val="both"/>
                    <w:rPr>
                      <w:rFonts w:ascii="Arial" w:hAnsi="Arial" w:cs="Arial"/>
                      <w:color w:val="A6A6A6"/>
                      <w:sz w:val="20"/>
                      <w:szCs w:val="20"/>
                      <w:lang w:eastAsia="sl-SI"/>
                    </w:rPr>
                  </w:pPr>
                </w:p>
                <w:p w14:paraId="333D0C0B" w14:textId="77777777" w:rsidR="00C106E6" w:rsidRPr="002274DC" w:rsidRDefault="00C106E6" w:rsidP="00C106E6">
                  <w:pPr>
                    <w:widowControl w:val="0"/>
                    <w:suppressAutoHyphens/>
                    <w:ind w:left="720"/>
                    <w:jc w:val="both"/>
                    <w:rPr>
                      <w:rFonts w:ascii="Arial" w:hAnsi="Arial" w:cs="Arial"/>
                      <w:b/>
                      <w:sz w:val="20"/>
                      <w:szCs w:val="20"/>
                      <w:lang w:eastAsia="sl-SI"/>
                    </w:rPr>
                  </w:pPr>
                  <w:proofErr w:type="spellStart"/>
                  <w:r w:rsidRPr="002274DC">
                    <w:rPr>
                      <w:rFonts w:ascii="Arial" w:hAnsi="Arial" w:cs="Arial"/>
                      <w:b/>
                      <w:sz w:val="20"/>
                      <w:szCs w:val="20"/>
                      <w:lang w:eastAsia="sl-SI"/>
                    </w:rPr>
                    <w:t>II.a</w:t>
                  </w:r>
                  <w:proofErr w:type="spellEnd"/>
                  <w:r w:rsidRPr="002274DC">
                    <w:rPr>
                      <w:rFonts w:ascii="Arial" w:hAnsi="Arial" w:cs="Arial"/>
                      <w:b/>
                      <w:sz w:val="20"/>
                      <w:szCs w:val="20"/>
                      <w:lang w:eastAsia="sl-SI"/>
                    </w:rPr>
                    <w:t xml:space="preserve"> Pravice porabe za izvedbo predlaganih rešitev so zagotovljene:</w:t>
                  </w:r>
                </w:p>
                <w:p w14:paraId="4803C761" w14:textId="77777777" w:rsidR="00C106E6" w:rsidRPr="00441D47" w:rsidRDefault="00C106E6" w:rsidP="00C106E6">
                  <w:pPr>
                    <w:widowControl w:val="0"/>
                    <w:ind w:left="284"/>
                    <w:jc w:val="both"/>
                    <w:rPr>
                      <w:rFonts w:ascii="Arial" w:hAnsi="Arial" w:cs="Arial"/>
                      <w:color w:val="A6A6A6"/>
                      <w:sz w:val="20"/>
                      <w:szCs w:val="20"/>
                      <w:lang w:eastAsia="sl-SI"/>
                    </w:rPr>
                  </w:pPr>
                  <w:r w:rsidRPr="00441D47">
                    <w:rPr>
                      <w:rFonts w:ascii="Arial" w:hAnsi="Arial" w:cs="Arial"/>
                      <w:color w:val="A6A6A6"/>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41D47">
                    <w:rPr>
                      <w:rFonts w:ascii="Arial" w:hAnsi="Arial" w:cs="Arial"/>
                      <w:color w:val="A6A6A6"/>
                      <w:sz w:val="20"/>
                      <w:szCs w:val="20"/>
                      <w:lang w:eastAsia="sl-SI"/>
                    </w:rPr>
                    <w:t>II.b</w:t>
                  </w:r>
                  <w:proofErr w:type="spellEnd"/>
                  <w:r w:rsidRPr="00441D47">
                    <w:rPr>
                      <w:rFonts w:ascii="Arial" w:hAnsi="Arial" w:cs="Arial"/>
                      <w:color w:val="A6A6A6"/>
                      <w:sz w:val="20"/>
                      <w:szCs w:val="20"/>
                      <w:lang w:eastAsia="sl-SI"/>
                    </w:rPr>
                    <w:t>). Pri uvrstitvi novega projekta oziroma ukrepa v načrt razvojnih programov se navedejo:</w:t>
                  </w:r>
                </w:p>
                <w:p w14:paraId="5404B5B8" w14:textId="77777777" w:rsidR="00C106E6" w:rsidRPr="00441D47" w:rsidRDefault="00C106E6" w:rsidP="00C106E6">
                  <w:pPr>
                    <w:widowControl w:val="0"/>
                    <w:numPr>
                      <w:ilvl w:val="0"/>
                      <w:numId w:val="11"/>
                    </w:numPr>
                    <w:suppressAutoHyphens/>
                    <w:spacing w:after="0" w:line="260" w:lineRule="exact"/>
                    <w:jc w:val="both"/>
                    <w:rPr>
                      <w:rFonts w:ascii="Arial" w:hAnsi="Arial" w:cs="Arial"/>
                      <w:color w:val="A6A6A6"/>
                      <w:sz w:val="20"/>
                      <w:szCs w:val="20"/>
                      <w:lang w:eastAsia="sl-SI"/>
                    </w:rPr>
                  </w:pPr>
                  <w:r w:rsidRPr="00441D47">
                    <w:rPr>
                      <w:rFonts w:ascii="Arial" w:hAnsi="Arial" w:cs="Arial"/>
                      <w:color w:val="A6A6A6"/>
                      <w:sz w:val="20"/>
                      <w:szCs w:val="20"/>
                      <w:lang w:eastAsia="sl-SI"/>
                    </w:rPr>
                    <w:t>proračunski uporabnik, ki bo financiral novi projekt oziroma ukrep,</w:t>
                  </w:r>
                </w:p>
                <w:p w14:paraId="53BC39BF" w14:textId="77777777" w:rsidR="00C106E6" w:rsidRPr="00441D47" w:rsidRDefault="00C106E6" w:rsidP="00C106E6">
                  <w:pPr>
                    <w:widowControl w:val="0"/>
                    <w:numPr>
                      <w:ilvl w:val="0"/>
                      <w:numId w:val="11"/>
                    </w:numPr>
                    <w:suppressAutoHyphens/>
                    <w:spacing w:after="0" w:line="260" w:lineRule="exact"/>
                    <w:jc w:val="both"/>
                    <w:rPr>
                      <w:rFonts w:ascii="Arial" w:hAnsi="Arial" w:cs="Arial"/>
                      <w:color w:val="A6A6A6"/>
                      <w:sz w:val="20"/>
                      <w:szCs w:val="20"/>
                      <w:lang w:eastAsia="sl-SI"/>
                    </w:rPr>
                  </w:pPr>
                  <w:r w:rsidRPr="00441D47">
                    <w:rPr>
                      <w:rFonts w:ascii="Arial" w:hAnsi="Arial" w:cs="Arial"/>
                      <w:color w:val="A6A6A6"/>
                      <w:sz w:val="20"/>
                      <w:szCs w:val="20"/>
                      <w:lang w:eastAsia="sl-SI"/>
                    </w:rPr>
                    <w:t xml:space="preserve">projekt oziroma ukrep, s katerim se bodo dosegli cilji vladnega gradiva, in </w:t>
                  </w:r>
                </w:p>
                <w:p w14:paraId="77002F6C" w14:textId="77777777" w:rsidR="00C106E6" w:rsidRPr="00441D47" w:rsidRDefault="00C106E6" w:rsidP="00C106E6">
                  <w:pPr>
                    <w:widowControl w:val="0"/>
                    <w:numPr>
                      <w:ilvl w:val="0"/>
                      <w:numId w:val="11"/>
                    </w:numPr>
                    <w:suppressAutoHyphens/>
                    <w:spacing w:after="0" w:line="260" w:lineRule="exact"/>
                    <w:jc w:val="both"/>
                    <w:rPr>
                      <w:rFonts w:ascii="Arial" w:hAnsi="Arial" w:cs="Arial"/>
                      <w:color w:val="A6A6A6"/>
                      <w:sz w:val="20"/>
                      <w:szCs w:val="20"/>
                      <w:lang w:eastAsia="sl-SI"/>
                    </w:rPr>
                  </w:pPr>
                  <w:r w:rsidRPr="00441D47">
                    <w:rPr>
                      <w:rFonts w:ascii="Arial" w:hAnsi="Arial" w:cs="Arial"/>
                      <w:color w:val="A6A6A6"/>
                      <w:sz w:val="20"/>
                      <w:szCs w:val="20"/>
                      <w:lang w:eastAsia="sl-SI"/>
                    </w:rPr>
                    <w:t>proračunske postavke.</w:t>
                  </w:r>
                </w:p>
                <w:p w14:paraId="5D2836AC" w14:textId="77777777" w:rsidR="00C106E6" w:rsidRPr="00441D47" w:rsidRDefault="00C106E6" w:rsidP="00C106E6">
                  <w:pPr>
                    <w:widowControl w:val="0"/>
                    <w:ind w:left="284"/>
                    <w:jc w:val="both"/>
                    <w:rPr>
                      <w:rFonts w:ascii="Arial" w:hAnsi="Arial" w:cs="Arial"/>
                      <w:color w:val="A6A6A6"/>
                      <w:sz w:val="20"/>
                      <w:szCs w:val="20"/>
                      <w:lang w:eastAsia="sl-SI"/>
                    </w:rPr>
                  </w:pPr>
                  <w:r w:rsidRPr="00441D47">
                    <w:rPr>
                      <w:rFonts w:ascii="Arial" w:hAnsi="Arial" w:cs="Arial"/>
                      <w:color w:val="A6A6A6"/>
                      <w:sz w:val="20"/>
                      <w:szCs w:val="20"/>
                      <w:lang w:eastAsia="sl-SI"/>
                    </w:rPr>
                    <w:t xml:space="preserve">Za zagotovitev pravic porabe na proračunskih postavkah, s katerih se bo financiral novi projekt oziroma ukrep, je treba izpolniti tudi točko </w:t>
                  </w:r>
                  <w:proofErr w:type="spellStart"/>
                  <w:r w:rsidRPr="00441D47">
                    <w:rPr>
                      <w:rFonts w:ascii="Arial" w:hAnsi="Arial" w:cs="Arial"/>
                      <w:color w:val="A6A6A6"/>
                      <w:sz w:val="20"/>
                      <w:szCs w:val="20"/>
                      <w:lang w:eastAsia="sl-SI"/>
                    </w:rPr>
                    <w:t>II.b</w:t>
                  </w:r>
                  <w:proofErr w:type="spellEnd"/>
                  <w:r w:rsidRPr="00441D47">
                    <w:rPr>
                      <w:rFonts w:ascii="Arial" w:hAnsi="Arial" w:cs="Arial"/>
                      <w:color w:val="A6A6A6"/>
                      <w:sz w:val="20"/>
                      <w:szCs w:val="20"/>
                      <w:lang w:eastAsia="sl-SI"/>
                    </w:rPr>
                    <w:t>, saj je za novi projekt oziroma ukrep mogoče zagotoviti pravice porabe le s prerazporeditvijo s proračunskih postavk, s katerih se financirajo že sprejeti oziroma veljavni projekti in ukrepi.</w:t>
                  </w:r>
                </w:p>
                <w:p w14:paraId="6AC648D0" w14:textId="77777777" w:rsidR="00C106E6" w:rsidRPr="002274DC" w:rsidRDefault="00C106E6" w:rsidP="00C106E6">
                  <w:pPr>
                    <w:widowControl w:val="0"/>
                    <w:suppressAutoHyphens/>
                    <w:ind w:left="714"/>
                    <w:jc w:val="both"/>
                    <w:rPr>
                      <w:rFonts w:ascii="Arial" w:hAnsi="Arial" w:cs="Arial"/>
                      <w:b/>
                      <w:sz w:val="20"/>
                      <w:szCs w:val="20"/>
                      <w:lang w:eastAsia="sl-SI"/>
                    </w:rPr>
                  </w:pPr>
                  <w:proofErr w:type="spellStart"/>
                  <w:r w:rsidRPr="002274DC">
                    <w:rPr>
                      <w:rFonts w:ascii="Arial" w:hAnsi="Arial" w:cs="Arial"/>
                      <w:b/>
                      <w:sz w:val="20"/>
                      <w:szCs w:val="20"/>
                      <w:lang w:eastAsia="sl-SI"/>
                    </w:rPr>
                    <w:t>II.b</w:t>
                  </w:r>
                  <w:proofErr w:type="spellEnd"/>
                  <w:r w:rsidRPr="002274DC">
                    <w:rPr>
                      <w:rFonts w:ascii="Arial" w:hAnsi="Arial" w:cs="Arial"/>
                      <w:b/>
                      <w:sz w:val="20"/>
                      <w:szCs w:val="20"/>
                      <w:lang w:eastAsia="sl-SI"/>
                    </w:rPr>
                    <w:t xml:space="preserve"> Manjkajoče pravice porabe bodo zagotovljene s prerazporeditvijo:</w:t>
                  </w:r>
                </w:p>
                <w:p w14:paraId="53E435B8" w14:textId="77777777" w:rsidR="00C106E6" w:rsidRPr="00441D47" w:rsidRDefault="00C106E6" w:rsidP="00C106E6">
                  <w:pPr>
                    <w:widowControl w:val="0"/>
                    <w:ind w:left="284"/>
                    <w:jc w:val="both"/>
                    <w:rPr>
                      <w:rFonts w:ascii="Arial" w:hAnsi="Arial" w:cs="Arial"/>
                      <w:color w:val="A6A6A6"/>
                      <w:sz w:val="20"/>
                      <w:szCs w:val="20"/>
                      <w:lang w:eastAsia="sl-SI"/>
                    </w:rPr>
                  </w:pPr>
                  <w:r w:rsidRPr="00441D47">
                    <w:rPr>
                      <w:rFonts w:ascii="Arial" w:hAnsi="Arial" w:cs="Arial"/>
                      <w:color w:val="A6A6A6"/>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441D47">
                    <w:rPr>
                      <w:rFonts w:ascii="Arial" w:hAnsi="Arial" w:cs="Arial"/>
                      <w:color w:val="A6A6A6"/>
                      <w:sz w:val="20"/>
                      <w:szCs w:val="20"/>
                      <w:lang w:eastAsia="sl-SI"/>
                    </w:rPr>
                    <w:t>II.a</w:t>
                  </w:r>
                  <w:proofErr w:type="spellEnd"/>
                  <w:r w:rsidRPr="00441D47">
                    <w:rPr>
                      <w:rFonts w:ascii="Arial" w:hAnsi="Arial" w:cs="Arial"/>
                      <w:color w:val="A6A6A6"/>
                      <w:sz w:val="20"/>
                      <w:szCs w:val="20"/>
                      <w:lang w:eastAsia="sl-SI"/>
                    </w:rPr>
                    <w:t>.</w:t>
                  </w:r>
                </w:p>
                <w:p w14:paraId="74EDABE2" w14:textId="77777777" w:rsidR="00C106E6" w:rsidRPr="002274DC" w:rsidRDefault="00C106E6" w:rsidP="00C106E6">
                  <w:pPr>
                    <w:widowControl w:val="0"/>
                    <w:suppressAutoHyphens/>
                    <w:ind w:left="714"/>
                    <w:jc w:val="both"/>
                    <w:rPr>
                      <w:rFonts w:ascii="Arial" w:hAnsi="Arial" w:cs="Arial"/>
                      <w:b/>
                      <w:sz w:val="20"/>
                      <w:szCs w:val="20"/>
                      <w:lang w:eastAsia="sl-SI"/>
                    </w:rPr>
                  </w:pPr>
                  <w:proofErr w:type="spellStart"/>
                  <w:r w:rsidRPr="002274DC">
                    <w:rPr>
                      <w:rFonts w:ascii="Arial" w:hAnsi="Arial" w:cs="Arial"/>
                      <w:b/>
                      <w:sz w:val="20"/>
                      <w:szCs w:val="20"/>
                      <w:lang w:eastAsia="sl-SI"/>
                    </w:rPr>
                    <w:t>II.c</w:t>
                  </w:r>
                  <w:proofErr w:type="spellEnd"/>
                  <w:r w:rsidRPr="002274DC">
                    <w:rPr>
                      <w:rFonts w:ascii="Arial" w:hAnsi="Arial" w:cs="Arial"/>
                      <w:b/>
                      <w:sz w:val="20"/>
                      <w:szCs w:val="20"/>
                      <w:lang w:eastAsia="sl-SI"/>
                    </w:rPr>
                    <w:t xml:space="preserve"> Načrtovana nadomestitev zmanjšanih prihodkov in povečanih odhodkov proračuna:</w:t>
                  </w:r>
                </w:p>
                <w:p w14:paraId="5CE7E759" w14:textId="77777777" w:rsidR="00C106E6" w:rsidRPr="00441D47" w:rsidRDefault="00C106E6" w:rsidP="00C106E6">
                  <w:pPr>
                    <w:widowControl w:val="0"/>
                    <w:ind w:left="284"/>
                    <w:jc w:val="both"/>
                    <w:rPr>
                      <w:rFonts w:ascii="Arial" w:hAnsi="Arial" w:cs="Arial"/>
                      <w:color w:val="A6A6A6"/>
                      <w:sz w:val="20"/>
                      <w:szCs w:val="20"/>
                      <w:lang w:eastAsia="sl-SI"/>
                    </w:rPr>
                  </w:pPr>
                  <w:r w:rsidRPr="00441D47">
                    <w:rPr>
                      <w:rFonts w:ascii="Arial" w:hAnsi="Arial" w:cs="Arial"/>
                      <w:color w:val="A6A6A6"/>
                      <w:sz w:val="20"/>
                      <w:szCs w:val="20"/>
                      <w:lang w:eastAsia="sl-SI"/>
                    </w:rPr>
                    <w:t xml:space="preserve">Če se povečani odhodki (pravice porabe) ne bodo zagotovili tako, kot je določeno v točkah </w:t>
                  </w:r>
                  <w:proofErr w:type="spellStart"/>
                  <w:r w:rsidRPr="00441D47">
                    <w:rPr>
                      <w:rFonts w:ascii="Arial" w:hAnsi="Arial" w:cs="Arial"/>
                      <w:color w:val="A6A6A6"/>
                      <w:sz w:val="20"/>
                      <w:szCs w:val="20"/>
                      <w:lang w:eastAsia="sl-SI"/>
                    </w:rPr>
                    <w:t>II.a</w:t>
                  </w:r>
                  <w:proofErr w:type="spellEnd"/>
                  <w:r w:rsidRPr="00441D47">
                    <w:rPr>
                      <w:rFonts w:ascii="Arial" w:hAnsi="Arial" w:cs="Arial"/>
                      <w:color w:val="A6A6A6"/>
                      <w:sz w:val="20"/>
                      <w:szCs w:val="20"/>
                      <w:lang w:eastAsia="sl-SI"/>
                    </w:rPr>
                    <w:t xml:space="preserve"> in </w:t>
                  </w:r>
                  <w:proofErr w:type="spellStart"/>
                  <w:r w:rsidRPr="00441D47">
                    <w:rPr>
                      <w:rFonts w:ascii="Arial" w:hAnsi="Arial" w:cs="Arial"/>
                      <w:color w:val="A6A6A6"/>
                      <w:sz w:val="20"/>
                      <w:szCs w:val="20"/>
                      <w:lang w:eastAsia="sl-SI"/>
                    </w:rPr>
                    <w:t>II.b</w:t>
                  </w:r>
                  <w:proofErr w:type="spellEnd"/>
                  <w:r w:rsidRPr="00441D47">
                    <w:rPr>
                      <w:rFonts w:ascii="Arial" w:hAnsi="Arial" w:cs="Arial"/>
                      <w:color w:val="A6A6A6"/>
                      <w:sz w:val="20"/>
                      <w:szCs w:val="20"/>
                      <w:lang w:eastAsia="sl-SI"/>
                    </w:rPr>
                    <w:t xml:space="preserve">, je povečanje odhodkov in izdatkov proračuna mogoče na podlagi zakona, ki ureja izvrševanje državnega proračuna (npr. priliv namenskih sredstev EU). Ukrepanje ob zmanjšanju prihodkov in prejemkov proračuna je določeno z zakonom, ki ureja javne finance, in zakonom, ki ureja </w:t>
                  </w:r>
                  <w:r w:rsidRPr="00441D47">
                    <w:rPr>
                      <w:rFonts w:ascii="Arial" w:hAnsi="Arial" w:cs="Arial"/>
                      <w:color w:val="A6A6A6"/>
                      <w:sz w:val="20"/>
                      <w:szCs w:val="20"/>
                      <w:lang w:eastAsia="sl-SI"/>
                    </w:rPr>
                    <w:lastRenderedPageBreak/>
                    <w:t>izvrševanje državnega proračuna.</w:t>
                  </w:r>
                </w:p>
                <w:p w14:paraId="47A3310D" w14:textId="77777777" w:rsidR="00C106E6" w:rsidRPr="002274DC" w:rsidRDefault="00C106E6" w:rsidP="00C106E6">
                  <w:pPr>
                    <w:pStyle w:val="Vrstapredpisa"/>
                    <w:widowControl w:val="0"/>
                    <w:spacing w:before="0" w:line="260" w:lineRule="exact"/>
                    <w:jc w:val="both"/>
                    <w:rPr>
                      <w:color w:val="auto"/>
                      <w:sz w:val="20"/>
                      <w:szCs w:val="20"/>
                    </w:rPr>
                  </w:pPr>
                </w:p>
              </w:tc>
            </w:tr>
            <w:tr w:rsidR="00C106E6" w:rsidRPr="002274DC" w14:paraId="425B9CA5" w14:textId="77777777" w:rsidTr="00833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9267E" w14:textId="77777777" w:rsidR="00C106E6" w:rsidRPr="002274DC" w:rsidRDefault="00C106E6" w:rsidP="00C106E6">
                  <w:pPr>
                    <w:rPr>
                      <w:rFonts w:ascii="Arial" w:hAnsi="Arial" w:cs="Arial"/>
                      <w:b/>
                      <w:sz w:val="20"/>
                      <w:szCs w:val="20"/>
                    </w:rPr>
                  </w:pPr>
                  <w:r w:rsidRPr="002274DC">
                    <w:rPr>
                      <w:rFonts w:ascii="Arial" w:hAnsi="Arial" w:cs="Arial"/>
                      <w:b/>
                      <w:sz w:val="20"/>
                      <w:szCs w:val="20"/>
                    </w:rPr>
                    <w:lastRenderedPageBreak/>
                    <w:t>7.b Predstavitev ocene finančnih posledic pod 40.000 EUR:</w:t>
                  </w:r>
                </w:p>
                <w:p w14:paraId="61E69EAA" w14:textId="77777777" w:rsidR="00C106E6" w:rsidRPr="00441D47" w:rsidRDefault="00C106E6" w:rsidP="00C106E6">
                  <w:pPr>
                    <w:rPr>
                      <w:rFonts w:ascii="Arial" w:hAnsi="Arial" w:cs="Arial"/>
                      <w:color w:val="A6A6A6"/>
                      <w:sz w:val="20"/>
                      <w:szCs w:val="20"/>
                    </w:rPr>
                  </w:pPr>
                  <w:r w:rsidRPr="00441D47">
                    <w:rPr>
                      <w:rFonts w:ascii="Arial" w:hAnsi="Arial" w:cs="Arial"/>
                      <w:color w:val="A6A6A6"/>
                      <w:sz w:val="20"/>
                      <w:szCs w:val="20"/>
                    </w:rPr>
                    <w:t>(Samo če izberete NE pod točko 6.a.)</w:t>
                  </w:r>
                </w:p>
                <w:p w14:paraId="6761D95D" w14:textId="77777777" w:rsidR="00C106E6" w:rsidRPr="002274DC" w:rsidRDefault="00C106E6" w:rsidP="00C106E6">
                  <w:pPr>
                    <w:rPr>
                      <w:rFonts w:ascii="Arial" w:hAnsi="Arial" w:cs="Arial"/>
                      <w:b/>
                      <w:sz w:val="20"/>
                      <w:szCs w:val="20"/>
                    </w:rPr>
                  </w:pPr>
                  <w:r w:rsidRPr="002274DC">
                    <w:rPr>
                      <w:rFonts w:ascii="Arial" w:hAnsi="Arial" w:cs="Arial"/>
                      <w:b/>
                      <w:sz w:val="20"/>
                      <w:szCs w:val="20"/>
                    </w:rPr>
                    <w:t>Kratka obrazložitev</w:t>
                  </w:r>
                </w:p>
                <w:p w14:paraId="2FDCBD6C" w14:textId="77777777" w:rsidR="00C106E6" w:rsidRPr="002274DC" w:rsidRDefault="00C106E6" w:rsidP="00C106E6">
                  <w:pPr>
                    <w:rPr>
                      <w:rFonts w:ascii="Arial" w:hAnsi="Arial" w:cs="Arial"/>
                      <w:b/>
                      <w:sz w:val="20"/>
                      <w:szCs w:val="20"/>
                    </w:rPr>
                  </w:pPr>
                </w:p>
              </w:tc>
            </w:tr>
            <w:tr w:rsidR="00C106E6" w:rsidRPr="00D063BD" w14:paraId="2ACE1810" w14:textId="77777777" w:rsidTr="00833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53990" w14:textId="77777777" w:rsidR="00C106E6" w:rsidRPr="00171E3B" w:rsidRDefault="00C106E6" w:rsidP="00C106E6">
                  <w:pPr>
                    <w:rPr>
                      <w:rFonts w:cs="Arial"/>
                      <w:b/>
                      <w:szCs w:val="20"/>
                    </w:rPr>
                  </w:pPr>
                  <w:r w:rsidRPr="00171E3B">
                    <w:rPr>
                      <w:rFonts w:cs="Arial"/>
                      <w:b/>
                      <w:szCs w:val="20"/>
                    </w:rPr>
                    <w:t>8. Predstavitev sodelovanja z združenji občin:</w:t>
                  </w:r>
                </w:p>
              </w:tc>
            </w:tr>
            <w:tr w:rsidR="00C106E6" w:rsidRPr="00D063BD" w14:paraId="67221FFC" w14:textId="77777777" w:rsidTr="00833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1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DF3FB" w14:textId="77777777" w:rsidR="00C106E6" w:rsidRPr="00171E3B" w:rsidRDefault="00C106E6" w:rsidP="00C106E6">
                  <w:pPr>
                    <w:pStyle w:val="Neotevilenodstavek"/>
                    <w:widowControl w:val="0"/>
                    <w:spacing w:before="0" w:after="0" w:line="276" w:lineRule="auto"/>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5E05B9AD" w14:textId="77777777" w:rsidR="00C106E6" w:rsidRDefault="00C106E6" w:rsidP="00C106E6">
                  <w:pPr>
                    <w:pStyle w:val="Neotevilenodstavek"/>
                    <w:widowControl w:val="0"/>
                    <w:numPr>
                      <w:ilvl w:val="1"/>
                      <w:numId w:val="10"/>
                    </w:numPr>
                    <w:spacing w:before="0" w:after="0" w:line="276" w:lineRule="auto"/>
                    <w:rPr>
                      <w:iCs/>
                      <w:sz w:val="20"/>
                      <w:szCs w:val="20"/>
                    </w:rPr>
                  </w:pPr>
                  <w:r w:rsidRPr="00171E3B">
                    <w:rPr>
                      <w:iCs/>
                      <w:sz w:val="20"/>
                      <w:szCs w:val="20"/>
                    </w:rPr>
                    <w:t>pristojnosti občin,</w:t>
                  </w:r>
                </w:p>
                <w:p w14:paraId="1CB1055B" w14:textId="77777777" w:rsidR="00C106E6" w:rsidRPr="00171E3B" w:rsidRDefault="00C106E6" w:rsidP="00C106E6">
                  <w:pPr>
                    <w:pStyle w:val="Neotevilenodstavek"/>
                    <w:widowControl w:val="0"/>
                    <w:numPr>
                      <w:ilvl w:val="1"/>
                      <w:numId w:val="10"/>
                    </w:numPr>
                    <w:spacing w:before="0" w:after="0" w:line="276" w:lineRule="auto"/>
                    <w:rPr>
                      <w:iCs/>
                      <w:sz w:val="20"/>
                      <w:szCs w:val="20"/>
                    </w:rPr>
                  </w:pPr>
                  <w:r>
                    <w:rPr>
                      <w:iCs/>
                      <w:sz w:val="20"/>
                      <w:szCs w:val="20"/>
                    </w:rPr>
                    <w:t>delovanje občin,</w:t>
                  </w:r>
                </w:p>
                <w:p w14:paraId="4E272FED" w14:textId="77777777" w:rsidR="00C106E6" w:rsidRPr="006E657E" w:rsidRDefault="00C106E6" w:rsidP="00C106E6">
                  <w:pPr>
                    <w:pStyle w:val="Neotevilenodstavek"/>
                    <w:widowControl w:val="0"/>
                    <w:numPr>
                      <w:ilvl w:val="1"/>
                      <w:numId w:val="10"/>
                    </w:numPr>
                    <w:spacing w:before="0" w:after="0" w:line="276" w:lineRule="auto"/>
                    <w:rPr>
                      <w:b/>
                      <w:iCs/>
                      <w:sz w:val="20"/>
                      <w:szCs w:val="20"/>
                      <w:u w:val="single"/>
                    </w:rPr>
                  </w:pPr>
                  <w:r w:rsidRPr="006E657E">
                    <w:rPr>
                      <w:b/>
                      <w:iCs/>
                      <w:sz w:val="20"/>
                      <w:szCs w:val="20"/>
                      <w:u w:val="single"/>
                    </w:rPr>
                    <w:t>financiranje občin.</w:t>
                  </w:r>
                </w:p>
                <w:p w14:paraId="506675F5" w14:textId="77777777" w:rsidR="00C106E6" w:rsidRPr="00171E3B" w:rsidRDefault="00C106E6" w:rsidP="00C106E6">
                  <w:pPr>
                    <w:pStyle w:val="Neotevilenodstavek"/>
                    <w:widowControl w:val="0"/>
                    <w:spacing w:before="0" w:after="0" w:line="260" w:lineRule="exact"/>
                    <w:ind w:left="1440"/>
                    <w:rPr>
                      <w:iCs/>
                      <w:sz w:val="20"/>
                      <w:szCs w:val="20"/>
                    </w:rPr>
                  </w:pPr>
                </w:p>
              </w:tc>
              <w:tc>
                <w:tcPr>
                  <w:tcW w:w="4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81033" w14:textId="77777777" w:rsidR="00C106E6" w:rsidRPr="00F5641C" w:rsidRDefault="00C106E6" w:rsidP="00C106E6">
                  <w:pPr>
                    <w:pStyle w:val="Neotevilenodstavek"/>
                    <w:widowControl w:val="0"/>
                    <w:spacing w:before="0" w:after="0" w:line="260" w:lineRule="exact"/>
                    <w:jc w:val="center"/>
                    <w:rPr>
                      <w:sz w:val="20"/>
                      <w:szCs w:val="20"/>
                    </w:rPr>
                  </w:pPr>
                  <w:r w:rsidRPr="0099798F">
                    <w:rPr>
                      <w:b/>
                      <w:sz w:val="20"/>
                      <w:szCs w:val="20"/>
                      <w:u w:val="single"/>
                    </w:rPr>
                    <w:t>DA</w:t>
                  </w:r>
                  <w:r w:rsidRPr="00F5641C">
                    <w:rPr>
                      <w:sz w:val="20"/>
                      <w:szCs w:val="20"/>
                    </w:rPr>
                    <w:t>/NE</w:t>
                  </w:r>
                </w:p>
              </w:tc>
            </w:tr>
            <w:tr w:rsidR="00C106E6" w:rsidRPr="00D063BD" w14:paraId="2AC072AB" w14:textId="77777777" w:rsidTr="00833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1EDE0" w14:textId="77777777" w:rsidR="00C106E6" w:rsidRPr="00171E3B" w:rsidRDefault="00C106E6" w:rsidP="00C106E6">
                  <w:pPr>
                    <w:pStyle w:val="Neotevilenodstavek"/>
                    <w:widowControl w:val="0"/>
                    <w:spacing w:before="0" w:after="0" w:line="276" w:lineRule="auto"/>
                    <w:rPr>
                      <w:iCs/>
                      <w:sz w:val="20"/>
                      <w:szCs w:val="20"/>
                    </w:rPr>
                  </w:pPr>
                  <w:r>
                    <w:rPr>
                      <w:iCs/>
                      <w:sz w:val="20"/>
                      <w:szCs w:val="20"/>
                    </w:rPr>
                    <w:t>Gradivo (predpis) je bilo poslano v mnenje</w:t>
                  </w:r>
                  <w:r w:rsidRPr="00171E3B">
                    <w:rPr>
                      <w:iCs/>
                      <w:sz w:val="20"/>
                      <w:szCs w:val="20"/>
                    </w:rPr>
                    <w:t xml:space="preserve">: </w:t>
                  </w:r>
                </w:p>
                <w:p w14:paraId="4D7F705C" w14:textId="77777777" w:rsidR="00C106E6" w:rsidRPr="0099798F" w:rsidRDefault="00C106E6" w:rsidP="00C106E6">
                  <w:pPr>
                    <w:pStyle w:val="Neotevilenodstavek"/>
                    <w:widowControl w:val="0"/>
                    <w:numPr>
                      <w:ilvl w:val="0"/>
                      <w:numId w:val="12"/>
                    </w:numPr>
                    <w:spacing w:before="0" w:after="0" w:line="276" w:lineRule="auto"/>
                    <w:rPr>
                      <w:bCs/>
                      <w:iCs/>
                      <w:sz w:val="20"/>
                      <w:szCs w:val="20"/>
                    </w:rPr>
                  </w:pPr>
                  <w:r w:rsidRPr="00171E3B">
                    <w:rPr>
                      <w:iCs/>
                      <w:sz w:val="20"/>
                      <w:szCs w:val="20"/>
                    </w:rPr>
                    <w:t>Skupnost</w:t>
                  </w:r>
                  <w:r>
                    <w:rPr>
                      <w:iCs/>
                      <w:sz w:val="20"/>
                      <w:szCs w:val="20"/>
                    </w:rPr>
                    <w:t>i</w:t>
                  </w:r>
                  <w:r w:rsidRPr="00171E3B">
                    <w:rPr>
                      <w:iCs/>
                      <w:sz w:val="20"/>
                      <w:szCs w:val="20"/>
                    </w:rPr>
                    <w:t xml:space="preserve"> občin Slovenije SOS</w:t>
                  </w:r>
                  <w:r w:rsidRPr="00D87777">
                    <w:rPr>
                      <w:iCs/>
                      <w:sz w:val="20"/>
                      <w:szCs w:val="20"/>
                    </w:rPr>
                    <w:t xml:space="preserve">: </w:t>
                  </w:r>
                  <w:r w:rsidRPr="00076F4A">
                    <w:rPr>
                      <w:b/>
                      <w:iCs/>
                      <w:sz w:val="20"/>
                      <w:szCs w:val="20"/>
                    </w:rPr>
                    <w:t>DA</w:t>
                  </w:r>
                  <w:r w:rsidRPr="0099798F">
                    <w:rPr>
                      <w:bCs/>
                      <w:iCs/>
                      <w:sz w:val="20"/>
                      <w:szCs w:val="20"/>
                    </w:rPr>
                    <w:t>/</w:t>
                  </w:r>
                  <w:r w:rsidRPr="0099798F">
                    <w:rPr>
                      <w:bCs/>
                      <w:sz w:val="20"/>
                      <w:szCs w:val="20"/>
                    </w:rPr>
                    <w:t>NE</w:t>
                  </w:r>
                </w:p>
                <w:p w14:paraId="2D0645ED" w14:textId="77777777" w:rsidR="00C106E6" w:rsidRPr="0099798F" w:rsidRDefault="00C106E6" w:rsidP="00C106E6">
                  <w:pPr>
                    <w:pStyle w:val="Neotevilenodstavek"/>
                    <w:widowControl w:val="0"/>
                    <w:numPr>
                      <w:ilvl w:val="0"/>
                      <w:numId w:val="12"/>
                    </w:numPr>
                    <w:spacing w:before="0" w:after="0" w:line="276" w:lineRule="auto"/>
                    <w:rPr>
                      <w:bCs/>
                      <w:iCs/>
                      <w:sz w:val="20"/>
                      <w:szCs w:val="20"/>
                    </w:rPr>
                  </w:pPr>
                  <w:r w:rsidRPr="0099798F">
                    <w:rPr>
                      <w:bCs/>
                      <w:iCs/>
                      <w:sz w:val="20"/>
                      <w:szCs w:val="20"/>
                    </w:rPr>
                    <w:t xml:space="preserve">Združenju občin Slovenije ZOS: </w:t>
                  </w:r>
                  <w:r w:rsidRPr="00076F4A">
                    <w:rPr>
                      <w:b/>
                      <w:iCs/>
                      <w:sz w:val="20"/>
                      <w:szCs w:val="20"/>
                    </w:rPr>
                    <w:t>DA</w:t>
                  </w:r>
                  <w:r w:rsidRPr="0099798F">
                    <w:rPr>
                      <w:bCs/>
                      <w:iCs/>
                      <w:sz w:val="20"/>
                      <w:szCs w:val="20"/>
                    </w:rPr>
                    <w:t>/</w:t>
                  </w:r>
                  <w:r w:rsidRPr="0099798F">
                    <w:rPr>
                      <w:bCs/>
                      <w:sz w:val="20"/>
                      <w:szCs w:val="20"/>
                    </w:rPr>
                    <w:t>NE</w:t>
                  </w:r>
                </w:p>
                <w:p w14:paraId="64B55A08" w14:textId="77777777" w:rsidR="00C106E6" w:rsidRPr="0099798F" w:rsidRDefault="00C106E6" w:rsidP="00C106E6">
                  <w:pPr>
                    <w:pStyle w:val="Neotevilenodstavek"/>
                    <w:widowControl w:val="0"/>
                    <w:numPr>
                      <w:ilvl w:val="0"/>
                      <w:numId w:val="12"/>
                    </w:numPr>
                    <w:spacing w:before="0" w:after="0" w:line="276" w:lineRule="auto"/>
                    <w:rPr>
                      <w:bCs/>
                      <w:iCs/>
                      <w:sz w:val="20"/>
                      <w:szCs w:val="20"/>
                    </w:rPr>
                  </w:pPr>
                  <w:r w:rsidRPr="0099798F">
                    <w:rPr>
                      <w:bCs/>
                      <w:iCs/>
                      <w:sz w:val="20"/>
                      <w:szCs w:val="20"/>
                    </w:rPr>
                    <w:t xml:space="preserve">Združenju mestnih občin Slovenije ZMOS: </w:t>
                  </w:r>
                  <w:r w:rsidRPr="00076F4A">
                    <w:rPr>
                      <w:b/>
                      <w:iCs/>
                      <w:sz w:val="20"/>
                      <w:szCs w:val="20"/>
                    </w:rPr>
                    <w:t>DA</w:t>
                  </w:r>
                  <w:r w:rsidRPr="0099798F">
                    <w:rPr>
                      <w:bCs/>
                      <w:iCs/>
                      <w:sz w:val="20"/>
                      <w:szCs w:val="20"/>
                    </w:rPr>
                    <w:t>/</w:t>
                  </w:r>
                  <w:r w:rsidRPr="0099798F">
                    <w:rPr>
                      <w:bCs/>
                      <w:sz w:val="20"/>
                      <w:szCs w:val="20"/>
                    </w:rPr>
                    <w:t>NE</w:t>
                  </w:r>
                </w:p>
                <w:p w14:paraId="1C4BC2F2" w14:textId="77777777" w:rsidR="00C106E6" w:rsidRDefault="00C106E6" w:rsidP="00C106E6">
                  <w:pPr>
                    <w:pStyle w:val="Neotevilenodstavek"/>
                    <w:widowControl w:val="0"/>
                    <w:spacing w:before="0" w:after="0" w:line="276" w:lineRule="auto"/>
                    <w:rPr>
                      <w:iCs/>
                      <w:sz w:val="20"/>
                      <w:szCs w:val="20"/>
                    </w:rPr>
                  </w:pPr>
                </w:p>
                <w:p w14:paraId="21826FD2" w14:textId="44999786" w:rsidR="00C106E6" w:rsidRDefault="00C106E6" w:rsidP="00C106E6">
                  <w:pPr>
                    <w:pStyle w:val="Neotevilenodstavek"/>
                    <w:widowControl w:val="0"/>
                    <w:spacing w:before="0" w:after="0" w:line="276" w:lineRule="auto"/>
                    <w:rPr>
                      <w:iCs/>
                      <w:sz w:val="20"/>
                      <w:szCs w:val="20"/>
                    </w:rPr>
                  </w:pPr>
                  <w:r>
                    <w:rPr>
                      <w:iCs/>
                      <w:sz w:val="20"/>
                      <w:szCs w:val="20"/>
                    </w:rPr>
                    <w:t xml:space="preserve">Predlog zakona je bil poslan v mnenje dne </w:t>
                  </w:r>
                  <w:r w:rsidR="00076F4A">
                    <w:rPr>
                      <w:iCs/>
                      <w:sz w:val="20"/>
                      <w:szCs w:val="20"/>
                    </w:rPr>
                    <w:t>1. avgusta 2022</w:t>
                  </w:r>
                </w:p>
                <w:p w14:paraId="24087DB8" w14:textId="77777777" w:rsidR="00C106E6" w:rsidRDefault="00C106E6" w:rsidP="00C106E6">
                  <w:pPr>
                    <w:pStyle w:val="Neotevilenodstavek"/>
                    <w:widowControl w:val="0"/>
                    <w:spacing w:before="0" w:after="0" w:line="276" w:lineRule="auto"/>
                    <w:rPr>
                      <w:iCs/>
                      <w:sz w:val="20"/>
                      <w:szCs w:val="20"/>
                    </w:rPr>
                  </w:pPr>
                </w:p>
                <w:p w14:paraId="4678FE4C" w14:textId="1D22ED2D" w:rsidR="00C106E6" w:rsidRDefault="00C106E6" w:rsidP="00076F4A">
                  <w:pPr>
                    <w:pStyle w:val="Neotevilenodstavek"/>
                    <w:widowControl w:val="0"/>
                    <w:spacing w:before="0" w:after="0" w:line="276" w:lineRule="auto"/>
                    <w:rPr>
                      <w:iCs/>
                      <w:sz w:val="20"/>
                      <w:szCs w:val="20"/>
                    </w:rPr>
                  </w:pPr>
                  <w:r>
                    <w:rPr>
                      <w:iCs/>
                      <w:sz w:val="20"/>
                      <w:szCs w:val="20"/>
                    </w:rPr>
                    <w:t>Predlog</w:t>
                  </w:r>
                  <w:r w:rsidR="00076F4A">
                    <w:rPr>
                      <w:iCs/>
                      <w:sz w:val="20"/>
                      <w:szCs w:val="20"/>
                    </w:rPr>
                    <w:t>ov</w:t>
                  </w:r>
                  <w:r>
                    <w:rPr>
                      <w:iCs/>
                      <w:sz w:val="20"/>
                      <w:szCs w:val="20"/>
                    </w:rPr>
                    <w:t xml:space="preserve"> </w:t>
                  </w:r>
                  <w:r w:rsidR="00076F4A">
                    <w:rPr>
                      <w:iCs/>
                      <w:sz w:val="20"/>
                      <w:szCs w:val="20"/>
                    </w:rPr>
                    <w:t>in</w:t>
                  </w:r>
                  <w:r>
                    <w:rPr>
                      <w:iCs/>
                      <w:sz w:val="20"/>
                      <w:szCs w:val="20"/>
                    </w:rPr>
                    <w:t xml:space="preserve"> pripomb</w:t>
                  </w:r>
                  <w:r w:rsidR="00076F4A">
                    <w:rPr>
                      <w:iCs/>
                      <w:sz w:val="20"/>
                      <w:szCs w:val="20"/>
                    </w:rPr>
                    <w:t xml:space="preserve"> na predlog zakona nismo prejeli.</w:t>
                  </w:r>
                </w:p>
              </w:tc>
            </w:tr>
            <w:tr w:rsidR="00C106E6" w:rsidRPr="00D063BD" w14:paraId="5C3801A8" w14:textId="77777777" w:rsidTr="00833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BC16B" w14:textId="77777777" w:rsidR="00C106E6" w:rsidRPr="00D063BD" w:rsidRDefault="00C106E6" w:rsidP="00C106E6">
                  <w:pPr>
                    <w:pStyle w:val="Neotevilenodstavek"/>
                    <w:widowControl w:val="0"/>
                    <w:spacing w:before="0" w:after="0" w:line="276" w:lineRule="auto"/>
                    <w:jc w:val="left"/>
                    <w:rPr>
                      <w:b/>
                      <w:sz w:val="20"/>
                      <w:szCs w:val="20"/>
                    </w:rPr>
                  </w:pPr>
                  <w:r w:rsidRPr="00D063BD">
                    <w:rPr>
                      <w:b/>
                      <w:sz w:val="20"/>
                      <w:szCs w:val="20"/>
                    </w:rPr>
                    <w:t>9. Predstavitev sodelovanja javnosti:</w:t>
                  </w:r>
                </w:p>
              </w:tc>
            </w:tr>
            <w:tr w:rsidR="00C106E6" w:rsidRPr="00D063BD" w14:paraId="03CD8F81" w14:textId="77777777" w:rsidTr="00833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1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4776D" w14:textId="77777777" w:rsidR="00C106E6" w:rsidRPr="00D063BD" w:rsidRDefault="00C106E6" w:rsidP="00C106E6">
                  <w:pPr>
                    <w:pStyle w:val="Neotevilenodstavek"/>
                    <w:widowControl w:val="0"/>
                    <w:spacing w:before="0" w:after="0" w:line="276" w:lineRule="auto"/>
                    <w:rPr>
                      <w:sz w:val="20"/>
                      <w:szCs w:val="20"/>
                    </w:rPr>
                  </w:pPr>
                  <w:r w:rsidRPr="00D063BD">
                    <w:rPr>
                      <w:iCs/>
                      <w:sz w:val="20"/>
                      <w:szCs w:val="20"/>
                    </w:rPr>
                    <w:t>Gradivo je bilo predhodno objavljeno na spletni strani predlagatelja:</w:t>
                  </w:r>
                </w:p>
              </w:tc>
              <w:tc>
                <w:tcPr>
                  <w:tcW w:w="4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671EF" w14:textId="77777777" w:rsidR="00C106E6" w:rsidRPr="00D063BD" w:rsidRDefault="00C106E6" w:rsidP="00C106E6">
                  <w:pPr>
                    <w:pStyle w:val="Neotevilenodstavek"/>
                    <w:widowControl w:val="0"/>
                    <w:spacing w:before="0" w:after="0" w:line="276" w:lineRule="auto"/>
                    <w:jc w:val="center"/>
                    <w:rPr>
                      <w:iCs/>
                      <w:sz w:val="20"/>
                      <w:szCs w:val="20"/>
                    </w:rPr>
                  </w:pPr>
                  <w:r w:rsidRPr="0099798F">
                    <w:rPr>
                      <w:b/>
                      <w:sz w:val="20"/>
                      <w:szCs w:val="20"/>
                      <w:u w:val="single"/>
                    </w:rPr>
                    <w:t>DA</w:t>
                  </w:r>
                  <w:r w:rsidRPr="00D87777">
                    <w:rPr>
                      <w:bCs/>
                      <w:sz w:val="20"/>
                      <w:szCs w:val="20"/>
                    </w:rPr>
                    <w:t>/</w:t>
                  </w:r>
                  <w:r w:rsidRPr="00482FFB">
                    <w:rPr>
                      <w:sz w:val="20"/>
                      <w:szCs w:val="20"/>
                    </w:rPr>
                    <w:t>NE</w:t>
                  </w:r>
                </w:p>
              </w:tc>
            </w:tr>
            <w:tr w:rsidR="00C106E6" w:rsidRPr="00D063BD" w14:paraId="295A8DF5" w14:textId="77777777" w:rsidTr="00833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70BC1" w14:textId="77777777" w:rsidR="00C106E6" w:rsidRPr="00441D47" w:rsidRDefault="00C106E6" w:rsidP="00C106E6">
                  <w:pPr>
                    <w:pStyle w:val="Neotevilenodstavek"/>
                    <w:widowControl w:val="0"/>
                    <w:spacing w:before="0" w:after="0" w:line="276" w:lineRule="auto"/>
                    <w:rPr>
                      <w:iCs/>
                      <w:color w:val="A6A6A6"/>
                      <w:sz w:val="20"/>
                      <w:szCs w:val="20"/>
                    </w:rPr>
                  </w:pPr>
                </w:p>
              </w:tc>
            </w:tr>
            <w:tr w:rsidR="00C106E6" w:rsidRPr="00D063BD" w14:paraId="5A87FAC0" w14:textId="77777777" w:rsidTr="00833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48942" w14:textId="77777777" w:rsidR="00F93581" w:rsidRPr="00B56E7D" w:rsidRDefault="00F93581" w:rsidP="00F93581">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sidRPr="00B56E7D">
                    <w:rPr>
                      <w:rFonts w:ascii="Arial" w:eastAsia="Calibri" w:hAnsi="Arial" w:cs="Arial"/>
                      <w:sz w:val="20"/>
                      <w:szCs w:val="20"/>
                      <w:lang w:eastAsia="sl-SI"/>
                    </w:rPr>
                    <w:t>Predlog zakona je bil objavljen na spletnem naslovu:</w:t>
                  </w:r>
                </w:p>
                <w:p w14:paraId="4F4B25BA" w14:textId="6A0A33E3" w:rsidR="00F93581" w:rsidRPr="002A0C91" w:rsidRDefault="00A46113" w:rsidP="00F93581">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hyperlink r:id="rId14" w:history="1">
                    <w:r w:rsidR="00F93581" w:rsidRPr="00525CA8">
                      <w:rPr>
                        <w:rStyle w:val="Hiperpovezava"/>
                        <w:rFonts w:ascii="Arial" w:hAnsi="Arial" w:cs="Arial"/>
                        <w:sz w:val="20"/>
                        <w:szCs w:val="20"/>
                      </w:rPr>
                      <w:t>https://e-uprava.gov.si/drzava-in-druzba/e-demokracija/predlogi-predpisov/predlog-predpisa.html?id=14500</w:t>
                    </w:r>
                  </w:hyperlink>
                  <w:r w:rsidR="00F93581">
                    <w:rPr>
                      <w:rFonts w:ascii="Arial" w:hAnsi="Arial" w:cs="Arial"/>
                      <w:sz w:val="20"/>
                      <w:szCs w:val="20"/>
                    </w:rPr>
                    <w:t xml:space="preserve">. </w:t>
                  </w:r>
                </w:p>
                <w:p w14:paraId="10F340E4" w14:textId="77777777" w:rsidR="00F93581" w:rsidRDefault="00F93581" w:rsidP="00F93581">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5F0D2904" w14:textId="17056C5F" w:rsidR="00F93581" w:rsidRPr="004513FD" w:rsidRDefault="00F93581" w:rsidP="00F93581">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Pr>
                      <w:rFonts w:ascii="Arial" w:eastAsia="Calibri" w:hAnsi="Arial" w:cs="Arial"/>
                      <w:sz w:val="20"/>
                      <w:szCs w:val="20"/>
                      <w:lang w:eastAsia="sl-SI"/>
                    </w:rPr>
                    <w:t>J</w:t>
                  </w:r>
                  <w:r w:rsidRPr="002A0C91">
                    <w:rPr>
                      <w:rFonts w:ascii="Arial" w:eastAsia="Calibri" w:hAnsi="Arial" w:cs="Arial"/>
                      <w:sz w:val="20"/>
                      <w:szCs w:val="20"/>
                      <w:lang w:eastAsia="sl-SI"/>
                    </w:rPr>
                    <w:t>av</w:t>
                  </w:r>
                  <w:r>
                    <w:rPr>
                      <w:rFonts w:ascii="Arial" w:eastAsia="Calibri" w:hAnsi="Arial" w:cs="Arial"/>
                      <w:sz w:val="20"/>
                      <w:szCs w:val="20"/>
                      <w:lang w:eastAsia="sl-SI"/>
                    </w:rPr>
                    <w:t>na</w:t>
                  </w:r>
                  <w:r w:rsidRPr="002A0C91">
                    <w:rPr>
                      <w:rFonts w:ascii="Arial" w:eastAsia="Calibri" w:hAnsi="Arial" w:cs="Arial"/>
                      <w:sz w:val="20"/>
                      <w:szCs w:val="20"/>
                      <w:lang w:eastAsia="sl-SI"/>
                    </w:rPr>
                    <w:t xml:space="preserve"> predstavit</w:t>
                  </w:r>
                  <w:r>
                    <w:rPr>
                      <w:rFonts w:ascii="Arial" w:eastAsia="Calibri" w:hAnsi="Arial" w:cs="Arial"/>
                      <w:sz w:val="20"/>
                      <w:szCs w:val="20"/>
                      <w:lang w:eastAsia="sl-SI"/>
                    </w:rPr>
                    <w:t>e</w:t>
                  </w:r>
                  <w:r w:rsidRPr="002A0C91">
                    <w:rPr>
                      <w:rFonts w:ascii="Arial" w:eastAsia="Calibri" w:hAnsi="Arial" w:cs="Arial"/>
                      <w:sz w:val="20"/>
                      <w:szCs w:val="20"/>
                      <w:lang w:eastAsia="sl-SI"/>
                    </w:rPr>
                    <w:t>v, v kat</w:t>
                  </w:r>
                  <w:r>
                    <w:rPr>
                      <w:rFonts w:ascii="Arial" w:eastAsia="Calibri" w:hAnsi="Arial" w:cs="Arial"/>
                      <w:sz w:val="20"/>
                      <w:szCs w:val="20"/>
                      <w:lang w:eastAsia="sl-SI"/>
                    </w:rPr>
                    <w:t>eri</w:t>
                  </w:r>
                  <w:r w:rsidRPr="002A0C91">
                    <w:rPr>
                      <w:rFonts w:ascii="Arial" w:eastAsia="Calibri" w:hAnsi="Arial" w:cs="Arial"/>
                      <w:sz w:val="20"/>
                      <w:szCs w:val="20"/>
                      <w:lang w:eastAsia="sl-SI"/>
                    </w:rPr>
                    <w:t xml:space="preserve"> je bilo mogoče sporočiti mnenja, predloge in pripombe</w:t>
                  </w:r>
                  <w:r>
                    <w:rPr>
                      <w:rFonts w:ascii="Arial" w:eastAsia="Calibri" w:hAnsi="Arial" w:cs="Arial"/>
                      <w:sz w:val="20"/>
                      <w:szCs w:val="20"/>
                      <w:lang w:eastAsia="sl-SI"/>
                    </w:rPr>
                    <w:t>,</w:t>
                  </w:r>
                  <w:r w:rsidRPr="002A0C91">
                    <w:rPr>
                      <w:rFonts w:ascii="Arial" w:eastAsia="Calibri" w:hAnsi="Arial" w:cs="Arial"/>
                      <w:sz w:val="20"/>
                      <w:szCs w:val="20"/>
                      <w:lang w:eastAsia="sl-SI"/>
                    </w:rPr>
                    <w:t xml:space="preserve"> </w:t>
                  </w:r>
                  <w:r>
                    <w:rPr>
                      <w:rFonts w:ascii="Arial" w:eastAsia="Calibri" w:hAnsi="Arial" w:cs="Arial"/>
                      <w:sz w:val="20"/>
                      <w:szCs w:val="20"/>
                      <w:lang w:eastAsia="sl-SI"/>
                    </w:rPr>
                    <w:t>se je začela 1. 8. 2022 in je trajala do 19. 8. 2022.</w:t>
                  </w:r>
                  <w:r w:rsidRPr="002A0C91">
                    <w:rPr>
                      <w:rFonts w:ascii="Arial" w:eastAsia="Calibri" w:hAnsi="Arial" w:cs="Arial"/>
                      <w:sz w:val="20"/>
                      <w:szCs w:val="20"/>
                      <w:lang w:eastAsia="sl-SI"/>
                    </w:rPr>
                    <w:t xml:space="preserve"> </w:t>
                  </w:r>
                </w:p>
                <w:p w14:paraId="16EB7584" w14:textId="77777777" w:rsidR="00F93581" w:rsidRDefault="00F93581" w:rsidP="00F93581">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52206DA1" w14:textId="77777777" w:rsidR="00F93581" w:rsidRPr="0016553D" w:rsidRDefault="00F93581" w:rsidP="00F93581">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sidRPr="0016553D">
                    <w:rPr>
                      <w:rFonts w:ascii="Arial" w:eastAsia="Calibri" w:hAnsi="Arial" w:cs="Arial"/>
                      <w:sz w:val="20"/>
                      <w:szCs w:val="20"/>
                      <w:lang w:eastAsia="sl-SI"/>
                    </w:rPr>
                    <w:t>Mnenja, predloge in pripombo so podala gospodarska in sindikalna združenja, predstavniki zainteresirane in strokovne javnosti ter tudi posamezniki.</w:t>
                  </w:r>
                </w:p>
                <w:p w14:paraId="6B06901E" w14:textId="77777777" w:rsidR="00F93581" w:rsidRPr="0016553D" w:rsidRDefault="00F93581" w:rsidP="00F93581">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75D3BC24" w14:textId="77777777" w:rsidR="00F93581" w:rsidRPr="0016553D" w:rsidRDefault="00F93581" w:rsidP="00F93581">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sidRPr="0016553D">
                    <w:rPr>
                      <w:rFonts w:ascii="Arial" w:eastAsia="Calibri" w:hAnsi="Arial" w:cs="Arial"/>
                      <w:sz w:val="20"/>
                      <w:szCs w:val="20"/>
                      <w:lang w:eastAsia="sl-SI"/>
                    </w:rPr>
                    <w:t xml:space="preserve">Pripombe so </w:t>
                  </w:r>
                  <w:r>
                    <w:rPr>
                      <w:rFonts w:ascii="Arial" w:eastAsia="Calibri" w:hAnsi="Arial" w:cs="Arial"/>
                      <w:sz w:val="20"/>
                      <w:szCs w:val="20"/>
                      <w:lang w:eastAsia="sl-SI"/>
                    </w:rPr>
                    <w:t xml:space="preserve">v navedenem roku </w:t>
                  </w:r>
                  <w:r w:rsidRPr="0016553D">
                    <w:rPr>
                      <w:rFonts w:ascii="Arial" w:eastAsia="Calibri" w:hAnsi="Arial" w:cs="Arial"/>
                      <w:sz w:val="20"/>
                      <w:szCs w:val="20"/>
                      <w:lang w:eastAsia="sl-SI"/>
                    </w:rPr>
                    <w:t>podali:</w:t>
                  </w:r>
                </w:p>
                <w:p w14:paraId="56E5AAFC" w14:textId="6B503EE3" w:rsidR="00F93581" w:rsidRPr="00EA472C"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proofErr w:type="spellStart"/>
                  <w:r w:rsidRPr="00EA472C">
                    <w:rPr>
                      <w:rFonts w:ascii="Arial" w:eastAsia="Calibri" w:hAnsi="Arial" w:cs="Arial"/>
                      <w:sz w:val="20"/>
                      <w:szCs w:val="20"/>
                    </w:rPr>
                    <w:t>iConsult</w:t>
                  </w:r>
                  <w:proofErr w:type="spellEnd"/>
                  <w:r w:rsidRPr="00EA472C">
                    <w:rPr>
                      <w:rFonts w:ascii="Arial" w:eastAsia="Calibri" w:hAnsi="Arial" w:cs="Arial"/>
                      <w:sz w:val="20"/>
                      <w:szCs w:val="20"/>
                    </w:rPr>
                    <w:t xml:space="preserve"> </w:t>
                  </w:r>
                  <w:proofErr w:type="spellStart"/>
                  <w:r w:rsidRPr="00EA472C">
                    <w:rPr>
                      <w:rFonts w:ascii="Arial" w:eastAsia="Calibri" w:hAnsi="Arial" w:cs="Arial"/>
                      <w:sz w:val="20"/>
                      <w:szCs w:val="20"/>
                    </w:rPr>
                    <w:t>d.o.o</w:t>
                  </w:r>
                  <w:proofErr w:type="spellEnd"/>
                  <w:r>
                    <w:rPr>
                      <w:rFonts w:ascii="Arial" w:eastAsia="Calibri" w:hAnsi="Arial" w:cs="Arial"/>
                      <w:sz w:val="20"/>
                      <w:szCs w:val="20"/>
                    </w:rPr>
                    <w:t>.,</w:t>
                  </w:r>
                </w:p>
                <w:p w14:paraId="43DD73C4" w14:textId="008983EE" w:rsidR="00F93581" w:rsidRPr="00B56E7D"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Reprezentativne delodajalske organizacije, Trgovinska zbornica Slovenije, Gospodarska zbornica Slovenije, Obrtno-podjetniška zbornica Slovenije, Združenje delodajalcev Slovenije in Združenje delodajalcev obrti in podjetnikov Slovenije</w:t>
                  </w:r>
                  <w:r>
                    <w:rPr>
                      <w:rFonts w:ascii="Arial" w:eastAsia="Calibri" w:hAnsi="Arial" w:cs="Arial"/>
                      <w:sz w:val="20"/>
                      <w:szCs w:val="20"/>
                    </w:rPr>
                    <w:t>,</w:t>
                  </w:r>
                </w:p>
                <w:p w14:paraId="21AF0776" w14:textId="4AC1B682" w:rsidR="00F93581" w:rsidRPr="00B56E7D"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 xml:space="preserve">KSS </w:t>
                  </w:r>
                  <w:r>
                    <w:rPr>
                      <w:rFonts w:ascii="Arial" w:eastAsia="Calibri" w:hAnsi="Arial" w:cs="Arial"/>
                      <w:sz w:val="20"/>
                      <w:szCs w:val="20"/>
                    </w:rPr>
                    <w:t>Pergam,</w:t>
                  </w:r>
                </w:p>
                <w:p w14:paraId="52BE0ADD" w14:textId="04838461" w:rsidR="00F93581" w:rsidRPr="00B56E7D"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Zveza računovodij, finančnikov in revizorjev Slovenije</w:t>
                  </w:r>
                  <w:r>
                    <w:rPr>
                      <w:rFonts w:ascii="Arial" w:eastAsia="Calibri" w:hAnsi="Arial" w:cs="Arial"/>
                      <w:sz w:val="20"/>
                      <w:szCs w:val="20"/>
                    </w:rPr>
                    <w:t>,</w:t>
                  </w:r>
                </w:p>
                <w:p w14:paraId="5FB3A7AF" w14:textId="33FFDC67" w:rsidR="00F93581" w:rsidRPr="00EA472C"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EA472C">
                    <w:rPr>
                      <w:rFonts w:ascii="Arial" w:eastAsia="Calibri" w:hAnsi="Arial" w:cs="Arial"/>
                      <w:sz w:val="20"/>
                      <w:szCs w:val="20"/>
                    </w:rPr>
                    <w:t>Zveze svobodnih sindikatov Slovenije in Konfederacije sindikatov javnega sektorja Slovenije</w:t>
                  </w:r>
                  <w:r>
                    <w:rPr>
                      <w:rFonts w:ascii="Arial" w:eastAsia="Calibri" w:hAnsi="Arial" w:cs="Arial"/>
                      <w:sz w:val="20"/>
                      <w:szCs w:val="20"/>
                    </w:rPr>
                    <w:t>,</w:t>
                  </w:r>
                </w:p>
                <w:p w14:paraId="0A34D7E4" w14:textId="1D35FEF8" w:rsidR="00F93581" w:rsidRPr="005B01DA"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EA472C">
                    <w:rPr>
                      <w:rFonts w:ascii="Arial" w:eastAsia="Calibri" w:hAnsi="Arial" w:cs="Arial"/>
                      <w:sz w:val="20"/>
                      <w:szCs w:val="20"/>
                    </w:rPr>
                    <w:t>Kmetijsko gozdarska zbornica Slovenije, Sindikat kmetov Slovenije, Zadružna zveze Slovenije, Zveza slovenske podeželske mladine in Zveza kmeti</w:t>
                  </w:r>
                  <w:r w:rsidRPr="005B01DA">
                    <w:rPr>
                      <w:rFonts w:ascii="Arial" w:eastAsia="Calibri" w:hAnsi="Arial" w:cs="Arial"/>
                      <w:sz w:val="20"/>
                      <w:szCs w:val="20"/>
                    </w:rPr>
                    <w:t>c Slovenije</w:t>
                  </w:r>
                  <w:r>
                    <w:rPr>
                      <w:rFonts w:ascii="Arial" w:eastAsia="Calibri" w:hAnsi="Arial" w:cs="Arial"/>
                      <w:sz w:val="20"/>
                      <w:szCs w:val="20"/>
                    </w:rPr>
                    <w:t>,</w:t>
                  </w:r>
                </w:p>
                <w:p w14:paraId="284B0E36" w14:textId="3B8321C6" w:rsidR="00F93581" w:rsidRPr="00B56E7D"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lastRenderedPageBreak/>
                    <w:t>Gospodarska zbornica Slovenije</w:t>
                  </w:r>
                  <w:r>
                    <w:rPr>
                      <w:rFonts w:ascii="Arial" w:eastAsia="Calibri" w:hAnsi="Arial" w:cs="Arial"/>
                      <w:sz w:val="20"/>
                      <w:szCs w:val="20"/>
                    </w:rPr>
                    <w:t>,</w:t>
                  </w:r>
                </w:p>
                <w:p w14:paraId="626CF2ED" w14:textId="29C6DA8B" w:rsidR="00F93581" w:rsidRPr="00B56E7D"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Združenje delodajalcev Slovenije</w:t>
                  </w:r>
                  <w:r>
                    <w:rPr>
                      <w:rFonts w:ascii="Arial" w:eastAsia="Calibri" w:hAnsi="Arial" w:cs="Arial"/>
                      <w:sz w:val="20"/>
                      <w:szCs w:val="20"/>
                    </w:rPr>
                    <w:t>,</w:t>
                  </w:r>
                </w:p>
                <w:p w14:paraId="08B0489D" w14:textId="6E625721" w:rsidR="00F93581" w:rsidRPr="00B56E7D"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Slovenska zveza sindikatov Alternativa</w:t>
                  </w:r>
                  <w:r>
                    <w:rPr>
                      <w:rFonts w:ascii="Arial" w:eastAsia="Calibri" w:hAnsi="Arial" w:cs="Arial"/>
                      <w:sz w:val="20"/>
                      <w:szCs w:val="20"/>
                    </w:rPr>
                    <w:t>,</w:t>
                  </w:r>
                  <w:r w:rsidRPr="00B56E7D">
                    <w:rPr>
                      <w:rFonts w:ascii="Arial" w:eastAsia="Calibri" w:hAnsi="Arial" w:cs="Arial"/>
                      <w:sz w:val="20"/>
                      <w:szCs w:val="20"/>
                    </w:rPr>
                    <w:t xml:space="preserve"> </w:t>
                  </w:r>
                </w:p>
                <w:p w14:paraId="6DDE72B1" w14:textId="51701DCC" w:rsidR="00F93581" w:rsidRPr="00B56E7D"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proofErr w:type="spellStart"/>
                  <w:r w:rsidRPr="00B56E7D">
                    <w:rPr>
                      <w:rFonts w:ascii="Arial" w:eastAsia="Calibri" w:hAnsi="Arial" w:cs="Arial"/>
                      <w:sz w:val="20"/>
                      <w:szCs w:val="20"/>
                    </w:rPr>
                    <w:t>AmCham</w:t>
                  </w:r>
                  <w:proofErr w:type="spellEnd"/>
                  <w:r w:rsidRPr="00B56E7D">
                    <w:rPr>
                      <w:rFonts w:ascii="Arial" w:eastAsia="Calibri" w:hAnsi="Arial" w:cs="Arial"/>
                      <w:sz w:val="20"/>
                      <w:szCs w:val="20"/>
                    </w:rPr>
                    <w:t xml:space="preserve"> Slovenija</w:t>
                  </w:r>
                  <w:r>
                    <w:rPr>
                      <w:rFonts w:ascii="Arial" w:eastAsia="Calibri" w:hAnsi="Arial" w:cs="Arial"/>
                      <w:sz w:val="20"/>
                      <w:szCs w:val="20"/>
                    </w:rPr>
                    <w:t>,</w:t>
                  </w:r>
                </w:p>
                <w:p w14:paraId="09E2F155" w14:textId="5BFF74D6" w:rsidR="00F93581" w:rsidRPr="00B56E7D"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Obrtno-podjetniška zbornica Slovenije</w:t>
                  </w:r>
                  <w:r>
                    <w:rPr>
                      <w:rFonts w:ascii="Arial" w:eastAsia="Calibri" w:hAnsi="Arial" w:cs="Arial"/>
                      <w:sz w:val="20"/>
                      <w:szCs w:val="20"/>
                    </w:rPr>
                    <w:t>,</w:t>
                  </w:r>
                </w:p>
                <w:p w14:paraId="6250F543" w14:textId="4493C819" w:rsidR="00F93581" w:rsidRPr="006708D5"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Gospodarska zbornica Slovenije – Zbornica za poslovanje z nepremičninami, ZUN-Združenje upravnikov nepremičnin</w:t>
                  </w:r>
                  <w:r>
                    <w:rPr>
                      <w:rFonts w:ascii="Arial" w:eastAsia="Calibri" w:hAnsi="Arial" w:cs="Arial"/>
                      <w:sz w:val="20"/>
                      <w:szCs w:val="20"/>
                    </w:rPr>
                    <w:t>,</w:t>
                  </w:r>
                </w:p>
                <w:p w14:paraId="56DDEBB2" w14:textId="7470378D" w:rsidR="00F93581" w:rsidRPr="00B56E7D"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Trgovinska zbornica Slovenije</w:t>
                  </w:r>
                  <w:r>
                    <w:rPr>
                      <w:rFonts w:ascii="Arial" w:eastAsia="Calibri" w:hAnsi="Arial" w:cs="Arial"/>
                      <w:sz w:val="20"/>
                      <w:szCs w:val="20"/>
                    </w:rPr>
                    <w:t>,</w:t>
                  </w:r>
                </w:p>
                <w:p w14:paraId="1AA7FC22" w14:textId="10101F93" w:rsidR="00F93581" w:rsidRPr="00B56E7D"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Zbornica davčnih svetovalcev Slovenije</w:t>
                  </w:r>
                  <w:r>
                    <w:rPr>
                      <w:rFonts w:ascii="Arial" w:eastAsia="Calibri" w:hAnsi="Arial" w:cs="Arial"/>
                      <w:sz w:val="20"/>
                      <w:szCs w:val="20"/>
                    </w:rPr>
                    <w:t>,</w:t>
                  </w:r>
                </w:p>
                <w:p w14:paraId="3980707B" w14:textId="60EFFDE1" w:rsidR="00F93581" w:rsidRPr="006708D5"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Klub slovenskih podjetnikov</w:t>
                  </w:r>
                  <w:r>
                    <w:rPr>
                      <w:rFonts w:ascii="Arial" w:eastAsia="Calibri" w:hAnsi="Arial" w:cs="Arial"/>
                      <w:sz w:val="20"/>
                      <w:szCs w:val="20"/>
                    </w:rPr>
                    <w:t>,</w:t>
                  </w:r>
                </w:p>
                <w:p w14:paraId="0F67E724" w14:textId="77A4235A" w:rsidR="00F93581" w:rsidRPr="00B56E7D"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Nacionalni svet invalidskih organizacij Slovenije</w:t>
                  </w:r>
                  <w:r>
                    <w:rPr>
                      <w:rFonts w:ascii="Arial" w:eastAsia="Calibri" w:hAnsi="Arial" w:cs="Arial"/>
                      <w:sz w:val="20"/>
                      <w:szCs w:val="20"/>
                    </w:rPr>
                    <w:t>,</w:t>
                  </w:r>
                </w:p>
                <w:p w14:paraId="201B1C5B" w14:textId="1DF1D11D" w:rsidR="00F93581" w:rsidRPr="006708D5"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Center za informiranje, sodelovanje in razvoj nevladnih organizacij</w:t>
                  </w:r>
                  <w:r>
                    <w:rPr>
                      <w:rFonts w:ascii="Arial" w:eastAsia="Calibri" w:hAnsi="Arial" w:cs="Arial"/>
                      <w:sz w:val="20"/>
                      <w:szCs w:val="20"/>
                    </w:rPr>
                    <w:t>,</w:t>
                  </w:r>
                </w:p>
                <w:p w14:paraId="4B1BA573" w14:textId="1B2F4446" w:rsidR="00F93581" w:rsidRPr="00B56E7D"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Zveza reprezentativnih sindikatov Slovenije</w:t>
                  </w:r>
                  <w:r>
                    <w:rPr>
                      <w:rFonts w:ascii="Arial" w:eastAsia="Calibri" w:hAnsi="Arial" w:cs="Arial"/>
                      <w:sz w:val="20"/>
                      <w:szCs w:val="20"/>
                    </w:rPr>
                    <w:t>,</w:t>
                  </w:r>
                </w:p>
                <w:p w14:paraId="7EA7172C" w14:textId="57434CEA" w:rsidR="00F93581" w:rsidRPr="00B56E7D"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Zveza slepih in slabovidnih Slovenije</w:t>
                  </w:r>
                  <w:r>
                    <w:rPr>
                      <w:rFonts w:ascii="Arial" w:eastAsia="Calibri" w:hAnsi="Arial" w:cs="Arial"/>
                      <w:sz w:val="20"/>
                      <w:szCs w:val="20"/>
                    </w:rPr>
                    <w:t>,</w:t>
                  </w:r>
                </w:p>
                <w:p w14:paraId="6B30F07D" w14:textId="461B4277" w:rsidR="00F93581" w:rsidRPr="00EA472C"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EA472C">
                    <w:rPr>
                      <w:rFonts w:ascii="Arial" w:eastAsia="Calibri" w:hAnsi="Arial" w:cs="Arial"/>
                      <w:sz w:val="20"/>
                      <w:szCs w:val="20"/>
                    </w:rPr>
                    <w:t xml:space="preserve">FIABCI Slovenija </w:t>
                  </w:r>
                  <w:r>
                    <w:rPr>
                      <w:rFonts w:ascii="Arial" w:eastAsia="Calibri" w:hAnsi="Arial" w:cs="Arial"/>
                      <w:sz w:val="20"/>
                      <w:szCs w:val="20"/>
                    </w:rPr>
                    <w:t>–</w:t>
                  </w:r>
                  <w:r w:rsidRPr="00EA472C">
                    <w:rPr>
                      <w:rFonts w:ascii="Arial" w:eastAsia="Calibri" w:hAnsi="Arial" w:cs="Arial"/>
                      <w:sz w:val="20"/>
                      <w:szCs w:val="20"/>
                    </w:rPr>
                    <w:t xml:space="preserve"> Slovensko nepremičninsko združenje</w:t>
                  </w:r>
                  <w:r>
                    <w:rPr>
                      <w:rFonts w:ascii="Arial" w:eastAsia="Calibri" w:hAnsi="Arial" w:cs="Arial"/>
                      <w:sz w:val="20"/>
                      <w:szCs w:val="20"/>
                    </w:rPr>
                    <w:t>,</w:t>
                  </w:r>
                </w:p>
                <w:p w14:paraId="4F86CED7" w14:textId="31EAA107" w:rsidR="00F93581"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Davčno svetovalna zbornica Slovenije</w:t>
                  </w:r>
                  <w:r>
                    <w:rPr>
                      <w:rFonts w:ascii="Arial" w:eastAsia="Calibri" w:hAnsi="Arial" w:cs="Arial"/>
                      <w:sz w:val="20"/>
                      <w:szCs w:val="20"/>
                    </w:rPr>
                    <w:t>,</w:t>
                  </w:r>
                </w:p>
                <w:p w14:paraId="01B9E972" w14:textId="7C2ED82B" w:rsidR="00F93581" w:rsidRPr="002A061E"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Pr>
                      <w:rFonts w:ascii="Arial" w:eastAsia="Calibri" w:hAnsi="Arial" w:cs="Arial"/>
                      <w:sz w:val="20"/>
                      <w:szCs w:val="20"/>
                    </w:rPr>
                    <w:t>15</w:t>
                  </w:r>
                  <w:r w:rsidRPr="002A061E">
                    <w:rPr>
                      <w:rFonts w:ascii="Arial" w:eastAsia="Calibri" w:hAnsi="Arial" w:cs="Arial"/>
                      <w:sz w:val="20"/>
                      <w:szCs w:val="20"/>
                    </w:rPr>
                    <w:t xml:space="preserve"> fizičnih oseb in</w:t>
                  </w:r>
                </w:p>
                <w:p w14:paraId="543D7E00" w14:textId="77777777" w:rsidR="00F93581" w:rsidRPr="006708D5" w:rsidRDefault="00F93581" w:rsidP="00F93581">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Pr>
                      <w:rFonts w:ascii="Arial" w:eastAsia="Calibri" w:hAnsi="Arial" w:cs="Arial"/>
                      <w:sz w:val="20"/>
                      <w:szCs w:val="20"/>
                    </w:rPr>
                    <w:t>3</w:t>
                  </w:r>
                  <w:r w:rsidRPr="002A061E">
                    <w:rPr>
                      <w:rFonts w:ascii="Arial" w:eastAsia="Calibri" w:hAnsi="Arial" w:cs="Arial"/>
                      <w:sz w:val="20"/>
                      <w:szCs w:val="20"/>
                    </w:rPr>
                    <w:t xml:space="preserve"> anonimn</w:t>
                  </w:r>
                  <w:r>
                    <w:rPr>
                      <w:rFonts w:ascii="Arial" w:eastAsia="Calibri" w:hAnsi="Arial" w:cs="Arial"/>
                      <w:sz w:val="20"/>
                      <w:szCs w:val="20"/>
                    </w:rPr>
                    <w:t>e</w:t>
                  </w:r>
                  <w:r w:rsidRPr="002A061E">
                    <w:rPr>
                      <w:rFonts w:ascii="Arial" w:eastAsia="Calibri" w:hAnsi="Arial" w:cs="Arial"/>
                      <w:sz w:val="20"/>
                      <w:szCs w:val="20"/>
                    </w:rPr>
                    <w:t xml:space="preserve"> oseb</w:t>
                  </w:r>
                  <w:r>
                    <w:rPr>
                      <w:rFonts w:ascii="Arial" w:eastAsia="Calibri" w:hAnsi="Arial" w:cs="Arial"/>
                      <w:sz w:val="20"/>
                      <w:szCs w:val="20"/>
                    </w:rPr>
                    <w:t>e</w:t>
                  </w:r>
                  <w:r w:rsidRPr="002A061E">
                    <w:rPr>
                      <w:rFonts w:ascii="Arial" w:eastAsia="Calibri" w:hAnsi="Arial" w:cs="Arial"/>
                      <w:sz w:val="20"/>
                      <w:szCs w:val="20"/>
                    </w:rPr>
                    <w:t>.</w:t>
                  </w:r>
                </w:p>
                <w:p w14:paraId="561799B2" w14:textId="77777777" w:rsidR="00F93581" w:rsidRPr="0016553D" w:rsidRDefault="00F93581" w:rsidP="00F93581">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62702E62" w14:textId="6399C139" w:rsidR="00F93581" w:rsidRDefault="00F93581" w:rsidP="00F93581">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sidRPr="0016553D">
                    <w:rPr>
                      <w:rFonts w:ascii="Arial" w:eastAsia="Calibri" w:hAnsi="Arial" w:cs="Arial"/>
                      <w:sz w:val="20"/>
                      <w:szCs w:val="20"/>
                      <w:lang w:eastAsia="sl-SI"/>
                    </w:rPr>
                    <w:t xml:space="preserve">Prejete pripombe </w:t>
                  </w:r>
                  <w:r>
                    <w:rPr>
                      <w:rFonts w:ascii="Arial" w:eastAsia="Calibri" w:hAnsi="Arial" w:cs="Arial"/>
                      <w:sz w:val="20"/>
                      <w:szCs w:val="20"/>
                      <w:lang w:eastAsia="sl-SI"/>
                    </w:rPr>
                    <w:t xml:space="preserve">so bile delno </w:t>
                  </w:r>
                  <w:r w:rsidRPr="0016553D">
                    <w:rPr>
                      <w:rFonts w:ascii="Arial" w:eastAsia="Calibri" w:hAnsi="Arial" w:cs="Arial"/>
                      <w:sz w:val="20"/>
                      <w:szCs w:val="20"/>
                      <w:lang w:eastAsia="sl-SI"/>
                    </w:rPr>
                    <w:t>upoštevane.</w:t>
                  </w:r>
                </w:p>
                <w:p w14:paraId="41FFE42F" w14:textId="77777777" w:rsidR="00F93581" w:rsidRPr="0016553D" w:rsidRDefault="00F93581" w:rsidP="00F93581">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04B054F3" w14:textId="1ED1B3C9" w:rsidR="00F93581" w:rsidRPr="008407DA" w:rsidRDefault="00F93581" w:rsidP="00F93581">
                  <w:pPr>
                    <w:pStyle w:val="Neotevilenodstavek"/>
                    <w:widowControl w:val="0"/>
                    <w:spacing w:before="0" w:after="0" w:line="276" w:lineRule="auto"/>
                    <w:contextualSpacing/>
                    <w:rPr>
                      <w:iCs/>
                      <w:sz w:val="20"/>
                      <w:szCs w:val="20"/>
                    </w:rPr>
                  </w:pPr>
                  <w:r w:rsidRPr="008407DA">
                    <w:rPr>
                      <w:iCs/>
                      <w:sz w:val="20"/>
                      <w:szCs w:val="20"/>
                    </w:rPr>
                    <w:t>Pri pripravi zakona so bile proučene vse pripombe in predlogi fizičnih oseb, zainteresirane javnosti in strokovne javnosti. Nekatere pripombe in predlogi so bili upoštevani, nekaterih pa ni bilo mogoče upoštevati, saj se nekateri niso nanašali na vsebine, ki so pr</w:t>
                  </w:r>
                  <w:r>
                    <w:rPr>
                      <w:iCs/>
                      <w:sz w:val="20"/>
                      <w:szCs w:val="20"/>
                    </w:rPr>
                    <w:t>edmet tokratnih sprememb ZDoh-2.</w:t>
                  </w:r>
                  <w:r w:rsidRPr="008407DA">
                    <w:rPr>
                      <w:iCs/>
                      <w:sz w:val="20"/>
                      <w:szCs w:val="20"/>
                    </w:rPr>
                    <w:t xml:space="preserve"> </w:t>
                  </w:r>
                  <w:r>
                    <w:rPr>
                      <w:iCs/>
                      <w:sz w:val="20"/>
                      <w:szCs w:val="20"/>
                    </w:rPr>
                    <w:t>N</w:t>
                  </w:r>
                  <w:r w:rsidRPr="008407DA">
                    <w:rPr>
                      <w:iCs/>
                      <w:sz w:val="20"/>
                      <w:szCs w:val="20"/>
                    </w:rPr>
                    <w:t xml:space="preserve">ekateri predlogi in pripombe </w:t>
                  </w:r>
                  <w:r>
                    <w:rPr>
                      <w:iCs/>
                      <w:sz w:val="20"/>
                      <w:szCs w:val="20"/>
                    </w:rPr>
                    <w:t>se</w:t>
                  </w:r>
                  <w:r w:rsidRPr="008407DA">
                    <w:rPr>
                      <w:iCs/>
                      <w:sz w:val="20"/>
                      <w:szCs w:val="20"/>
                    </w:rPr>
                    <w:t xml:space="preserve"> niso skladali s cilji predloga zakona. Obširneje je poročilo o prejetih pripombah, predlogih in mnenjih ter </w:t>
                  </w:r>
                  <w:r>
                    <w:rPr>
                      <w:iCs/>
                      <w:sz w:val="20"/>
                      <w:szCs w:val="20"/>
                    </w:rPr>
                    <w:t>odziv nanje</w:t>
                  </w:r>
                  <w:r w:rsidRPr="008407DA">
                    <w:rPr>
                      <w:iCs/>
                      <w:sz w:val="20"/>
                      <w:szCs w:val="20"/>
                    </w:rPr>
                    <w:t xml:space="preserve"> vsebovano v prilogi </w:t>
                  </w:r>
                  <w:r w:rsidRPr="008407DA">
                    <w:rPr>
                      <w:sz w:val="20"/>
                      <w:szCs w:val="20"/>
                    </w:rPr>
                    <w:t>Poročilo o prejetih pripombah, predlogih in mnenjih na predlog Zakona o spremembah in dopolnitvah Zakona o dohodnini ter o njihovem upoštevanju – zainteresirana javnost</w:t>
                  </w:r>
                  <w:r w:rsidRPr="008407DA">
                    <w:rPr>
                      <w:iCs/>
                      <w:sz w:val="20"/>
                      <w:szCs w:val="20"/>
                    </w:rPr>
                    <w:t>.</w:t>
                  </w:r>
                </w:p>
                <w:p w14:paraId="7BB79E9A" w14:textId="77777777" w:rsidR="00F93581" w:rsidRDefault="00F93581" w:rsidP="00F93581">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48EA2B32" w14:textId="03E0EA74" w:rsidR="00C106E6" w:rsidRPr="00076F4A" w:rsidRDefault="00F93581"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Pr>
                      <w:rFonts w:ascii="Arial" w:eastAsia="Calibri" w:hAnsi="Arial" w:cs="Arial"/>
                      <w:sz w:val="20"/>
                      <w:szCs w:val="20"/>
                      <w:lang w:eastAsia="sl-SI"/>
                    </w:rPr>
                    <w:t xml:space="preserve">Po opravljeni javni obravnavi je bil predlog zakona 24. avgusta 2022 in 7. septembra 2022 obravnavan na </w:t>
                  </w:r>
                  <w:r w:rsidRPr="003134F7">
                    <w:rPr>
                      <w:rFonts w:ascii="Arial" w:eastAsia="Calibri" w:hAnsi="Arial" w:cs="Arial"/>
                      <w:sz w:val="20"/>
                      <w:szCs w:val="20"/>
                      <w:lang w:eastAsia="sl-SI"/>
                    </w:rPr>
                    <w:t>Strokovn</w:t>
                  </w:r>
                  <w:r>
                    <w:rPr>
                      <w:rFonts w:ascii="Arial" w:eastAsia="Calibri" w:hAnsi="Arial" w:cs="Arial"/>
                      <w:sz w:val="20"/>
                      <w:szCs w:val="20"/>
                      <w:lang w:eastAsia="sl-SI"/>
                    </w:rPr>
                    <w:t>em</w:t>
                  </w:r>
                  <w:r w:rsidRPr="003134F7">
                    <w:rPr>
                      <w:rFonts w:ascii="Arial" w:eastAsia="Calibri" w:hAnsi="Arial" w:cs="Arial"/>
                      <w:sz w:val="20"/>
                      <w:szCs w:val="20"/>
                      <w:lang w:eastAsia="sl-SI"/>
                    </w:rPr>
                    <w:t xml:space="preserve"> odbor</w:t>
                  </w:r>
                  <w:r>
                    <w:rPr>
                      <w:rFonts w:ascii="Arial" w:eastAsia="Calibri" w:hAnsi="Arial" w:cs="Arial"/>
                      <w:sz w:val="20"/>
                      <w:szCs w:val="20"/>
                      <w:lang w:eastAsia="sl-SI"/>
                    </w:rPr>
                    <w:t>u</w:t>
                  </w:r>
                  <w:r w:rsidRPr="003134F7">
                    <w:rPr>
                      <w:rFonts w:ascii="Arial" w:eastAsia="Calibri" w:hAnsi="Arial" w:cs="Arial"/>
                      <w:sz w:val="20"/>
                      <w:szCs w:val="20"/>
                      <w:lang w:eastAsia="sl-SI"/>
                    </w:rPr>
                    <w:t xml:space="preserve"> za finance in gospodarstvo za obravnavo novele Zakona o dohodnini, novele Zakona o trošarinah, novele Zakona o davčnem postopku in novele Zakona o finančni upravi</w:t>
                  </w:r>
                  <w:r>
                    <w:rPr>
                      <w:rFonts w:ascii="Arial" w:eastAsia="Calibri" w:hAnsi="Arial" w:cs="Arial"/>
                      <w:sz w:val="20"/>
                      <w:szCs w:val="20"/>
                      <w:lang w:eastAsia="sl-SI"/>
                    </w:rPr>
                    <w:t xml:space="preserve"> pri Ekonomsko-socialnem svetu, 26. avgusta 2022 pa tudi na </w:t>
                  </w:r>
                  <w:r w:rsidRPr="003134F7">
                    <w:rPr>
                      <w:rFonts w:ascii="Arial" w:eastAsia="Calibri" w:hAnsi="Arial" w:cs="Arial"/>
                      <w:sz w:val="20"/>
                      <w:szCs w:val="20"/>
                      <w:lang w:eastAsia="sl-SI"/>
                    </w:rPr>
                    <w:t>Ekonomsko-socialnem svetu</w:t>
                  </w:r>
                  <w:r>
                    <w:rPr>
                      <w:rFonts w:ascii="Arial" w:eastAsia="Calibri" w:hAnsi="Arial" w:cs="Arial"/>
                      <w:sz w:val="20"/>
                      <w:szCs w:val="20"/>
                      <w:lang w:eastAsia="sl-SI"/>
                    </w:rPr>
                    <w:t>.</w:t>
                  </w:r>
                </w:p>
              </w:tc>
            </w:tr>
            <w:tr w:rsidR="00C106E6" w:rsidRPr="00D063BD" w14:paraId="1A8880C3" w14:textId="77777777" w:rsidTr="00833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1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B6C92" w14:textId="77777777" w:rsidR="00C106E6" w:rsidRPr="00D063BD" w:rsidRDefault="00C106E6" w:rsidP="00C106E6">
                  <w:pPr>
                    <w:pStyle w:val="Neotevilenodstavek"/>
                    <w:widowControl w:val="0"/>
                    <w:spacing w:before="0" w:after="0" w:line="276" w:lineRule="auto"/>
                    <w:jc w:val="left"/>
                    <w:rPr>
                      <w:sz w:val="20"/>
                      <w:szCs w:val="20"/>
                    </w:rPr>
                  </w:pPr>
                  <w:r w:rsidRPr="00D063BD">
                    <w:rPr>
                      <w:b/>
                      <w:sz w:val="20"/>
                      <w:szCs w:val="20"/>
                    </w:rPr>
                    <w:lastRenderedPageBreak/>
                    <w:t>10. Pri pripravi gradiva so bile upoštevane zahteve iz Resolucije o normativni dejavnosti:</w:t>
                  </w:r>
                </w:p>
              </w:tc>
              <w:tc>
                <w:tcPr>
                  <w:tcW w:w="4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0E832" w14:textId="77777777" w:rsidR="00C106E6" w:rsidRPr="00D063BD" w:rsidRDefault="00C106E6" w:rsidP="00C106E6">
                  <w:pPr>
                    <w:pStyle w:val="Neotevilenodstavek"/>
                    <w:widowControl w:val="0"/>
                    <w:spacing w:before="0" w:after="0" w:line="276" w:lineRule="auto"/>
                    <w:jc w:val="center"/>
                    <w:rPr>
                      <w:iCs/>
                      <w:sz w:val="20"/>
                      <w:szCs w:val="20"/>
                    </w:rPr>
                  </w:pPr>
                  <w:r w:rsidRPr="00D063BD">
                    <w:rPr>
                      <w:sz w:val="20"/>
                      <w:szCs w:val="20"/>
                    </w:rPr>
                    <w:t>DA/</w:t>
                  </w:r>
                  <w:r w:rsidRPr="006E657E">
                    <w:rPr>
                      <w:b/>
                      <w:sz w:val="20"/>
                      <w:szCs w:val="20"/>
                      <w:u w:val="single"/>
                    </w:rPr>
                    <w:t>NE</w:t>
                  </w:r>
                </w:p>
              </w:tc>
            </w:tr>
            <w:tr w:rsidR="00C106E6" w:rsidRPr="00D063BD" w14:paraId="255D7F12" w14:textId="77777777" w:rsidTr="00833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1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06DF8" w14:textId="77777777" w:rsidR="00C106E6" w:rsidRPr="00D063BD" w:rsidRDefault="00C106E6" w:rsidP="00C106E6">
                  <w:pPr>
                    <w:pStyle w:val="Neotevilenodstavek"/>
                    <w:widowControl w:val="0"/>
                    <w:spacing w:before="0" w:after="0" w:line="276" w:lineRule="auto"/>
                    <w:jc w:val="left"/>
                    <w:rPr>
                      <w:b/>
                      <w:sz w:val="20"/>
                      <w:szCs w:val="20"/>
                    </w:rPr>
                  </w:pPr>
                  <w:r w:rsidRPr="00D063BD">
                    <w:rPr>
                      <w:b/>
                      <w:sz w:val="20"/>
                      <w:szCs w:val="20"/>
                    </w:rPr>
                    <w:t>11. Gradivo je uvrščeno v delovni program vlade:</w:t>
                  </w:r>
                </w:p>
              </w:tc>
              <w:tc>
                <w:tcPr>
                  <w:tcW w:w="4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76E40" w14:textId="77777777" w:rsidR="00C106E6" w:rsidRPr="00D063BD" w:rsidRDefault="00C106E6" w:rsidP="00C106E6">
                  <w:pPr>
                    <w:pStyle w:val="Neotevilenodstavek"/>
                    <w:widowControl w:val="0"/>
                    <w:spacing w:before="0" w:after="0" w:line="276" w:lineRule="auto"/>
                    <w:jc w:val="center"/>
                    <w:rPr>
                      <w:sz w:val="20"/>
                      <w:szCs w:val="20"/>
                    </w:rPr>
                  </w:pPr>
                  <w:r w:rsidRPr="00D063BD">
                    <w:rPr>
                      <w:sz w:val="20"/>
                      <w:szCs w:val="20"/>
                    </w:rPr>
                    <w:t>DA/</w:t>
                  </w:r>
                  <w:r w:rsidRPr="006E657E">
                    <w:rPr>
                      <w:b/>
                      <w:sz w:val="20"/>
                      <w:szCs w:val="20"/>
                      <w:u w:val="single"/>
                    </w:rPr>
                    <w:t>NE</w:t>
                  </w:r>
                </w:p>
              </w:tc>
            </w:tr>
            <w:tr w:rsidR="00C106E6" w:rsidRPr="00D063BD" w14:paraId="0A011DCF" w14:textId="77777777" w:rsidTr="00833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09CA6" w14:textId="7517CB46" w:rsidR="00C106E6" w:rsidRPr="00FD688B" w:rsidRDefault="002E2F0C" w:rsidP="00C106E6">
                  <w:pPr>
                    <w:pStyle w:val="Poglavje"/>
                    <w:widowControl w:val="0"/>
                    <w:spacing w:after="0" w:line="276" w:lineRule="auto"/>
                    <w:ind w:left="3400"/>
                    <w:rPr>
                      <w:sz w:val="20"/>
                      <w:szCs w:val="20"/>
                    </w:rPr>
                  </w:pPr>
                  <w:r>
                    <w:rPr>
                      <w:sz w:val="20"/>
                      <w:szCs w:val="20"/>
                    </w:rPr>
                    <w:t>Tilen Božič</w:t>
                  </w:r>
                  <w:r w:rsidR="00C106E6">
                    <w:rPr>
                      <w:sz w:val="20"/>
                      <w:szCs w:val="20"/>
                    </w:rPr>
                    <w:t>,</w:t>
                  </w:r>
                </w:p>
                <w:p w14:paraId="59E64E3E" w14:textId="3BD09065" w:rsidR="00C106E6" w:rsidRDefault="00C106E6" w:rsidP="00C106E6">
                  <w:pPr>
                    <w:pStyle w:val="Poglavje"/>
                    <w:widowControl w:val="0"/>
                    <w:spacing w:before="0" w:after="0" w:line="276" w:lineRule="auto"/>
                    <w:ind w:left="3400"/>
                    <w:jc w:val="left"/>
                    <w:rPr>
                      <w:sz w:val="20"/>
                      <w:szCs w:val="20"/>
                    </w:rPr>
                  </w:pPr>
                  <w:r w:rsidRPr="00FD688B">
                    <w:rPr>
                      <w:sz w:val="20"/>
                      <w:szCs w:val="20"/>
                    </w:rPr>
                    <w:t xml:space="preserve">                                  </w:t>
                  </w:r>
                  <w:r>
                    <w:rPr>
                      <w:sz w:val="20"/>
                      <w:szCs w:val="20"/>
                    </w:rPr>
                    <w:t xml:space="preserve">  </w:t>
                  </w:r>
                  <w:r w:rsidR="002E2F0C">
                    <w:rPr>
                      <w:sz w:val="20"/>
                      <w:szCs w:val="20"/>
                    </w:rPr>
                    <w:t>državni sekretar</w:t>
                  </w:r>
                </w:p>
                <w:p w14:paraId="7354745E" w14:textId="77777777" w:rsidR="00C106E6" w:rsidRPr="00D063BD" w:rsidRDefault="00C106E6" w:rsidP="00C106E6">
                  <w:pPr>
                    <w:pStyle w:val="Poglavje"/>
                    <w:widowControl w:val="0"/>
                    <w:spacing w:before="0" w:after="0" w:line="276" w:lineRule="auto"/>
                    <w:ind w:left="3400"/>
                    <w:jc w:val="left"/>
                    <w:rPr>
                      <w:sz w:val="20"/>
                      <w:szCs w:val="20"/>
                    </w:rPr>
                  </w:pPr>
                </w:p>
              </w:tc>
            </w:tr>
          </w:tbl>
          <w:p w14:paraId="24833E53" w14:textId="26C04512" w:rsidR="0034671A" w:rsidRDefault="0090367F" w:rsidP="00C106E6">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p>
          <w:p w14:paraId="35849905" w14:textId="7A5B56E8" w:rsidR="004513FD" w:rsidRPr="004513FD" w:rsidRDefault="004513FD" w:rsidP="004513FD">
            <w:pPr>
              <w:suppressAutoHyphens/>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tc>
      </w:tr>
    </w:tbl>
    <w:p w14:paraId="07B3E8E5" w14:textId="77777777" w:rsidR="00C830EC" w:rsidRDefault="00C830EC">
      <w:r>
        <w:lastRenderedPageBreak/>
        <w:br w:type="page"/>
      </w:r>
    </w:p>
    <w:tbl>
      <w:tblPr>
        <w:tblW w:w="9434" w:type="dxa"/>
        <w:tblLook w:val="04A0" w:firstRow="1" w:lastRow="0" w:firstColumn="1" w:lastColumn="0" w:noHBand="0" w:noVBand="1"/>
      </w:tblPr>
      <w:tblGrid>
        <w:gridCol w:w="9434"/>
      </w:tblGrid>
      <w:tr w:rsidR="004513FD" w:rsidRPr="004513FD" w14:paraId="1D99B486" w14:textId="77777777" w:rsidTr="00C106E6">
        <w:tc>
          <w:tcPr>
            <w:tcW w:w="9434" w:type="dxa"/>
          </w:tcPr>
          <w:p w14:paraId="01CFD7E2" w14:textId="4BCFC460"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p>
        </w:tc>
      </w:tr>
      <w:tr w:rsidR="004513FD" w:rsidRPr="004513FD" w14:paraId="6AD28E96" w14:textId="77777777" w:rsidTr="00C106E6">
        <w:tblPrEx>
          <w:tblCellMar>
            <w:left w:w="70" w:type="dxa"/>
            <w:right w:w="70" w:type="dxa"/>
          </w:tblCellMar>
        </w:tblPrEx>
        <w:trPr>
          <w:trHeight w:val="1002"/>
        </w:trPr>
        <w:tc>
          <w:tcPr>
            <w:tcW w:w="9434" w:type="dxa"/>
            <w:shd w:val="clear" w:color="auto" w:fill="auto"/>
          </w:tcPr>
          <w:p w14:paraId="47C68C56" w14:textId="77777777" w:rsidR="00C830EC" w:rsidRPr="0034671A" w:rsidRDefault="00C830EC" w:rsidP="00C830EC">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4671A">
              <w:rPr>
                <w:rFonts w:ascii="Arial" w:eastAsia="Times New Roman" w:hAnsi="Arial" w:cs="Arial"/>
                <w:b/>
                <w:sz w:val="20"/>
                <w:szCs w:val="20"/>
                <w:lang w:eastAsia="sl-SI"/>
              </w:rPr>
              <w:t>PRILOGA 3</w:t>
            </w:r>
          </w:p>
          <w:p w14:paraId="507CC2A3" w14:textId="77777777" w:rsidR="008F5950" w:rsidRDefault="008F5950" w:rsidP="00C830EC">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p>
          <w:p w14:paraId="27029184" w14:textId="0C05AAF9" w:rsidR="00C830EC" w:rsidRPr="0034671A" w:rsidRDefault="00C830EC" w:rsidP="00C830EC">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sidRPr="0034671A">
              <w:rPr>
                <w:rFonts w:ascii="Arial" w:eastAsia="Times New Roman" w:hAnsi="Arial" w:cs="Arial"/>
                <w:b/>
                <w:sz w:val="20"/>
                <w:szCs w:val="20"/>
                <w:lang w:eastAsia="sl-SI"/>
              </w:rPr>
              <w:t>NUJNI POSTOPEK</w:t>
            </w:r>
          </w:p>
          <w:p w14:paraId="2895395D" w14:textId="77777777" w:rsidR="00C830EC" w:rsidRPr="00D942E3" w:rsidRDefault="00C830EC" w:rsidP="00C830EC">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sidRPr="0034671A">
              <w:rPr>
                <w:rFonts w:ascii="Arial" w:eastAsia="Times New Roman" w:hAnsi="Arial" w:cs="Arial"/>
                <w:b/>
                <w:sz w:val="20"/>
                <w:szCs w:val="20"/>
                <w:lang w:eastAsia="sl-SI"/>
              </w:rPr>
              <w:t>(EVA 2022-1611-0093)</w:t>
            </w:r>
            <w:r>
              <w:rPr>
                <w:rFonts w:ascii="Arial" w:eastAsia="Times New Roman" w:hAnsi="Arial" w:cs="Arial"/>
                <w:b/>
                <w:sz w:val="20"/>
                <w:szCs w:val="20"/>
                <w:lang w:eastAsia="sl-SI"/>
              </w:rPr>
              <w:t xml:space="preserve">                                                                                                               </w:t>
            </w:r>
          </w:p>
          <w:tbl>
            <w:tblPr>
              <w:tblW w:w="0" w:type="auto"/>
              <w:tblLook w:val="04A0" w:firstRow="1" w:lastRow="0" w:firstColumn="1" w:lastColumn="0" w:noHBand="0" w:noVBand="1"/>
            </w:tblPr>
            <w:tblGrid>
              <w:gridCol w:w="8755"/>
            </w:tblGrid>
            <w:tr w:rsidR="00C830EC" w:rsidRPr="004513FD" w14:paraId="341F93D8" w14:textId="77777777" w:rsidTr="00D02524">
              <w:tc>
                <w:tcPr>
                  <w:tcW w:w="8755" w:type="dxa"/>
                </w:tcPr>
                <w:p w14:paraId="7FC67867" w14:textId="77777777" w:rsidR="00C830EC" w:rsidRPr="004513FD" w:rsidRDefault="00C830EC" w:rsidP="00C830EC">
                  <w:pPr>
                    <w:suppressAutoHyphens/>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7C05FC87" w14:textId="77777777" w:rsidR="00C830EC" w:rsidRPr="004513FD" w:rsidRDefault="00C830EC" w:rsidP="00C830EC">
                  <w:pPr>
                    <w:suppressAutoHyphens/>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4513FD">
                    <w:rPr>
                      <w:rFonts w:ascii="Arial" w:eastAsia="Times New Roman" w:hAnsi="Arial" w:cs="Arial"/>
                      <w:b/>
                      <w:sz w:val="20"/>
                      <w:szCs w:val="20"/>
                      <w:lang w:eastAsia="sl-SI"/>
                    </w:rPr>
                    <w:t>ZAKON O SPREMEMBAH IN DOPOLNITVAH ZAKONA O DOHODNINI</w:t>
                  </w:r>
                </w:p>
                <w:p w14:paraId="0CB5C3A7" w14:textId="77777777" w:rsidR="00C830EC" w:rsidRPr="004513FD" w:rsidRDefault="00C830EC" w:rsidP="00C830EC">
                  <w:pPr>
                    <w:suppressAutoHyphens/>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tc>
            </w:tr>
          </w:tbl>
          <w:p w14:paraId="2CAF2DBC" w14:textId="77777777" w:rsidR="004513FD" w:rsidRPr="004513FD" w:rsidRDefault="004513FD" w:rsidP="004513FD">
            <w:pPr>
              <w:spacing w:after="0" w:line="276" w:lineRule="auto"/>
              <w:jc w:val="both"/>
              <w:rPr>
                <w:rFonts w:ascii="Arial" w:eastAsia="Calibri" w:hAnsi="Arial" w:cs="Arial"/>
                <w:b/>
                <w:sz w:val="20"/>
                <w:szCs w:val="20"/>
              </w:rPr>
            </w:pPr>
            <w:r w:rsidRPr="004513FD">
              <w:rPr>
                <w:rFonts w:ascii="Arial" w:eastAsia="Calibri" w:hAnsi="Arial" w:cs="Arial"/>
                <w:b/>
                <w:sz w:val="20"/>
                <w:szCs w:val="20"/>
              </w:rPr>
              <w:t>1. OCENA STANJA IN RAZLOGI ZA SPREJEM PREDLOGA ZAKONA</w:t>
            </w:r>
          </w:p>
          <w:p w14:paraId="577A407D" w14:textId="586A409F" w:rsidR="004513FD" w:rsidRPr="004513FD" w:rsidRDefault="00C830EC" w:rsidP="004513FD">
            <w:pPr>
              <w:spacing w:after="0" w:line="276" w:lineRule="auto"/>
              <w:jc w:val="both"/>
              <w:rPr>
                <w:rFonts w:ascii="Arial" w:eastAsia="Calibri" w:hAnsi="Arial" w:cs="Arial"/>
                <w:sz w:val="20"/>
                <w:szCs w:val="20"/>
              </w:rPr>
            </w:pPr>
            <w:r w:rsidRPr="004513FD">
              <w:rPr>
                <w:rFonts w:ascii="Arial" w:eastAsia="Times New Roman" w:hAnsi="Arial" w:cs="Arial"/>
                <w:b/>
                <w:sz w:val="20"/>
                <w:szCs w:val="20"/>
                <w:lang w:eastAsia="sl-SI"/>
              </w:rPr>
              <w:t>I. UVOD</w:t>
            </w:r>
          </w:p>
          <w:p w14:paraId="0808E849" w14:textId="5082A162" w:rsidR="004513FD" w:rsidRPr="004513FD" w:rsidRDefault="004513FD" w:rsidP="004513FD">
            <w:pPr>
              <w:spacing w:after="0" w:line="276" w:lineRule="auto"/>
              <w:contextualSpacing/>
              <w:jc w:val="both"/>
              <w:rPr>
                <w:rFonts w:ascii="Arial" w:eastAsia="Calibri" w:hAnsi="Arial" w:cs="Arial"/>
                <w:sz w:val="20"/>
                <w:szCs w:val="20"/>
              </w:rPr>
            </w:pPr>
            <w:r w:rsidRPr="004513FD">
              <w:rPr>
                <w:rFonts w:ascii="Arial" w:eastAsia="Calibri" w:hAnsi="Arial" w:cs="Arial"/>
                <w:sz w:val="20"/>
                <w:szCs w:val="20"/>
              </w:rPr>
              <w:t>1.1 Splošno</w:t>
            </w:r>
          </w:p>
          <w:p w14:paraId="571C94DE" w14:textId="1D38DB2A" w:rsidR="003B7A8C" w:rsidRPr="004513FD" w:rsidRDefault="003B7A8C" w:rsidP="003B7A8C">
            <w:pPr>
              <w:spacing w:after="0" w:line="276" w:lineRule="auto"/>
              <w:contextualSpacing/>
              <w:jc w:val="both"/>
              <w:rPr>
                <w:rFonts w:ascii="Arial" w:eastAsia="Calibri" w:hAnsi="Arial" w:cs="Arial"/>
                <w:sz w:val="20"/>
                <w:szCs w:val="20"/>
              </w:rPr>
            </w:pPr>
            <w:r w:rsidRPr="004513FD">
              <w:rPr>
                <w:rFonts w:ascii="Arial" w:eastAsia="Calibri" w:hAnsi="Arial" w:cs="Arial"/>
                <w:sz w:val="20"/>
                <w:szCs w:val="20"/>
              </w:rPr>
              <w:t xml:space="preserve">Obdavčitev dohodkov fizičnih oseb je določena z Zakonom o dohodnini (Uradni list RS, </w:t>
            </w:r>
            <w:r w:rsidR="007D2972">
              <w:rPr>
                <w:rFonts w:ascii="Arial" w:eastAsia="Times New Roman" w:hAnsi="Arial" w:cs="Arial"/>
                <w:sz w:val="20"/>
                <w:szCs w:val="20"/>
              </w:rPr>
              <w:t>št. </w:t>
            </w:r>
            <w:r w:rsidRPr="004513FD">
              <w:rPr>
                <w:rFonts w:ascii="Arial" w:eastAsia="Calibri" w:hAnsi="Arial" w:cs="Arial"/>
                <w:sz w:val="20"/>
                <w:szCs w:val="20"/>
              </w:rPr>
              <w:t xml:space="preserve">13/11 – uradno prečiščeno besedilo, 9/11 – ZUKD-1, 9/12 – </w:t>
            </w:r>
            <w:proofErr w:type="spellStart"/>
            <w:r w:rsidRPr="004513FD">
              <w:rPr>
                <w:rFonts w:ascii="Arial" w:eastAsia="Calibri" w:hAnsi="Arial" w:cs="Arial"/>
                <w:sz w:val="20"/>
                <w:szCs w:val="20"/>
              </w:rPr>
              <w:t>odl</w:t>
            </w:r>
            <w:proofErr w:type="spellEnd"/>
            <w:r w:rsidRPr="004513FD">
              <w:rPr>
                <w:rFonts w:ascii="Arial" w:eastAsia="Calibri" w:hAnsi="Arial" w:cs="Arial"/>
                <w:sz w:val="20"/>
                <w:szCs w:val="20"/>
              </w:rPr>
              <w:t xml:space="preserve">. US, 24/12, 30/12, 40/12 – ZUJF, 75/12, 94/12, 96/13, 29/14 – </w:t>
            </w:r>
            <w:proofErr w:type="spellStart"/>
            <w:r w:rsidRPr="004513FD">
              <w:rPr>
                <w:rFonts w:ascii="Arial" w:eastAsia="Calibri" w:hAnsi="Arial" w:cs="Arial"/>
                <w:sz w:val="20"/>
                <w:szCs w:val="20"/>
              </w:rPr>
              <w:t>odl</w:t>
            </w:r>
            <w:proofErr w:type="spellEnd"/>
            <w:r w:rsidRPr="004513FD">
              <w:rPr>
                <w:rFonts w:ascii="Arial" w:eastAsia="Calibri" w:hAnsi="Arial" w:cs="Arial"/>
                <w:sz w:val="20"/>
                <w:szCs w:val="20"/>
              </w:rPr>
              <w:t>. US, 50/14, 23/15, 55/15, 63/16, 69/17, 21/19</w:t>
            </w:r>
            <w:r>
              <w:rPr>
                <w:rFonts w:ascii="Arial" w:eastAsia="Calibri" w:hAnsi="Arial" w:cs="Arial"/>
                <w:sz w:val="20"/>
                <w:szCs w:val="20"/>
              </w:rPr>
              <w:t>,</w:t>
            </w:r>
            <w:r w:rsidRPr="004513FD">
              <w:rPr>
                <w:rFonts w:ascii="Arial" w:eastAsia="Calibri" w:hAnsi="Arial" w:cs="Arial"/>
                <w:sz w:val="20"/>
                <w:szCs w:val="20"/>
              </w:rPr>
              <w:t xml:space="preserve"> 28/19</w:t>
            </w:r>
            <w:r>
              <w:rPr>
                <w:rFonts w:ascii="Arial" w:eastAsia="Calibri" w:hAnsi="Arial" w:cs="Arial"/>
                <w:sz w:val="20"/>
                <w:szCs w:val="20"/>
              </w:rPr>
              <w:t xml:space="preserve"> in 39/22</w:t>
            </w:r>
            <w:r w:rsidRPr="004513FD">
              <w:rPr>
                <w:rFonts w:ascii="Arial" w:eastAsia="Calibri" w:hAnsi="Arial" w:cs="Arial"/>
                <w:sz w:val="20"/>
                <w:szCs w:val="20"/>
              </w:rPr>
              <w:t xml:space="preserve">; v nadaljnjem besedilu: ZDoh-2). Obdavčitev dohodkov fizičnih oseb je področje, ki zahteva sprotno spremljanje zaradi skupnih splošnih ciljev, ki se želijo doseči z davčno </w:t>
            </w:r>
            <w:r w:rsidRPr="0045046C">
              <w:rPr>
                <w:rFonts w:ascii="Arial" w:eastAsia="Calibri" w:hAnsi="Arial" w:cs="Arial"/>
                <w:sz w:val="20"/>
                <w:szCs w:val="20"/>
              </w:rPr>
              <w:t>politiko</w:t>
            </w:r>
            <w:r w:rsidR="0045046C">
              <w:rPr>
                <w:rFonts w:ascii="Arial" w:eastAsia="Calibri" w:hAnsi="Arial" w:cs="Arial"/>
                <w:sz w:val="20"/>
                <w:szCs w:val="20"/>
              </w:rPr>
              <w:t>,</w:t>
            </w:r>
            <w:r w:rsidRPr="0045046C">
              <w:rPr>
                <w:rFonts w:ascii="Arial" w:eastAsia="Calibri" w:hAnsi="Arial" w:cs="Arial"/>
                <w:sz w:val="20"/>
                <w:szCs w:val="20"/>
              </w:rPr>
              <w:t xml:space="preserve"> zaradi sprememb druge področne zakonodaje,</w:t>
            </w:r>
            <w:r w:rsidRPr="006D6A89">
              <w:rPr>
                <w:rFonts w:ascii="Arial" w:eastAsia="Calibri" w:hAnsi="Arial" w:cs="Arial"/>
                <w:sz w:val="20"/>
                <w:szCs w:val="20"/>
              </w:rPr>
              <w:t xml:space="preserve"> </w:t>
            </w:r>
            <w:r w:rsidRPr="006D6A89" w:rsidDel="0045046C">
              <w:rPr>
                <w:rFonts w:ascii="Arial" w:eastAsia="Calibri" w:hAnsi="Arial" w:cs="Arial"/>
                <w:sz w:val="20"/>
                <w:szCs w:val="20"/>
              </w:rPr>
              <w:t xml:space="preserve">sodnih odločb </w:t>
            </w:r>
            <w:r w:rsidRPr="006D6A89">
              <w:rPr>
                <w:rFonts w:ascii="Arial" w:eastAsia="Calibri" w:hAnsi="Arial" w:cs="Arial"/>
                <w:sz w:val="20"/>
                <w:szCs w:val="20"/>
              </w:rPr>
              <w:t>in težav</w:t>
            </w:r>
            <w:r w:rsidRPr="004513FD">
              <w:rPr>
                <w:rFonts w:ascii="Arial" w:eastAsia="Calibri" w:hAnsi="Arial" w:cs="Arial"/>
                <w:sz w:val="20"/>
                <w:szCs w:val="20"/>
              </w:rPr>
              <w:t xml:space="preserve">, ki se zaznajo pri izvajanju zakona in so tudi posledica spremenjenih razmer. </w:t>
            </w:r>
          </w:p>
          <w:p w14:paraId="0353EF6B" w14:textId="1C149F16" w:rsidR="004513FD" w:rsidRDefault="004513FD" w:rsidP="004513FD">
            <w:pPr>
              <w:spacing w:after="0" w:line="276" w:lineRule="auto"/>
              <w:contextualSpacing/>
              <w:jc w:val="both"/>
              <w:rPr>
                <w:rFonts w:ascii="Arial" w:eastAsia="Calibri" w:hAnsi="Arial" w:cs="Arial"/>
                <w:sz w:val="20"/>
                <w:szCs w:val="20"/>
              </w:rPr>
            </w:pPr>
          </w:p>
          <w:p w14:paraId="2E2B4C67" w14:textId="08721B98" w:rsidR="000A3C13" w:rsidRPr="004513FD" w:rsidRDefault="009A2FB8" w:rsidP="000A3C13">
            <w:pPr>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 xml:space="preserve">Za zagotavljanje javnofinančne stabilnosti, ki je bila načeta zaradi intenzivne pomoči države vsem spektrom družbe v času pandemije virusa covid-19 </w:t>
            </w:r>
            <w:r w:rsidR="007D2972">
              <w:rPr>
                <w:rFonts w:ascii="Arial" w:eastAsia="Times New Roman" w:hAnsi="Arial" w:cs="Arial"/>
                <w:sz w:val="20"/>
                <w:szCs w:val="20"/>
              </w:rPr>
              <w:t>ter</w:t>
            </w:r>
            <w:r>
              <w:rPr>
                <w:rFonts w:ascii="Arial" w:eastAsia="Times New Roman" w:hAnsi="Arial" w:cs="Arial"/>
                <w:sz w:val="20"/>
                <w:szCs w:val="20"/>
              </w:rPr>
              <w:t xml:space="preserve"> ki je na preizkušnji zaradi izjemnih inflacijskih pritiskov</w:t>
            </w:r>
            <w:r w:rsidR="008C4C58">
              <w:rPr>
                <w:rFonts w:ascii="Arial" w:eastAsia="Times New Roman" w:hAnsi="Arial" w:cs="Arial"/>
                <w:sz w:val="20"/>
                <w:szCs w:val="20"/>
              </w:rPr>
              <w:t xml:space="preserve"> in energetske krize</w:t>
            </w:r>
            <w:r>
              <w:rPr>
                <w:rFonts w:ascii="Arial" w:eastAsia="Times New Roman" w:hAnsi="Arial" w:cs="Arial"/>
                <w:sz w:val="20"/>
                <w:szCs w:val="20"/>
              </w:rPr>
              <w:t>, ki prav tako zahtevajo intenzivno pomoč države in redistribucijo prihodkov na najbolj ranljive segmente družbe</w:t>
            </w:r>
            <w:r w:rsidR="008C4C58">
              <w:rPr>
                <w:rFonts w:ascii="Arial" w:eastAsia="Times New Roman" w:hAnsi="Arial" w:cs="Arial"/>
                <w:sz w:val="20"/>
                <w:szCs w:val="20"/>
              </w:rPr>
              <w:t xml:space="preserve"> na ravni gospodinjstev in gospodarstva</w:t>
            </w:r>
            <w:r>
              <w:rPr>
                <w:rFonts w:ascii="Arial" w:eastAsia="Times New Roman" w:hAnsi="Arial" w:cs="Arial"/>
                <w:sz w:val="20"/>
                <w:szCs w:val="20"/>
              </w:rPr>
              <w:t xml:space="preserve">, se popravljajo določeni ukrepi Zakona o spremembah in dopolnitvah Zakona o dohodnini (Uradni list RS, </w:t>
            </w:r>
            <w:r w:rsidR="007D2972">
              <w:rPr>
                <w:rFonts w:ascii="Arial" w:eastAsia="Times New Roman" w:hAnsi="Arial" w:cs="Arial"/>
                <w:sz w:val="20"/>
                <w:szCs w:val="20"/>
              </w:rPr>
              <w:t>št. </w:t>
            </w:r>
            <w:r>
              <w:rPr>
                <w:rFonts w:ascii="Arial" w:eastAsia="Times New Roman" w:hAnsi="Arial" w:cs="Arial"/>
                <w:sz w:val="20"/>
                <w:szCs w:val="20"/>
              </w:rPr>
              <w:t>39/22; v nadaljnjem besedilu: ZDoh-2Z), ki bi, če bi ostal v veljavi nespremenjen, intenzivno posegel v prihodke državnega proračuna</w:t>
            </w:r>
            <w:r w:rsidR="007B6895">
              <w:rPr>
                <w:rFonts w:ascii="Arial" w:eastAsia="Times New Roman" w:hAnsi="Arial" w:cs="Arial"/>
                <w:sz w:val="20"/>
                <w:szCs w:val="20"/>
              </w:rPr>
              <w:t xml:space="preserve"> in</w:t>
            </w:r>
            <w:r w:rsidR="004620B7">
              <w:rPr>
                <w:rFonts w:ascii="Arial" w:eastAsia="Times New Roman" w:hAnsi="Arial" w:cs="Arial"/>
                <w:sz w:val="20"/>
                <w:szCs w:val="20"/>
              </w:rPr>
              <w:t xml:space="preserve"> s tem</w:t>
            </w:r>
            <w:r w:rsidR="004620B7" w:rsidDel="008C4C58">
              <w:rPr>
                <w:rFonts w:ascii="Arial" w:eastAsia="Times New Roman" w:hAnsi="Arial" w:cs="Arial"/>
                <w:sz w:val="20"/>
                <w:szCs w:val="20"/>
              </w:rPr>
              <w:t xml:space="preserve"> </w:t>
            </w:r>
            <w:r w:rsidR="004620B7">
              <w:rPr>
                <w:rFonts w:ascii="Arial" w:eastAsia="Times New Roman" w:hAnsi="Arial" w:cs="Arial"/>
                <w:sz w:val="20"/>
                <w:szCs w:val="20"/>
              </w:rPr>
              <w:t>onemogočil nadaljnjo pomoč države v bodočih ekonomsko negotovih časih.</w:t>
            </w:r>
            <w:r w:rsidR="007C01BD">
              <w:rPr>
                <w:rFonts w:ascii="Arial" w:eastAsia="Times New Roman" w:hAnsi="Arial" w:cs="Arial"/>
                <w:sz w:val="20"/>
                <w:szCs w:val="20"/>
              </w:rPr>
              <w:t xml:space="preserve"> V programu za delo koalicije 15.</w:t>
            </w:r>
            <w:r w:rsidR="001508A2">
              <w:rPr>
                <w:rFonts w:ascii="Arial" w:eastAsia="Times New Roman" w:hAnsi="Arial" w:cs="Arial"/>
                <w:sz w:val="20"/>
                <w:szCs w:val="20"/>
              </w:rPr>
              <w:t xml:space="preserve">  </w:t>
            </w:r>
            <w:r w:rsidR="007C01BD">
              <w:rPr>
                <w:rFonts w:ascii="Arial" w:eastAsia="Times New Roman" w:hAnsi="Arial" w:cs="Arial"/>
                <w:sz w:val="20"/>
                <w:szCs w:val="20"/>
              </w:rPr>
              <w:t>vlade za obdobje 2022</w:t>
            </w:r>
            <w:r w:rsidR="001508A2">
              <w:rPr>
                <w:rFonts w:ascii="Arial" w:eastAsia="Times New Roman" w:hAnsi="Arial" w:cs="Arial"/>
                <w:sz w:val="20"/>
                <w:szCs w:val="20"/>
              </w:rPr>
              <w:t>–</w:t>
            </w:r>
            <w:r w:rsidR="007C01BD">
              <w:rPr>
                <w:rFonts w:ascii="Arial" w:eastAsia="Times New Roman" w:hAnsi="Arial" w:cs="Arial"/>
                <w:sz w:val="20"/>
                <w:szCs w:val="20"/>
              </w:rPr>
              <w:t>2026 (v nadaljnjem besedilu: koalicijska pogodba) so predvideni tudi določeni ukrepi z zasledovanjem posebnih ciljev, za katere se ta zavzema. Tudi ti cilji so v določeni meri že naslovljeni s predlogom tega zakona.</w:t>
            </w:r>
          </w:p>
          <w:p w14:paraId="56D1D033" w14:textId="77777777" w:rsidR="003B7A8C" w:rsidRDefault="003B7A8C" w:rsidP="004513FD">
            <w:pPr>
              <w:spacing w:after="0" w:line="276" w:lineRule="auto"/>
              <w:contextualSpacing/>
              <w:jc w:val="both"/>
              <w:rPr>
                <w:rFonts w:ascii="Arial" w:eastAsia="Calibri" w:hAnsi="Arial" w:cs="Arial"/>
                <w:sz w:val="20"/>
                <w:szCs w:val="20"/>
              </w:rPr>
            </w:pPr>
          </w:p>
          <w:p w14:paraId="60288D4B" w14:textId="54154EF3" w:rsidR="00EC69CC" w:rsidRDefault="00EC69CC" w:rsidP="003B7A8C">
            <w:pPr>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1.2 Davčna obravnava dohodkov, ki se vštevajo v letno davčno osnovo</w:t>
            </w:r>
          </w:p>
          <w:p w14:paraId="237C7FAF" w14:textId="51DDD824" w:rsidR="000A3C13" w:rsidRDefault="003B7A8C" w:rsidP="003B7A8C">
            <w:pPr>
              <w:spacing w:after="0" w:line="276" w:lineRule="auto"/>
              <w:contextualSpacing/>
              <w:jc w:val="both"/>
              <w:rPr>
                <w:rFonts w:ascii="Arial" w:eastAsia="Times New Roman" w:hAnsi="Arial" w:cs="Arial"/>
                <w:sz w:val="20"/>
                <w:szCs w:val="20"/>
              </w:rPr>
            </w:pPr>
            <w:r w:rsidRPr="004513FD">
              <w:rPr>
                <w:rFonts w:ascii="Arial" w:eastAsia="Times New Roman" w:hAnsi="Arial" w:cs="Arial"/>
                <w:sz w:val="20"/>
                <w:szCs w:val="20"/>
              </w:rPr>
              <w:t xml:space="preserve">Obremenitev </w:t>
            </w:r>
            <w:r>
              <w:rPr>
                <w:rFonts w:ascii="Arial" w:eastAsia="Times New Roman" w:hAnsi="Arial" w:cs="Arial"/>
                <w:sz w:val="20"/>
                <w:szCs w:val="20"/>
              </w:rPr>
              <w:t xml:space="preserve">dohodkov, ki se vštevajo v letno davčno osnovo, predvsem so to dohodki iz </w:t>
            </w:r>
            <w:r w:rsidRPr="004513FD">
              <w:rPr>
                <w:rFonts w:ascii="Arial" w:eastAsia="Times New Roman" w:hAnsi="Arial" w:cs="Arial"/>
                <w:sz w:val="20"/>
                <w:szCs w:val="20"/>
              </w:rPr>
              <w:t>dela</w:t>
            </w:r>
            <w:r>
              <w:rPr>
                <w:rFonts w:ascii="Arial" w:eastAsia="Times New Roman" w:hAnsi="Arial" w:cs="Arial"/>
                <w:sz w:val="20"/>
                <w:szCs w:val="20"/>
              </w:rPr>
              <w:t>,</w:t>
            </w:r>
            <w:r w:rsidRPr="004513FD">
              <w:rPr>
                <w:rFonts w:ascii="Arial" w:eastAsia="Times New Roman" w:hAnsi="Arial" w:cs="Arial"/>
                <w:sz w:val="20"/>
                <w:szCs w:val="20"/>
              </w:rPr>
              <w:t xml:space="preserve"> se v</w:t>
            </w:r>
            <w:r w:rsidR="00EF1FDF">
              <w:rPr>
                <w:rFonts w:ascii="Arial" w:eastAsia="Times New Roman" w:hAnsi="Arial" w:cs="Arial"/>
                <w:sz w:val="20"/>
                <w:szCs w:val="20"/>
              </w:rPr>
              <w:t xml:space="preserve"> Republiki</w:t>
            </w:r>
            <w:r w:rsidRPr="004513FD">
              <w:rPr>
                <w:rFonts w:ascii="Arial" w:eastAsia="Times New Roman" w:hAnsi="Arial" w:cs="Arial"/>
                <w:sz w:val="20"/>
                <w:szCs w:val="20"/>
              </w:rPr>
              <w:t xml:space="preserve"> Sloveniji </w:t>
            </w:r>
            <w:r w:rsidR="00EF1FDF">
              <w:rPr>
                <w:rFonts w:ascii="Arial" w:eastAsia="Times New Roman" w:hAnsi="Arial" w:cs="Arial"/>
                <w:sz w:val="20"/>
                <w:szCs w:val="20"/>
              </w:rPr>
              <w:t xml:space="preserve">(v nadaljnjem besedilu: Slovenija) </w:t>
            </w:r>
            <w:r w:rsidRPr="004513FD">
              <w:rPr>
                <w:rFonts w:ascii="Arial" w:eastAsia="Times New Roman" w:hAnsi="Arial" w:cs="Arial"/>
                <w:sz w:val="20"/>
                <w:szCs w:val="20"/>
              </w:rPr>
              <w:t xml:space="preserve">že od leta 2005 zmanjšuje. Spremembe, uveljavljene z Zakonom za uravnoteženje javnih financ iz leta 2012, so bile pripravljene z namenom razbremenitve zavezancev z dohodki nad 1,3 povprečne plače in hkrati začasne povečane obremenitve zavezancev z dohodki nad pet povprečnih plač (za davčna leta 2013, 2014 in 2015). Cilju nadaljnjega znižanja obremenitve dohodkov je sledila tudi novela Zakona za uravnoteženje javnih financ iz leta 2015, s katero so se razbremenili zavezanci z dohodki nad 1,5 povprečne plače, </w:t>
            </w:r>
            <w:r w:rsidR="001508A2">
              <w:rPr>
                <w:rFonts w:ascii="Arial" w:eastAsia="Times New Roman" w:hAnsi="Arial" w:cs="Arial"/>
                <w:sz w:val="20"/>
                <w:szCs w:val="20"/>
              </w:rPr>
              <w:t>hkrati</w:t>
            </w:r>
            <w:r w:rsidRPr="004513FD">
              <w:rPr>
                <w:rFonts w:ascii="Arial" w:eastAsia="Times New Roman" w:hAnsi="Arial" w:cs="Arial"/>
                <w:sz w:val="20"/>
                <w:szCs w:val="20"/>
              </w:rPr>
              <w:t xml:space="preserve"> pa se je podaljšala veljavnost obremenitve zavezancev z dohodki nad pet povprečnih plač z davčno stopnjo 50</w:t>
            </w:r>
            <w:r w:rsidR="001508A2">
              <w:rPr>
                <w:rFonts w:ascii="Arial" w:eastAsia="Times New Roman" w:hAnsi="Arial" w:cs="Arial"/>
                <w:sz w:val="20"/>
                <w:szCs w:val="20"/>
              </w:rPr>
              <w:t> </w:t>
            </w:r>
            <w:r w:rsidRPr="004513FD">
              <w:rPr>
                <w:rFonts w:ascii="Arial" w:eastAsia="Times New Roman" w:hAnsi="Arial" w:cs="Arial"/>
                <w:sz w:val="20"/>
                <w:szCs w:val="20"/>
              </w:rPr>
              <w:t xml:space="preserve">% (za davčni leti 2016 in 2017). Spremembe na področju dohodnine so se nadaljevale z davčnim letom 2017 s splošno davčno razbremenitvijo dohodkov s spremembo dohodninske lestvice </w:t>
            </w:r>
            <w:r w:rsidR="00F3580B">
              <w:rPr>
                <w:rFonts w:ascii="Arial" w:eastAsia="Times New Roman" w:hAnsi="Arial" w:cs="Arial"/>
                <w:sz w:val="20"/>
                <w:szCs w:val="20"/>
              </w:rPr>
              <w:t>in</w:t>
            </w:r>
            <w:r w:rsidRPr="004513FD">
              <w:rPr>
                <w:rFonts w:ascii="Arial" w:eastAsia="Times New Roman" w:hAnsi="Arial" w:cs="Arial"/>
                <w:sz w:val="20"/>
                <w:szCs w:val="20"/>
              </w:rPr>
              <w:t xml:space="preserve"> z razbremenitvijo dela plače za poslovno uspešnost. Spremembe ZDoh-2 v letu 2017 (z davčnim letom 2018 in naprej) so bile predvsem usmerjene v razbremenitev dohodkov iz delovnega razmerja delavcev, napotenih na delo zunaj države. Dodatno so se s spremembami ZDoh-2 leta 2017 obravnavale tudi težave v zvezi z uveljavljanjem dodatne splošne olajšave tako, da se je nižja višina dodatne splošne olajšave določila linearno v odvisnosti od višine skupnega dohodka. Leta 2019 so bile sprejete spremembe na področju obdavčitve regresa za letni dopust (od davčnega leta 2019), in sicer se v davčno osnovo dohodka iz delovnega razmerja ne všteva regres za letni dopust v višini 100</w:t>
            </w:r>
            <w:r w:rsidR="00F3580B">
              <w:rPr>
                <w:rFonts w:ascii="Arial" w:eastAsia="Times New Roman" w:hAnsi="Arial" w:cs="Arial"/>
                <w:sz w:val="20"/>
                <w:szCs w:val="20"/>
              </w:rPr>
              <w:t> </w:t>
            </w:r>
            <w:r w:rsidRPr="004513FD">
              <w:rPr>
                <w:rFonts w:ascii="Arial" w:eastAsia="Times New Roman" w:hAnsi="Arial" w:cs="Arial"/>
                <w:sz w:val="20"/>
                <w:szCs w:val="20"/>
              </w:rPr>
              <w:t xml:space="preserve">% povprečne letne plače zaposlenih v Sloveniji, preračunane na mesec, za leto, za katero se dohodnina odmerja, za davčna leta od </w:t>
            </w:r>
            <w:r w:rsidR="00F3580B">
              <w:rPr>
                <w:rFonts w:ascii="Arial" w:eastAsia="Times New Roman" w:hAnsi="Arial" w:cs="Arial"/>
                <w:sz w:val="20"/>
                <w:szCs w:val="20"/>
              </w:rPr>
              <w:t xml:space="preserve">leta </w:t>
            </w:r>
            <w:r w:rsidRPr="004513FD">
              <w:rPr>
                <w:rFonts w:ascii="Arial" w:eastAsia="Times New Roman" w:hAnsi="Arial" w:cs="Arial"/>
                <w:sz w:val="20"/>
                <w:szCs w:val="20"/>
              </w:rPr>
              <w:t>2020 pa se je povišala splošna olajšava, dodatna splošna olajšava se je v celoti določila linearno, davčni razredi so se razširili, določene davčne stopnje pa znižale.</w:t>
            </w:r>
            <w:r w:rsidR="000A3C13">
              <w:rPr>
                <w:rFonts w:ascii="Arial" w:eastAsia="Times New Roman" w:hAnsi="Arial" w:cs="Arial"/>
                <w:sz w:val="20"/>
                <w:szCs w:val="20"/>
              </w:rPr>
              <w:t xml:space="preserve"> V letu 2022 je bila ključna sprememba zvišanje splošne olajšave </w:t>
            </w:r>
            <w:r w:rsidR="00EF1FDF">
              <w:rPr>
                <w:rFonts w:ascii="Arial" w:eastAsia="Times New Roman" w:hAnsi="Arial" w:cs="Arial"/>
                <w:sz w:val="20"/>
                <w:szCs w:val="20"/>
              </w:rPr>
              <w:t>s</w:t>
            </w:r>
            <w:r w:rsidR="000A3C13">
              <w:rPr>
                <w:rFonts w:ascii="Arial" w:eastAsia="Times New Roman" w:hAnsi="Arial" w:cs="Arial"/>
                <w:sz w:val="20"/>
                <w:szCs w:val="20"/>
              </w:rPr>
              <w:t xml:space="preserve"> 3.500</w:t>
            </w:r>
            <w:r w:rsidR="00F3580B">
              <w:rPr>
                <w:rFonts w:ascii="Arial" w:eastAsia="Times New Roman" w:hAnsi="Arial" w:cs="Arial"/>
                <w:sz w:val="20"/>
                <w:szCs w:val="20"/>
              </w:rPr>
              <w:t> </w:t>
            </w:r>
            <w:r w:rsidR="000A3C13">
              <w:rPr>
                <w:rFonts w:ascii="Arial" w:eastAsia="Times New Roman" w:hAnsi="Arial" w:cs="Arial"/>
                <w:sz w:val="20"/>
                <w:szCs w:val="20"/>
              </w:rPr>
              <w:t>EUR na 7.500</w:t>
            </w:r>
            <w:r w:rsidR="00F3580B">
              <w:rPr>
                <w:rFonts w:ascii="Arial" w:eastAsia="Times New Roman" w:hAnsi="Arial" w:cs="Arial"/>
                <w:sz w:val="20"/>
                <w:szCs w:val="20"/>
              </w:rPr>
              <w:t> </w:t>
            </w:r>
            <w:r w:rsidR="000A3C13">
              <w:rPr>
                <w:rFonts w:ascii="Arial" w:eastAsia="Times New Roman" w:hAnsi="Arial" w:cs="Arial"/>
                <w:sz w:val="20"/>
                <w:szCs w:val="20"/>
              </w:rPr>
              <w:t>E</w:t>
            </w:r>
            <w:r w:rsidR="00522DEF">
              <w:rPr>
                <w:rFonts w:ascii="Arial" w:eastAsia="Times New Roman" w:hAnsi="Arial" w:cs="Arial"/>
                <w:sz w:val="20"/>
                <w:szCs w:val="20"/>
              </w:rPr>
              <w:t>U</w:t>
            </w:r>
            <w:r w:rsidR="000A3C13">
              <w:rPr>
                <w:rFonts w:ascii="Arial" w:eastAsia="Times New Roman" w:hAnsi="Arial" w:cs="Arial"/>
                <w:sz w:val="20"/>
                <w:szCs w:val="20"/>
              </w:rPr>
              <w:t>R (s prehodnim obdobjem – 4.500</w:t>
            </w:r>
            <w:r w:rsidR="00F3580B">
              <w:rPr>
                <w:rFonts w:ascii="Arial" w:eastAsia="Times New Roman" w:hAnsi="Arial" w:cs="Arial"/>
                <w:sz w:val="20"/>
                <w:szCs w:val="20"/>
              </w:rPr>
              <w:t> </w:t>
            </w:r>
            <w:r w:rsidR="000A3C13">
              <w:rPr>
                <w:rFonts w:ascii="Arial" w:eastAsia="Times New Roman" w:hAnsi="Arial" w:cs="Arial"/>
                <w:sz w:val="20"/>
                <w:szCs w:val="20"/>
              </w:rPr>
              <w:t>EUR v letu 2022, 5.500</w:t>
            </w:r>
            <w:r w:rsidR="00F3580B">
              <w:rPr>
                <w:rFonts w:ascii="Arial" w:eastAsia="Times New Roman" w:hAnsi="Arial" w:cs="Arial"/>
                <w:sz w:val="20"/>
                <w:szCs w:val="20"/>
              </w:rPr>
              <w:t> </w:t>
            </w:r>
            <w:r w:rsidR="000A3C13">
              <w:rPr>
                <w:rFonts w:ascii="Arial" w:eastAsia="Times New Roman" w:hAnsi="Arial" w:cs="Arial"/>
                <w:sz w:val="20"/>
                <w:szCs w:val="20"/>
              </w:rPr>
              <w:t>EUR za leto 2023 in 6.500</w:t>
            </w:r>
            <w:r w:rsidR="00F3580B">
              <w:rPr>
                <w:rFonts w:ascii="Arial" w:eastAsia="Times New Roman" w:hAnsi="Arial" w:cs="Arial"/>
                <w:sz w:val="20"/>
                <w:szCs w:val="20"/>
              </w:rPr>
              <w:t> </w:t>
            </w:r>
            <w:r w:rsidR="000A3C13">
              <w:rPr>
                <w:rFonts w:ascii="Arial" w:eastAsia="Times New Roman" w:hAnsi="Arial" w:cs="Arial"/>
                <w:sz w:val="20"/>
                <w:szCs w:val="20"/>
              </w:rPr>
              <w:t>EUR za leto 2024)</w:t>
            </w:r>
            <w:r w:rsidR="004620B7">
              <w:rPr>
                <w:rFonts w:ascii="Arial" w:eastAsia="Times New Roman" w:hAnsi="Arial" w:cs="Arial"/>
                <w:sz w:val="20"/>
                <w:szCs w:val="20"/>
              </w:rPr>
              <w:t xml:space="preserve"> </w:t>
            </w:r>
            <w:r w:rsidR="00F3580B">
              <w:rPr>
                <w:rFonts w:ascii="Arial" w:eastAsia="Times New Roman" w:hAnsi="Arial" w:cs="Arial"/>
                <w:sz w:val="20"/>
                <w:szCs w:val="20"/>
              </w:rPr>
              <w:t>ter</w:t>
            </w:r>
            <w:r w:rsidR="004620B7">
              <w:rPr>
                <w:rFonts w:ascii="Arial" w:eastAsia="Times New Roman" w:hAnsi="Arial" w:cs="Arial"/>
                <w:sz w:val="20"/>
                <w:szCs w:val="20"/>
              </w:rPr>
              <w:t xml:space="preserve"> ponovna uvedba avtomatičnega usklajevanja lestvice za odmero dohodnine in davčnih olajšav</w:t>
            </w:r>
            <w:r w:rsidR="000A3C13">
              <w:rPr>
                <w:rFonts w:ascii="Arial" w:eastAsia="Times New Roman" w:hAnsi="Arial" w:cs="Arial"/>
                <w:sz w:val="20"/>
                <w:szCs w:val="20"/>
              </w:rPr>
              <w:t>.</w:t>
            </w:r>
          </w:p>
          <w:p w14:paraId="7B2FA7D3" w14:textId="77777777" w:rsidR="00AF556E" w:rsidRDefault="00AF556E" w:rsidP="003B7A8C">
            <w:pPr>
              <w:spacing w:after="0" w:line="276" w:lineRule="auto"/>
              <w:contextualSpacing/>
              <w:jc w:val="both"/>
              <w:rPr>
                <w:rFonts w:ascii="Arial" w:eastAsia="Times New Roman" w:hAnsi="Arial" w:cs="Arial"/>
                <w:sz w:val="20"/>
                <w:szCs w:val="20"/>
              </w:rPr>
            </w:pPr>
          </w:p>
          <w:p w14:paraId="30B2868C" w14:textId="403B0338" w:rsidR="00EC69CC" w:rsidRDefault="00EC69CC" w:rsidP="00EC69CC">
            <w:pPr>
              <w:spacing w:after="0" w:line="276" w:lineRule="auto"/>
              <w:contextualSpacing/>
              <w:jc w:val="both"/>
              <w:rPr>
                <w:rFonts w:ascii="Arial" w:eastAsia="Calibri" w:hAnsi="Arial" w:cs="Arial"/>
                <w:i/>
                <w:iCs/>
                <w:sz w:val="20"/>
                <w:szCs w:val="20"/>
              </w:rPr>
            </w:pPr>
            <w:r w:rsidRPr="008D5512">
              <w:rPr>
                <w:rFonts w:ascii="Arial" w:eastAsia="Calibri" w:hAnsi="Arial" w:cs="Arial"/>
                <w:i/>
                <w:iCs/>
                <w:sz w:val="20"/>
                <w:szCs w:val="20"/>
              </w:rPr>
              <w:lastRenderedPageBreak/>
              <w:t xml:space="preserve">a) </w:t>
            </w:r>
            <w:r w:rsidR="00E026DE">
              <w:rPr>
                <w:rFonts w:ascii="Arial" w:eastAsia="Calibri" w:hAnsi="Arial" w:cs="Arial"/>
                <w:i/>
                <w:iCs/>
                <w:sz w:val="20"/>
                <w:szCs w:val="20"/>
              </w:rPr>
              <w:t xml:space="preserve">Olajšave </w:t>
            </w:r>
            <w:r w:rsidRPr="008D5512">
              <w:rPr>
                <w:rFonts w:ascii="Arial" w:eastAsia="Calibri" w:hAnsi="Arial" w:cs="Arial"/>
                <w:i/>
                <w:iCs/>
                <w:sz w:val="20"/>
                <w:szCs w:val="20"/>
              </w:rPr>
              <w:t>in mehaniz</w:t>
            </w:r>
            <w:r w:rsidR="00E026DE">
              <w:rPr>
                <w:rFonts w:ascii="Arial" w:eastAsia="Calibri" w:hAnsi="Arial" w:cs="Arial"/>
                <w:i/>
                <w:iCs/>
                <w:sz w:val="20"/>
                <w:szCs w:val="20"/>
              </w:rPr>
              <w:t>em</w:t>
            </w:r>
            <w:r w:rsidRPr="008D5512">
              <w:rPr>
                <w:rFonts w:ascii="Arial" w:eastAsia="Calibri" w:hAnsi="Arial" w:cs="Arial"/>
                <w:i/>
                <w:iCs/>
                <w:sz w:val="20"/>
                <w:szCs w:val="20"/>
              </w:rPr>
              <w:t xml:space="preserve"> usklajevanja olajšav ter neto letnih davčnih </w:t>
            </w:r>
            <w:r w:rsidR="00E026DE">
              <w:rPr>
                <w:rFonts w:ascii="Arial" w:eastAsia="Calibri" w:hAnsi="Arial" w:cs="Arial"/>
                <w:i/>
                <w:iCs/>
                <w:sz w:val="20"/>
                <w:szCs w:val="20"/>
              </w:rPr>
              <w:t>osnov</w:t>
            </w:r>
          </w:p>
          <w:p w14:paraId="3DDE01F0" w14:textId="404D3EBD" w:rsidR="00AC40A1" w:rsidRDefault="00E026DE" w:rsidP="00EC69CC">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 </w:t>
            </w:r>
            <w:r w:rsidR="00AC40A1">
              <w:rPr>
                <w:rFonts w:ascii="Arial" w:eastAsia="Calibri" w:hAnsi="Arial" w:cs="Arial"/>
                <w:sz w:val="20"/>
                <w:szCs w:val="20"/>
              </w:rPr>
              <w:t>Splošna olajšava</w:t>
            </w:r>
          </w:p>
          <w:p w14:paraId="57903AC6" w14:textId="298BF15F" w:rsidR="00EC69CC" w:rsidRDefault="00EC69CC" w:rsidP="00EC69CC">
            <w:pPr>
              <w:spacing w:after="0" w:line="276" w:lineRule="auto"/>
              <w:contextualSpacing/>
              <w:jc w:val="both"/>
              <w:rPr>
                <w:rFonts w:ascii="Arial" w:eastAsia="Calibri" w:hAnsi="Arial" w:cs="Arial"/>
                <w:sz w:val="20"/>
                <w:szCs w:val="20"/>
              </w:rPr>
            </w:pPr>
            <w:r w:rsidRPr="004513FD">
              <w:rPr>
                <w:rFonts w:ascii="Arial" w:eastAsia="Calibri" w:hAnsi="Arial" w:cs="Arial"/>
                <w:sz w:val="20"/>
                <w:szCs w:val="20"/>
              </w:rPr>
              <w:t xml:space="preserve">Splošno olajšavo lahko uveljavljajo rezidenti (ob izpolnjevanju zakonskih pogojev tudi določeni nerezidenti) na dohodke, ki se vštevajo v letno davčno osnovo, pod pogojem, da drug zavezanec zanje ne uveljavlja posebne olajšave za vzdrževane družinske člane. </w:t>
            </w:r>
            <w:r w:rsidR="004620B7">
              <w:rPr>
                <w:rFonts w:ascii="Arial" w:eastAsia="Calibri" w:hAnsi="Arial" w:cs="Arial"/>
                <w:sz w:val="20"/>
                <w:szCs w:val="20"/>
              </w:rPr>
              <w:t>Splošna o</w:t>
            </w:r>
            <w:r w:rsidRPr="004513FD">
              <w:rPr>
                <w:rFonts w:ascii="Arial" w:eastAsia="Calibri" w:hAnsi="Arial" w:cs="Arial"/>
                <w:sz w:val="20"/>
                <w:szCs w:val="20"/>
              </w:rPr>
              <w:t xml:space="preserve">lajšava je namenjena priznanju stroškov za preživljanje zavezanca. Splošna olajšava </w:t>
            </w:r>
            <w:r>
              <w:rPr>
                <w:rFonts w:ascii="Arial" w:eastAsia="Calibri" w:hAnsi="Arial" w:cs="Arial"/>
                <w:sz w:val="20"/>
                <w:szCs w:val="20"/>
              </w:rPr>
              <w:t xml:space="preserve">za leto 2022 </w:t>
            </w:r>
            <w:r w:rsidRPr="004513FD">
              <w:rPr>
                <w:rFonts w:ascii="Arial" w:eastAsia="Calibri" w:hAnsi="Arial" w:cs="Arial"/>
                <w:sz w:val="20"/>
                <w:szCs w:val="20"/>
              </w:rPr>
              <w:t xml:space="preserve">znaša </w:t>
            </w:r>
            <w:r>
              <w:rPr>
                <w:rFonts w:ascii="Arial" w:eastAsia="Calibri" w:hAnsi="Arial" w:cs="Arial"/>
                <w:sz w:val="20"/>
                <w:szCs w:val="20"/>
              </w:rPr>
              <w:t>4</w:t>
            </w:r>
            <w:r w:rsidRPr="004513FD">
              <w:rPr>
                <w:rFonts w:ascii="Arial" w:eastAsia="Calibri" w:hAnsi="Arial" w:cs="Arial"/>
                <w:sz w:val="20"/>
                <w:szCs w:val="20"/>
              </w:rPr>
              <w:t>.500</w:t>
            </w:r>
            <w:r w:rsidR="00F3580B">
              <w:rPr>
                <w:rFonts w:ascii="Arial" w:eastAsia="Times New Roman" w:hAnsi="Arial" w:cs="Arial"/>
                <w:sz w:val="20"/>
                <w:szCs w:val="20"/>
              </w:rPr>
              <w:t> </w:t>
            </w:r>
            <w:r w:rsidRPr="004513FD">
              <w:rPr>
                <w:rFonts w:ascii="Arial" w:eastAsia="Calibri" w:hAnsi="Arial" w:cs="Arial"/>
                <w:sz w:val="20"/>
                <w:szCs w:val="20"/>
              </w:rPr>
              <w:t>EUR letno</w:t>
            </w:r>
            <w:r>
              <w:rPr>
                <w:rFonts w:ascii="Arial" w:eastAsia="Calibri" w:hAnsi="Arial" w:cs="Arial"/>
                <w:sz w:val="20"/>
                <w:szCs w:val="20"/>
              </w:rPr>
              <w:t>, pri tem pa je v veljavnem ZDoh-2 predvideno povišanje splošne olajšave postopoma na 7.500</w:t>
            </w:r>
            <w:r w:rsidR="00F3580B">
              <w:rPr>
                <w:rFonts w:ascii="Arial" w:eastAsia="Times New Roman" w:hAnsi="Arial" w:cs="Arial"/>
                <w:sz w:val="20"/>
                <w:szCs w:val="20"/>
              </w:rPr>
              <w:t> </w:t>
            </w:r>
            <w:r>
              <w:rPr>
                <w:rFonts w:ascii="Arial" w:eastAsia="Calibri" w:hAnsi="Arial" w:cs="Arial"/>
                <w:sz w:val="20"/>
                <w:szCs w:val="20"/>
              </w:rPr>
              <w:t>EUR (z letom 2025)</w:t>
            </w:r>
            <w:r w:rsidRPr="004513FD">
              <w:rPr>
                <w:rFonts w:ascii="Arial" w:eastAsia="Calibri" w:hAnsi="Arial" w:cs="Arial"/>
                <w:sz w:val="20"/>
                <w:szCs w:val="20"/>
              </w:rPr>
              <w:t xml:space="preserve">. </w:t>
            </w:r>
            <w:r w:rsidR="0045046C">
              <w:rPr>
                <w:rFonts w:ascii="Arial" w:eastAsia="Calibri" w:hAnsi="Arial" w:cs="Arial"/>
                <w:sz w:val="20"/>
                <w:szCs w:val="20"/>
              </w:rPr>
              <w:t>Poleg te je za</w:t>
            </w:r>
            <w:r w:rsidRPr="004513FD">
              <w:rPr>
                <w:rFonts w:ascii="Arial" w:eastAsia="Calibri" w:hAnsi="Arial" w:cs="Arial"/>
                <w:sz w:val="20"/>
                <w:szCs w:val="20"/>
              </w:rPr>
              <w:t xml:space="preserve"> razbremenit</w:t>
            </w:r>
            <w:r w:rsidR="0045046C">
              <w:rPr>
                <w:rFonts w:ascii="Arial" w:eastAsia="Calibri" w:hAnsi="Arial" w:cs="Arial"/>
                <w:sz w:val="20"/>
                <w:szCs w:val="20"/>
              </w:rPr>
              <w:t>e</w:t>
            </w:r>
            <w:r w:rsidRPr="004513FD">
              <w:rPr>
                <w:rFonts w:ascii="Arial" w:eastAsia="Calibri" w:hAnsi="Arial" w:cs="Arial"/>
                <w:sz w:val="20"/>
                <w:szCs w:val="20"/>
              </w:rPr>
              <w:t xml:space="preserve">v najnižjih dohodkovnih skupin </w:t>
            </w:r>
            <w:r w:rsidR="0045046C">
              <w:rPr>
                <w:rFonts w:ascii="Arial" w:eastAsia="Calibri" w:hAnsi="Arial" w:cs="Arial"/>
                <w:sz w:val="20"/>
                <w:szCs w:val="20"/>
              </w:rPr>
              <w:t>v veljavi</w:t>
            </w:r>
            <w:r w:rsidRPr="004513FD">
              <w:rPr>
                <w:rFonts w:ascii="Arial" w:eastAsia="Calibri" w:hAnsi="Arial" w:cs="Arial"/>
                <w:sz w:val="20"/>
                <w:szCs w:val="20"/>
              </w:rPr>
              <w:t xml:space="preserve"> še dodatna splošna olajšava, ki </w:t>
            </w:r>
            <w:r w:rsidR="001F2135">
              <w:rPr>
                <w:rFonts w:ascii="Arial" w:eastAsia="Calibri" w:hAnsi="Arial" w:cs="Arial"/>
                <w:sz w:val="20"/>
                <w:szCs w:val="20"/>
              </w:rPr>
              <w:t>je</w:t>
            </w:r>
            <w:r w:rsidR="00D82B93">
              <w:rPr>
                <w:rFonts w:ascii="Arial" w:eastAsia="Calibri" w:hAnsi="Arial" w:cs="Arial"/>
                <w:sz w:val="20"/>
                <w:szCs w:val="20"/>
              </w:rPr>
              <w:t xml:space="preserve"> </w:t>
            </w:r>
            <w:r w:rsidRPr="004513FD">
              <w:rPr>
                <w:rFonts w:ascii="Arial" w:eastAsia="Calibri" w:hAnsi="Arial" w:cs="Arial"/>
                <w:sz w:val="20"/>
                <w:szCs w:val="20"/>
              </w:rPr>
              <w:t>določena linearno</w:t>
            </w:r>
            <w:r w:rsidR="00D82B93">
              <w:rPr>
                <w:rFonts w:ascii="Arial" w:eastAsia="Calibri" w:hAnsi="Arial" w:cs="Arial"/>
                <w:sz w:val="20"/>
                <w:szCs w:val="20"/>
              </w:rPr>
              <w:t xml:space="preserve"> v odvisnosti od dohodka</w:t>
            </w:r>
            <w:r w:rsidRPr="004513FD">
              <w:rPr>
                <w:rFonts w:ascii="Arial" w:eastAsia="Calibri" w:hAnsi="Arial" w:cs="Arial"/>
                <w:sz w:val="20"/>
                <w:szCs w:val="20"/>
              </w:rPr>
              <w:t xml:space="preserve">, in sicer za zavezance s skupnimi letnimi aktivnimi bruto dohodki do </w:t>
            </w:r>
            <w:r w:rsidRPr="00EC69CC">
              <w:rPr>
                <w:rFonts w:ascii="Arial" w:eastAsia="Calibri" w:hAnsi="Arial" w:cs="Arial"/>
                <w:sz w:val="20"/>
                <w:szCs w:val="20"/>
              </w:rPr>
              <w:t>13.716,33</w:t>
            </w:r>
            <w:r w:rsidR="00F3580B">
              <w:rPr>
                <w:rFonts w:ascii="Arial" w:eastAsia="Times New Roman" w:hAnsi="Arial" w:cs="Arial"/>
                <w:sz w:val="20"/>
                <w:szCs w:val="20"/>
              </w:rPr>
              <w:t> </w:t>
            </w:r>
            <w:r w:rsidRPr="004513FD">
              <w:rPr>
                <w:rFonts w:ascii="Arial" w:eastAsia="Calibri" w:hAnsi="Arial" w:cs="Arial"/>
                <w:sz w:val="20"/>
                <w:szCs w:val="20"/>
              </w:rPr>
              <w:t>EUR. Zavezanci z višjimi bruto dohodki do dodatne splošne olajšave niso upravičeni.</w:t>
            </w:r>
            <w:r>
              <w:rPr>
                <w:rFonts w:ascii="Arial" w:eastAsia="Calibri" w:hAnsi="Arial" w:cs="Arial"/>
                <w:sz w:val="20"/>
                <w:szCs w:val="20"/>
              </w:rPr>
              <w:t xml:space="preserve"> </w:t>
            </w:r>
          </w:p>
          <w:p w14:paraId="31943F47" w14:textId="77777777" w:rsidR="00A03E25" w:rsidRDefault="00A03E25" w:rsidP="00A03E25">
            <w:pPr>
              <w:spacing w:after="0" w:line="276" w:lineRule="auto"/>
              <w:contextualSpacing/>
              <w:jc w:val="both"/>
              <w:rPr>
                <w:rFonts w:ascii="Arial" w:eastAsia="Calibri" w:hAnsi="Arial" w:cs="Arial"/>
                <w:sz w:val="20"/>
                <w:szCs w:val="20"/>
              </w:rPr>
            </w:pPr>
          </w:p>
          <w:p w14:paraId="66520F35" w14:textId="481E7328" w:rsidR="00EC69CC" w:rsidRDefault="00A03E25" w:rsidP="00A03E25">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Po podatkih odmere dohodnine za leto 2020 je </w:t>
            </w:r>
            <w:r w:rsidRPr="00A03E25">
              <w:rPr>
                <w:rFonts w:ascii="Arial" w:eastAsia="Calibri" w:hAnsi="Arial" w:cs="Arial"/>
                <w:sz w:val="20"/>
                <w:szCs w:val="20"/>
              </w:rPr>
              <w:t xml:space="preserve">bilo </w:t>
            </w:r>
            <w:r w:rsidR="00762CF3">
              <w:rPr>
                <w:rFonts w:ascii="Arial" w:eastAsia="Calibri" w:hAnsi="Arial" w:cs="Arial"/>
                <w:sz w:val="20"/>
                <w:szCs w:val="20"/>
              </w:rPr>
              <w:t>med vsemi davčnimi zavezanci</w:t>
            </w:r>
            <w:r w:rsidRPr="00A03E25">
              <w:rPr>
                <w:rFonts w:ascii="Arial" w:eastAsia="Calibri" w:hAnsi="Arial" w:cs="Arial"/>
                <w:sz w:val="20"/>
                <w:szCs w:val="20"/>
              </w:rPr>
              <w:t xml:space="preserve"> 699.354 oz</w:t>
            </w:r>
            <w:r w:rsidR="00BC1833">
              <w:rPr>
                <w:rFonts w:ascii="Arial" w:eastAsia="Calibri" w:hAnsi="Arial" w:cs="Arial"/>
                <w:sz w:val="20"/>
                <w:szCs w:val="20"/>
              </w:rPr>
              <w:t>iroma</w:t>
            </w:r>
            <w:r w:rsidRPr="00A03E25">
              <w:rPr>
                <w:rFonts w:ascii="Arial" w:eastAsia="Calibri" w:hAnsi="Arial" w:cs="Arial"/>
                <w:sz w:val="20"/>
                <w:szCs w:val="20"/>
              </w:rPr>
              <w:t xml:space="preserve"> nekaj več kot 45</w:t>
            </w:r>
            <w:r w:rsidR="00F3580B">
              <w:rPr>
                <w:rFonts w:ascii="Arial" w:eastAsia="Times New Roman" w:hAnsi="Arial" w:cs="Arial"/>
                <w:sz w:val="20"/>
                <w:szCs w:val="20"/>
              </w:rPr>
              <w:t> </w:t>
            </w:r>
            <w:r w:rsidRPr="00A03E25">
              <w:rPr>
                <w:rFonts w:ascii="Arial" w:eastAsia="Calibri" w:hAnsi="Arial" w:cs="Arial"/>
                <w:sz w:val="20"/>
                <w:szCs w:val="20"/>
              </w:rPr>
              <w:t>% takih, ki so uveljavljali samo splošno olajšavo</w:t>
            </w:r>
            <w:r>
              <w:rPr>
                <w:rFonts w:ascii="Arial" w:eastAsia="Calibri" w:hAnsi="Arial" w:cs="Arial"/>
                <w:sz w:val="20"/>
                <w:szCs w:val="20"/>
              </w:rPr>
              <w:t xml:space="preserve">. </w:t>
            </w:r>
            <w:r w:rsidRPr="00A03E25">
              <w:rPr>
                <w:rFonts w:ascii="Arial" w:eastAsia="Calibri" w:hAnsi="Arial" w:cs="Arial"/>
                <w:sz w:val="20"/>
                <w:szCs w:val="20"/>
              </w:rPr>
              <w:t>Zavezanci, ki so imeli skupne letne dohodke do višine 13.318,83</w:t>
            </w:r>
            <w:r w:rsidR="00905781">
              <w:rPr>
                <w:rFonts w:ascii="Arial" w:eastAsia="Calibri" w:hAnsi="Arial" w:cs="Arial"/>
                <w:sz w:val="20"/>
                <w:szCs w:val="20"/>
              </w:rPr>
              <w:t> </w:t>
            </w:r>
            <w:r>
              <w:rPr>
                <w:rFonts w:ascii="Arial" w:eastAsia="Calibri" w:hAnsi="Arial" w:cs="Arial"/>
                <w:sz w:val="20"/>
                <w:szCs w:val="20"/>
              </w:rPr>
              <w:t>EUR</w:t>
            </w:r>
            <w:r w:rsidRPr="00A03E25">
              <w:rPr>
                <w:rFonts w:ascii="Arial" w:eastAsia="Calibri" w:hAnsi="Arial" w:cs="Arial"/>
                <w:sz w:val="20"/>
                <w:szCs w:val="20"/>
              </w:rPr>
              <w:t>, so lahko uveljavljali tudi dodatno splošno olajšavo</w:t>
            </w:r>
            <w:r>
              <w:rPr>
                <w:rFonts w:ascii="Arial" w:eastAsia="Calibri" w:hAnsi="Arial" w:cs="Arial"/>
                <w:sz w:val="20"/>
                <w:szCs w:val="20"/>
              </w:rPr>
              <w:t xml:space="preserve"> (t.</w:t>
            </w:r>
            <w:r w:rsidR="00762CF3">
              <w:rPr>
                <w:rFonts w:ascii="Arial" w:eastAsia="Calibri" w:hAnsi="Arial" w:cs="Arial"/>
                <w:sz w:val="20"/>
                <w:szCs w:val="20"/>
              </w:rPr>
              <w:t xml:space="preserve"> </w:t>
            </w:r>
            <w:r>
              <w:rPr>
                <w:rFonts w:ascii="Arial" w:eastAsia="Calibri" w:hAnsi="Arial" w:cs="Arial"/>
                <w:sz w:val="20"/>
                <w:szCs w:val="20"/>
              </w:rPr>
              <w:t>i. linearno olajšavo)</w:t>
            </w:r>
            <w:r w:rsidRPr="00A03E25">
              <w:rPr>
                <w:rFonts w:ascii="Arial" w:eastAsia="Calibri" w:hAnsi="Arial" w:cs="Arial"/>
                <w:sz w:val="20"/>
                <w:szCs w:val="20"/>
              </w:rPr>
              <w:t xml:space="preserve">, ki se prizna v odvisnosti od skupnega dohodka zavezanca. V letu 2020 je 779.863 zavezancev uveljavljalo </w:t>
            </w:r>
            <w:r>
              <w:rPr>
                <w:rFonts w:ascii="Arial" w:eastAsia="Calibri" w:hAnsi="Arial" w:cs="Arial"/>
                <w:sz w:val="20"/>
                <w:szCs w:val="20"/>
              </w:rPr>
              <w:t>navedeno</w:t>
            </w:r>
            <w:r w:rsidRPr="00A03E25">
              <w:rPr>
                <w:rFonts w:ascii="Arial" w:eastAsia="Calibri" w:hAnsi="Arial" w:cs="Arial"/>
                <w:sz w:val="20"/>
                <w:szCs w:val="20"/>
              </w:rPr>
              <w:t xml:space="preserve"> olajšavo</w:t>
            </w:r>
            <w:r>
              <w:rPr>
                <w:rFonts w:ascii="Arial" w:eastAsia="Calibri" w:hAnsi="Arial" w:cs="Arial"/>
                <w:sz w:val="20"/>
                <w:szCs w:val="20"/>
              </w:rPr>
              <w:t>,</w:t>
            </w:r>
            <w:r w:rsidRPr="00A03E25">
              <w:rPr>
                <w:rFonts w:ascii="Arial" w:eastAsia="Calibri" w:hAnsi="Arial" w:cs="Arial"/>
                <w:sz w:val="20"/>
                <w:szCs w:val="20"/>
              </w:rPr>
              <w:t xml:space="preserve"> kar predstavlja 50,7</w:t>
            </w:r>
            <w:r w:rsidR="00905781">
              <w:rPr>
                <w:rFonts w:ascii="Arial" w:eastAsia="Calibri" w:hAnsi="Arial" w:cs="Arial"/>
                <w:sz w:val="20"/>
                <w:szCs w:val="20"/>
              </w:rPr>
              <w:t> </w:t>
            </w:r>
            <w:r w:rsidRPr="00A03E25">
              <w:rPr>
                <w:rFonts w:ascii="Arial" w:eastAsia="Calibri" w:hAnsi="Arial" w:cs="Arial"/>
                <w:sz w:val="20"/>
                <w:szCs w:val="20"/>
              </w:rPr>
              <w:t>% vseh zavezancev.</w:t>
            </w:r>
            <w:r w:rsidRPr="007E2873">
              <w:rPr>
                <w:rFonts w:ascii="Arial" w:hAnsi="Arial" w:cs="Arial"/>
                <w:sz w:val="20"/>
                <w:szCs w:val="20"/>
              </w:rPr>
              <w:t xml:space="preserve"> Skupaj </w:t>
            </w:r>
            <w:r w:rsidRPr="00A03E25">
              <w:rPr>
                <w:rFonts w:ascii="Arial" w:eastAsia="Calibri" w:hAnsi="Arial" w:cs="Arial"/>
                <w:sz w:val="20"/>
                <w:szCs w:val="20"/>
              </w:rPr>
              <w:t xml:space="preserve">60.468 </w:t>
            </w:r>
            <w:r>
              <w:rPr>
                <w:rFonts w:ascii="Arial" w:eastAsia="Calibri" w:hAnsi="Arial" w:cs="Arial"/>
                <w:sz w:val="20"/>
                <w:szCs w:val="20"/>
              </w:rPr>
              <w:t>zavezancev pa je bilo takih, k</w:t>
            </w:r>
            <w:r w:rsidRPr="00A03E25">
              <w:rPr>
                <w:rFonts w:ascii="Arial" w:eastAsia="Calibri" w:hAnsi="Arial" w:cs="Arial"/>
                <w:sz w:val="20"/>
                <w:szCs w:val="20"/>
              </w:rPr>
              <w:t xml:space="preserve">i </w:t>
            </w:r>
            <w:r w:rsidR="00905781" w:rsidRPr="00A03E25">
              <w:rPr>
                <w:rFonts w:ascii="Arial" w:eastAsia="Calibri" w:hAnsi="Arial" w:cs="Arial"/>
                <w:sz w:val="20"/>
                <w:szCs w:val="20"/>
              </w:rPr>
              <w:t>splošne olajšav</w:t>
            </w:r>
            <w:r w:rsidR="00905781">
              <w:rPr>
                <w:rFonts w:ascii="Arial" w:eastAsia="Calibri" w:hAnsi="Arial" w:cs="Arial"/>
                <w:sz w:val="20"/>
                <w:szCs w:val="20"/>
              </w:rPr>
              <w:t>e</w:t>
            </w:r>
            <w:r w:rsidR="00905781" w:rsidRPr="00A03E25">
              <w:rPr>
                <w:rFonts w:ascii="Arial" w:eastAsia="Calibri" w:hAnsi="Arial" w:cs="Arial"/>
                <w:sz w:val="20"/>
                <w:szCs w:val="20"/>
              </w:rPr>
              <w:t xml:space="preserve"> </w:t>
            </w:r>
            <w:r w:rsidRPr="00A03E25">
              <w:rPr>
                <w:rFonts w:ascii="Arial" w:eastAsia="Calibri" w:hAnsi="Arial" w:cs="Arial"/>
                <w:sz w:val="20"/>
                <w:szCs w:val="20"/>
              </w:rPr>
              <w:t>niso uveljavljali</w:t>
            </w:r>
            <w:r>
              <w:rPr>
                <w:rFonts w:ascii="Arial" w:eastAsia="Calibri" w:hAnsi="Arial" w:cs="Arial"/>
                <w:sz w:val="20"/>
                <w:szCs w:val="20"/>
              </w:rPr>
              <w:t>.</w:t>
            </w:r>
          </w:p>
          <w:p w14:paraId="62690E5A" w14:textId="77777777" w:rsidR="00A03E25" w:rsidRDefault="00A03E25" w:rsidP="00A03E25">
            <w:pPr>
              <w:spacing w:after="0" w:line="276" w:lineRule="auto"/>
              <w:contextualSpacing/>
              <w:jc w:val="both"/>
              <w:rPr>
                <w:rFonts w:ascii="Arial" w:eastAsia="Calibri" w:hAnsi="Arial" w:cs="Arial"/>
                <w:sz w:val="20"/>
                <w:szCs w:val="20"/>
              </w:rPr>
            </w:pPr>
          </w:p>
          <w:p w14:paraId="248BAD08" w14:textId="6C88B8F8" w:rsidR="00EC69CC" w:rsidRDefault="005626A7" w:rsidP="00EC69CC">
            <w:pPr>
              <w:spacing w:after="0" w:line="276" w:lineRule="auto"/>
              <w:contextualSpacing/>
              <w:jc w:val="both"/>
              <w:rPr>
                <w:rFonts w:ascii="Arial" w:eastAsia="Calibri" w:hAnsi="Arial" w:cs="Arial"/>
                <w:sz w:val="20"/>
                <w:szCs w:val="20"/>
              </w:rPr>
            </w:pPr>
            <w:r w:rsidRPr="00F81FD8">
              <w:rPr>
                <w:rFonts w:ascii="Arial" w:eastAsia="Calibri" w:hAnsi="Arial" w:cs="Arial"/>
                <w:sz w:val="20"/>
                <w:szCs w:val="20"/>
              </w:rPr>
              <w:t xml:space="preserve">Predlaga se, da se višina splošne olajšave </w:t>
            </w:r>
            <w:r w:rsidR="00F81FD8" w:rsidRPr="00F81FD8">
              <w:rPr>
                <w:rFonts w:ascii="Arial" w:eastAsia="Calibri" w:hAnsi="Arial" w:cs="Arial"/>
                <w:sz w:val="20"/>
                <w:szCs w:val="20"/>
              </w:rPr>
              <w:t>za leto 202</w:t>
            </w:r>
            <w:r w:rsidR="005E57A3">
              <w:rPr>
                <w:rFonts w:ascii="Arial" w:eastAsia="Calibri" w:hAnsi="Arial" w:cs="Arial"/>
                <w:sz w:val="20"/>
                <w:szCs w:val="20"/>
              </w:rPr>
              <w:t>3</w:t>
            </w:r>
            <w:r w:rsidR="00F81FD8" w:rsidRPr="00F81FD8">
              <w:rPr>
                <w:rFonts w:ascii="Arial" w:eastAsia="Calibri" w:hAnsi="Arial" w:cs="Arial"/>
                <w:sz w:val="20"/>
                <w:szCs w:val="20"/>
              </w:rPr>
              <w:t xml:space="preserve"> </w:t>
            </w:r>
            <w:r w:rsidR="00EC28D5">
              <w:rPr>
                <w:rFonts w:ascii="Arial" w:eastAsia="Calibri" w:hAnsi="Arial" w:cs="Arial"/>
                <w:sz w:val="20"/>
                <w:szCs w:val="20"/>
              </w:rPr>
              <w:t xml:space="preserve">in naslednja leta </w:t>
            </w:r>
            <w:r w:rsidR="00F81FD8" w:rsidRPr="00F81FD8">
              <w:rPr>
                <w:rFonts w:ascii="Arial" w:eastAsia="Calibri" w:hAnsi="Arial" w:cs="Arial"/>
                <w:sz w:val="20"/>
                <w:szCs w:val="20"/>
              </w:rPr>
              <w:t>zniža s 5.500</w:t>
            </w:r>
            <w:r w:rsidR="00905781">
              <w:rPr>
                <w:rFonts w:ascii="Arial" w:eastAsia="Calibri" w:hAnsi="Arial" w:cs="Arial"/>
                <w:sz w:val="20"/>
                <w:szCs w:val="20"/>
              </w:rPr>
              <w:t> </w:t>
            </w:r>
            <w:r w:rsidR="00F81FD8" w:rsidRPr="00F81FD8">
              <w:rPr>
                <w:rFonts w:ascii="Arial" w:eastAsia="Calibri" w:hAnsi="Arial" w:cs="Arial"/>
                <w:sz w:val="20"/>
                <w:szCs w:val="20"/>
              </w:rPr>
              <w:t>EUR na 5.000</w:t>
            </w:r>
            <w:r w:rsidR="00905781">
              <w:rPr>
                <w:rFonts w:ascii="Arial" w:eastAsia="Calibri" w:hAnsi="Arial" w:cs="Arial"/>
                <w:sz w:val="20"/>
                <w:szCs w:val="20"/>
              </w:rPr>
              <w:t> </w:t>
            </w:r>
            <w:r w:rsidR="00F81FD8" w:rsidRPr="00F81FD8">
              <w:rPr>
                <w:rFonts w:ascii="Arial" w:eastAsia="Calibri" w:hAnsi="Arial" w:cs="Arial"/>
                <w:sz w:val="20"/>
                <w:szCs w:val="20"/>
              </w:rPr>
              <w:t>EUR</w:t>
            </w:r>
            <w:r w:rsidRPr="00F81FD8">
              <w:rPr>
                <w:rFonts w:ascii="Arial" w:eastAsia="Calibri" w:hAnsi="Arial" w:cs="Arial"/>
                <w:sz w:val="20"/>
                <w:szCs w:val="20"/>
              </w:rPr>
              <w:t xml:space="preserve"> in </w:t>
            </w:r>
            <w:r w:rsidR="0045046C" w:rsidRPr="00F81FD8">
              <w:rPr>
                <w:rFonts w:ascii="Arial" w:eastAsia="Calibri" w:hAnsi="Arial" w:cs="Arial"/>
                <w:sz w:val="20"/>
                <w:szCs w:val="20"/>
              </w:rPr>
              <w:t xml:space="preserve">se </w:t>
            </w:r>
            <w:r w:rsidRPr="00F81FD8">
              <w:rPr>
                <w:rFonts w:ascii="Arial" w:eastAsia="Calibri" w:hAnsi="Arial" w:cs="Arial"/>
                <w:sz w:val="20"/>
                <w:szCs w:val="20"/>
              </w:rPr>
              <w:t>odpravi postopno zvišanje na 7.500</w:t>
            </w:r>
            <w:r w:rsidR="006F4E34">
              <w:rPr>
                <w:rFonts w:ascii="Arial" w:eastAsia="Calibri" w:hAnsi="Arial" w:cs="Arial"/>
                <w:sz w:val="20"/>
                <w:szCs w:val="20"/>
              </w:rPr>
              <w:t> </w:t>
            </w:r>
            <w:r w:rsidRPr="00F81FD8">
              <w:rPr>
                <w:rFonts w:ascii="Arial" w:eastAsia="Calibri" w:hAnsi="Arial" w:cs="Arial"/>
                <w:sz w:val="20"/>
                <w:szCs w:val="20"/>
              </w:rPr>
              <w:t>EUR.</w:t>
            </w:r>
            <w:r w:rsidR="00B501D0">
              <w:rPr>
                <w:rFonts w:ascii="Arial" w:eastAsia="Calibri" w:hAnsi="Arial" w:cs="Arial"/>
                <w:sz w:val="20"/>
                <w:szCs w:val="20"/>
              </w:rPr>
              <w:t xml:space="preserve"> Cilj </w:t>
            </w:r>
            <w:r w:rsidR="004620B7">
              <w:rPr>
                <w:rFonts w:ascii="Arial" w:eastAsia="Calibri" w:hAnsi="Arial" w:cs="Arial"/>
                <w:sz w:val="20"/>
                <w:szCs w:val="20"/>
              </w:rPr>
              <w:t xml:space="preserve">sprememb na področju </w:t>
            </w:r>
            <w:r w:rsidR="00B501D0">
              <w:rPr>
                <w:rFonts w:ascii="Arial" w:eastAsia="Calibri" w:hAnsi="Arial" w:cs="Arial"/>
                <w:sz w:val="20"/>
                <w:szCs w:val="20"/>
              </w:rPr>
              <w:t>splošne olajšave je zasledovati javnofinančn</w:t>
            </w:r>
            <w:r w:rsidR="004620B7">
              <w:rPr>
                <w:rFonts w:ascii="Arial" w:eastAsia="Calibri" w:hAnsi="Arial" w:cs="Arial"/>
                <w:sz w:val="20"/>
                <w:szCs w:val="20"/>
              </w:rPr>
              <w:t>o</w:t>
            </w:r>
            <w:r w:rsidR="00B501D0">
              <w:rPr>
                <w:rFonts w:ascii="Arial" w:eastAsia="Calibri" w:hAnsi="Arial" w:cs="Arial"/>
                <w:sz w:val="20"/>
                <w:szCs w:val="20"/>
              </w:rPr>
              <w:t xml:space="preserve"> stabilnost</w:t>
            </w:r>
            <w:r w:rsidR="004620B7">
              <w:rPr>
                <w:rFonts w:ascii="Arial" w:eastAsia="Calibri" w:hAnsi="Arial" w:cs="Arial"/>
                <w:sz w:val="20"/>
                <w:szCs w:val="20"/>
              </w:rPr>
              <w:t xml:space="preserve">. Gre </w:t>
            </w:r>
            <w:r w:rsidR="00B501D0">
              <w:rPr>
                <w:rFonts w:ascii="Arial" w:eastAsia="Calibri" w:hAnsi="Arial" w:cs="Arial"/>
                <w:sz w:val="20"/>
                <w:szCs w:val="20"/>
              </w:rPr>
              <w:t>torej z</w:t>
            </w:r>
            <w:r w:rsidR="004620B7">
              <w:rPr>
                <w:rFonts w:ascii="Arial" w:eastAsia="Calibri" w:hAnsi="Arial" w:cs="Arial"/>
                <w:sz w:val="20"/>
                <w:szCs w:val="20"/>
              </w:rPr>
              <w:t>a</w:t>
            </w:r>
            <w:r w:rsidR="00B501D0">
              <w:rPr>
                <w:rFonts w:ascii="Arial" w:eastAsia="Calibri" w:hAnsi="Arial" w:cs="Arial"/>
                <w:sz w:val="20"/>
                <w:szCs w:val="20"/>
              </w:rPr>
              <w:t xml:space="preserve"> mehaniz</w:t>
            </w:r>
            <w:r w:rsidR="004620B7">
              <w:rPr>
                <w:rFonts w:ascii="Arial" w:eastAsia="Calibri" w:hAnsi="Arial" w:cs="Arial"/>
                <w:sz w:val="20"/>
                <w:szCs w:val="20"/>
              </w:rPr>
              <w:t>e</w:t>
            </w:r>
            <w:r w:rsidR="00B501D0">
              <w:rPr>
                <w:rFonts w:ascii="Arial" w:eastAsia="Calibri" w:hAnsi="Arial" w:cs="Arial"/>
                <w:sz w:val="20"/>
                <w:szCs w:val="20"/>
              </w:rPr>
              <w:t xml:space="preserve">m nadomestitve </w:t>
            </w:r>
            <w:r w:rsidR="004620B7">
              <w:rPr>
                <w:rFonts w:ascii="Arial" w:eastAsia="Calibri" w:hAnsi="Arial" w:cs="Arial"/>
                <w:sz w:val="20"/>
                <w:szCs w:val="20"/>
              </w:rPr>
              <w:t xml:space="preserve">pričakovanega </w:t>
            </w:r>
            <w:r w:rsidR="006F4E34">
              <w:rPr>
                <w:rFonts w:ascii="Arial" w:eastAsia="Calibri" w:hAnsi="Arial" w:cs="Arial"/>
                <w:sz w:val="20"/>
                <w:szCs w:val="20"/>
              </w:rPr>
              <w:t>čezmernega</w:t>
            </w:r>
            <w:r w:rsidR="00B501D0">
              <w:rPr>
                <w:rFonts w:ascii="Arial" w:eastAsia="Calibri" w:hAnsi="Arial" w:cs="Arial"/>
                <w:sz w:val="20"/>
                <w:szCs w:val="20"/>
              </w:rPr>
              <w:t xml:space="preserve"> izpada javnofinančnih prihodkov.</w:t>
            </w:r>
            <w:r w:rsidR="00E821EE">
              <w:rPr>
                <w:rFonts w:ascii="Arial" w:eastAsia="Calibri" w:hAnsi="Arial" w:cs="Arial"/>
                <w:sz w:val="20"/>
                <w:szCs w:val="20"/>
              </w:rPr>
              <w:t xml:space="preserve"> Dodatno pa se predlaga sprememba dodatne splošne olajšave na način, da bodo do te olajšave upravičeni </w:t>
            </w:r>
            <w:r w:rsidR="00E821EE" w:rsidRPr="004513FD">
              <w:rPr>
                <w:rFonts w:ascii="Arial" w:eastAsia="Calibri" w:hAnsi="Arial" w:cs="Arial"/>
                <w:sz w:val="20"/>
                <w:szCs w:val="20"/>
              </w:rPr>
              <w:t>zavezanc</w:t>
            </w:r>
            <w:r w:rsidR="00E821EE">
              <w:rPr>
                <w:rFonts w:ascii="Arial" w:eastAsia="Calibri" w:hAnsi="Arial" w:cs="Arial"/>
                <w:sz w:val="20"/>
                <w:szCs w:val="20"/>
              </w:rPr>
              <w:t>i</w:t>
            </w:r>
            <w:r w:rsidR="00E821EE" w:rsidRPr="004513FD">
              <w:rPr>
                <w:rFonts w:ascii="Arial" w:eastAsia="Calibri" w:hAnsi="Arial" w:cs="Arial"/>
                <w:sz w:val="20"/>
                <w:szCs w:val="20"/>
              </w:rPr>
              <w:t xml:space="preserve"> s skupnimi letnimi aktivnimi bruto dohodki do </w:t>
            </w:r>
            <w:r w:rsidR="00E821EE" w:rsidRPr="00EC69CC">
              <w:rPr>
                <w:rFonts w:ascii="Arial" w:eastAsia="Calibri" w:hAnsi="Arial" w:cs="Arial"/>
                <w:sz w:val="20"/>
                <w:szCs w:val="20"/>
              </w:rPr>
              <w:t>1</w:t>
            </w:r>
            <w:r w:rsidR="00E821EE">
              <w:rPr>
                <w:rFonts w:ascii="Arial" w:eastAsia="Calibri" w:hAnsi="Arial" w:cs="Arial"/>
                <w:sz w:val="20"/>
                <w:szCs w:val="20"/>
              </w:rPr>
              <w:t>6</w:t>
            </w:r>
            <w:r w:rsidR="00E821EE" w:rsidRPr="00EC69CC">
              <w:rPr>
                <w:rFonts w:ascii="Arial" w:eastAsia="Calibri" w:hAnsi="Arial" w:cs="Arial"/>
                <w:sz w:val="20"/>
                <w:szCs w:val="20"/>
              </w:rPr>
              <w:t>.</w:t>
            </w:r>
            <w:r w:rsidR="00E821EE">
              <w:rPr>
                <w:rFonts w:ascii="Arial" w:eastAsia="Calibri" w:hAnsi="Arial" w:cs="Arial"/>
                <w:sz w:val="20"/>
                <w:szCs w:val="20"/>
              </w:rPr>
              <w:t>000,00 EUR za izničenje učinka sprememb na področju splošne olajšave glede na veljavno ureditev.</w:t>
            </w:r>
          </w:p>
          <w:p w14:paraId="655F92E2" w14:textId="1E92DD71" w:rsidR="00E026DE" w:rsidRDefault="00E026DE" w:rsidP="00EC69CC">
            <w:pPr>
              <w:spacing w:after="0" w:line="276" w:lineRule="auto"/>
              <w:contextualSpacing/>
              <w:jc w:val="both"/>
              <w:rPr>
                <w:rFonts w:ascii="Arial" w:eastAsia="Calibri" w:hAnsi="Arial" w:cs="Arial"/>
                <w:sz w:val="20"/>
                <w:szCs w:val="20"/>
              </w:rPr>
            </w:pPr>
          </w:p>
          <w:p w14:paraId="4871437B" w14:textId="27C5E15A" w:rsidR="00AC40A1" w:rsidRDefault="00AC40A1">
            <w:pPr>
              <w:spacing w:after="0" w:line="276" w:lineRule="auto"/>
              <w:contextualSpacing/>
              <w:jc w:val="both"/>
              <w:rPr>
                <w:rFonts w:ascii="Arial" w:eastAsia="Calibri" w:hAnsi="Arial" w:cs="Arial"/>
                <w:sz w:val="20"/>
                <w:szCs w:val="20"/>
              </w:rPr>
            </w:pPr>
            <w:r w:rsidRPr="00AC40A1">
              <w:rPr>
                <w:rFonts w:ascii="Arial" w:eastAsia="Calibri" w:hAnsi="Arial" w:cs="Arial"/>
                <w:sz w:val="20"/>
                <w:szCs w:val="20"/>
              </w:rPr>
              <w:t>-</w:t>
            </w:r>
            <w:r>
              <w:rPr>
                <w:rFonts w:ascii="Arial" w:eastAsia="Calibri" w:hAnsi="Arial" w:cs="Arial"/>
                <w:sz w:val="20"/>
                <w:szCs w:val="20"/>
              </w:rPr>
              <w:t xml:space="preserve"> </w:t>
            </w:r>
            <w:r w:rsidRPr="000C102C">
              <w:rPr>
                <w:rFonts w:ascii="Arial" w:eastAsia="Calibri" w:hAnsi="Arial" w:cs="Arial"/>
                <w:sz w:val="20"/>
                <w:szCs w:val="20"/>
              </w:rPr>
              <w:t>Posebna osebna olajšava za mlade</w:t>
            </w:r>
          </w:p>
          <w:p w14:paraId="3BEAE907" w14:textId="542CF9C1" w:rsidR="00E860A5" w:rsidRPr="000C102C" w:rsidRDefault="005B4B4F" w:rsidP="00DD192F">
            <w:pPr>
              <w:spacing w:after="0" w:line="276" w:lineRule="auto"/>
              <w:contextualSpacing/>
              <w:jc w:val="both"/>
              <w:rPr>
                <w:rFonts w:ascii="Arial" w:eastAsia="Calibri" w:hAnsi="Arial" w:cs="Arial"/>
                <w:sz w:val="20"/>
                <w:szCs w:val="20"/>
              </w:rPr>
            </w:pPr>
            <w:r w:rsidRPr="000C102C">
              <w:rPr>
                <w:rFonts w:ascii="Arial" w:eastAsia="Calibri" w:hAnsi="Arial" w:cs="Arial"/>
                <w:sz w:val="20"/>
                <w:szCs w:val="20"/>
              </w:rPr>
              <w:t xml:space="preserve">Položaj mladih kljub ugodnim razmeram na trgu dela ni ugoden. Mladi se ob vstopu na trg dela najpogosteje srečujejo s </w:t>
            </w:r>
            <w:proofErr w:type="spellStart"/>
            <w:r w:rsidRPr="000C102C">
              <w:rPr>
                <w:rFonts w:ascii="Arial" w:eastAsia="Calibri" w:hAnsi="Arial" w:cs="Arial"/>
                <w:sz w:val="20"/>
                <w:szCs w:val="20"/>
              </w:rPr>
              <w:t>prekarnimi</w:t>
            </w:r>
            <w:proofErr w:type="spellEnd"/>
            <w:r w:rsidRPr="000C102C">
              <w:rPr>
                <w:rFonts w:ascii="Arial" w:eastAsia="Calibri" w:hAnsi="Arial" w:cs="Arial"/>
                <w:sz w:val="20"/>
                <w:szCs w:val="20"/>
              </w:rPr>
              <w:t xml:space="preserve"> oblikami dela</w:t>
            </w:r>
            <w:r w:rsidR="00DD192F" w:rsidRPr="000C102C">
              <w:rPr>
                <w:rFonts w:ascii="Arial" w:eastAsia="Calibri" w:hAnsi="Arial" w:cs="Arial"/>
                <w:sz w:val="20"/>
                <w:szCs w:val="20"/>
              </w:rPr>
              <w:t xml:space="preserve">, pa tudi </w:t>
            </w:r>
            <w:r w:rsidR="00E860A5" w:rsidRPr="000C102C">
              <w:rPr>
                <w:rFonts w:ascii="Arial" w:eastAsia="Calibri" w:hAnsi="Arial" w:cs="Arial"/>
                <w:sz w:val="20"/>
                <w:szCs w:val="20"/>
              </w:rPr>
              <w:t xml:space="preserve">s prikritimi delovnimi razmerji in drugimi kršitvami njihovih pravic. </w:t>
            </w:r>
            <w:r w:rsidR="00DD192F" w:rsidRPr="000C102C">
              <w:rPr>
                <w:rFonts w:ascii="Arial" w:eastAsia="Calibri" w:hAnsi="Arial" w:cs="Arial"/>
                <w:sz w:val="20"/>
                <w:szCs w:val="20"/>
              </w:rPr>
              <w:t xml:space="preserve">Tovrstne, negotove oblike dela jim ne </w:t>
            </w:r>
            <w:r w:rsidR="006F4E34">
              <w:rPr>
                <w:rFonts w:ascii="Arial" w:eastAsia="Calibri" w:hAnsi="Arial" w:cs="Arial"/>
                <w:sz w:val="20"/>
                <w:szCs w:val="20"/>
              </w:rPr>
              <w:t>zagotavljajo</w:t>
            </w:r>
            <w:r w:rsidR="000C4FBC" w:rsidRPr="000C102C">
              <w:rPr>
                <w:rFonts w:ascii="Arial" w:eastAsia="Calibri" w:hAnsi="Arial" w:cs="Arial"/>
                <w:sz w:val="20"/>
                <w:szCs w:val="20"/>
              </w:rPr>
              <w:t xml:space="preserve"> </w:t>
            </w:r>
            <w:r w:rsidR="00DD192F" w:rsidRPr="000C102C">
              <w:rPr>
                <w:rFonts w:ascii="Arial" w:eastAsia="Calibri" w:hAnsi="Arial" w:cs="Arial"/>
                <w:sz w:val="20"/>
                <w:szCs w:val="20"/>
              </w:rPr>
              <w:t xml:space="preserve">nikakršne socialne varnosti in posledično možnosti ustvarjanja pogojev za osamosvojitev in oblikovanje družine. </w:t>
            </w:r>
            <w:r w:rsidR="00E860A5" w:rsidRPr="000C102C">
              <w:rPr>
                <w:rFonts w:ascii="Arial" w:eastAsia="Calibri" w:hAnsi="Arial" w:cs="Arial"/>
                <w:sz w:val="20"/>
                <w:szCs w:val="20"/>
              </w:rPr>
              <w:t xml:space="preserve">Negotove oblike dela </w:t>
            </w:r>
            <w:r w:rsidR="00DD192F" w:rsidRPr="000C102C">
              <w:rPr>
                <w:rFonts w:ascii="Arial" w:eastAsia="Calibri" w:hAnsi="Arial" w:cs="Arial"/>
                <w:sz w:val="20"/>
                <w:szCs w:val="20"/>
              </w:rPr>
              <w:t xml:space="preserve">bi </w:t>
            </w:r>
            <w:r w:rsidR="00E860A5" w:rsidRPr="000C102C">
              <w:rPr>
                <w:rFonts w:ascii="Arial" w:eastAsia="Calibri" w:hAnsi="Arial" w:cs="Arial"/>
                <w:sz w:val="20"/>
                <w:szCs w:val="20"/>
              </w:rPr>
              <w:t xml:space="preserve">zato </w:t>
            </w:r>
            <w:r w:rsidR="00DD192F" w:rsidRPr="000C102C">
              <w:rPr>
                <w:rFonts w:ascii="Arial" w:eastAsia="Calibri" w:hAnsi="Arial" w:cs="Arial"/>
                <w:sz w:val="20"/>
                <w:szCs w:val="20"/>
              </w:rPr>
              <w:t xml:space="preserve">morale </w:t>
            </w:r>
            <w:r w:rsidR="00E860A5" w:rsidRPr="000C102C">
              <w:rPr>
                <w:rFonts w:ascii="Arial" w:eastAsia="Calibri" w:hAnsi="Arial" w:cs="Arial"/>
                <w:sz w:val="20"/>
                <w:szCs w:val="20"/>
              </w:rPr>
              <w:t xml:space="preserve">postati izjema in ne pravilo. Varna zaposlitev z dostojnim plačilom in vsemi pravicami, ki iz nje izhajajo, bi morala biti </w:t>
            </w:r>
            <w:r w:rsidR="00DD192F" w:rsidRPr="000C102C">
              <w:rPr>
                <w:rFonts w:ascii="Arial" w:eastAsia="Calibri" w:hAnsi="Arial" w:cs="Arial"/>
                <w:sz w:val="20"/>
                <w:szCs w:val="20"/>
              </w:rPr>
              <w:t>prevladujoča</w:t>
            </w:r>
            <w:r w:rsidR="002400FB">
              <w:rPr>
                <w:rFonts w:ascii="Arial" w:eastAsia="Calibri" w:hAnsi="Arial" w:cs="Arial"/>
                <w:sz w:val="20"/>
                <w:szCs w:val="20"/>
              </w:rPr>
              <w:t xml:space="preserve"> oblika dela</w:t>
            </w:r>
            <w:r w:rsidR="00E860A5" w:rsidRPr="000C102C">
              <w:rPr>
                <w:rFonts w:ascii="Arial" w:eastAsia="Calibri" w:hAnsi="Arial" w:cs="Arial"/>
                <w:sz w:val="20"/>
                <w:szCs w:val="20"/>
              </w:rPr>
              <w:t>, ne pa neuresničljiv cilj, saj šele ta omogoča dostojno delo in dostojno življenje ter tudi ohranjanje ustreznega socialnega, ekonomskega položaja posameznice in posameznika tudi v času</w:t>
            </w:r>
            <w:r w:rsidR="00DD192F" w:rsidRPr="000C102C">
              <w:rPr>
                <w:rFonts w:ascii="Arial" w:eastAsia="Calibri" w:hAnsi="Arial" w:cs="Arial"/>
                <w:sz w:val="20"/>
                <w:szCs w:val="20"/>
              </w:rPr>
              <w:t xml:space="preserve"> </w:t>
            </w:r>
            <w:r w:rsidR="00E860A5" w:rsidRPr="000C102C">
              <w:rPr>
                <w:rFonts w:ascii="Arial" w:eastAsia="Calibri" w:hAnsi="Arial" w:cs="Arial"/>
                <w:sz w:val="20"/>
                <w:szCs w:val="20"/>
              </w:rPr>
              <w:t>kriz.</w:t>
            </w:r>
          </w:p>
          <w:p w14:paraId="25C691C4" w14:textId="4DD2E3F2" w:rsidR="00665872" w:rsidRPr="000C102C" w:rsidRDefault="00665872" w:rsidP="00DD192F">
            <w:pPr>
              <w:spacing w:after="0" w:line="276" w:lineRule="auto"/>
              <w:contextualSpacing/>
              <w:jc w:val="both"/>
              <w:rPr>
                <w:rFonts w:ascii="Arial" w:eastAsia="Calibri" w:hAnsi="Arial" w:cs="Arial"/>
                <w:sz w:val="20"/>
                <w:szCs w:val="20"/>
              </w:rPr>
            </w:pPr>
          </w:p>
          <w:p w14:paraId="2E7F894A" w14:textId="5C763E19" w:rsidR="00665872" w:rsidRPr="000C102C" w:rsidRDefault="00665872" w:rsidP="00DD192F">
            <w:pPr>
              <w:spacing w:after="0" w:line="276" w:lineRule="auto"/>
              <w:contextualSpacing/>
              <w:jc w:val="both"/>
              <w:rPr>
                <w:rFonts w:ascii="Arial" w:eastAsia="Calibri" w:hAnsi="Arial" w:cs="Arial"/>
                <w:sz w:val="20"/>
                <w:szCs w:val="20"/>
              </w:rPr>
            </w:pPr>
            <w:r w:rsidRPr="000C102C">
              <w:rPr>
                <w:rFonts w:ascii="Arial" w:eastAsia="Calibri" w:hAnsi="Arial" w:cs="Arial"/>
                <w:sz w:val="20"/>
                <w:szCs w:val="20"/>
              </w:rPr>
              <w:t xml:space="preserve">Mladi so najbolj fleksibilna delovna sila tudi z vidika mednarodne mobilnosti, kar je v času vsesplošnega pomankanje delovne sile še </w:t>
            </w:r>
            <w:r w:rsidR="006F4E34">
              <w:rPr>
                <w:rFonts w:ascii="Arial" w:eastAsia="Calibri" w:hAnsi="Arial" w:cs="Arial"/>
                <w:sz w:val="20"/>
                <w:szCs w:val="20"/>
              </w:rPr>
              <w:t>zlasti</w:t>
            </w:r>
            <w:r w:rsidRPr="000C102C">
              <w:rPr>
                <w:rFonts w:ascii="Arial" w:eastAsia="Calibri" w:hAnsi="Arial" w:cs="Arial"/>
                <w:sz w:val="20"/>
                <w:szCs w:val="20"/>
              </w:rPr>
              <w:t xml:space="preserve"> problematično.</w:t>
            </w:r>
          </w:p>
          <w:p w14:paraId="0620347E" w14:textId="1C8A6B77" w:rsidR="00E860A5" w:rsidRPr="000C102C" w:rsidRDefault="00E860A5" w:rsidP="00E860A5">
            <w:pPr>
              <w:spacing w:after="0" w:line="276" w:lineRule="auto"/>
              <w:contextualSpacing/>
              <w:jc w:val="both"/>
              <w:rPr>
                <w:rFonts w:ascii="Arial" w:eastAsia="Calibri" w:hAnsi="Arial" w:cs="Arial"/>
                <w:sz w:val="20"/>
                <w:szCs w:val="20"/>
              </w:rPr>
            </w:pPr>
          </w:p>
          <w:p w14:paraId="0CB606BA" w14:textId="142C2AE3" w:rsidR="00E860A5" w:rsidRPr="000C102C" w:rsidRDefault="00665872">
            <w:pPr>
              <w:spacing w:after="0" w:line="276" w:lineRule="auto"/>
              <w:contextualSpacing/>
              <w:jc w:val="both"/>
              <w:rPr>
                <w:rFonts w:ascii="Arial" w:eastAsia="Calibri" w:hAnsi="Arial" w:cs="Arial"/>
                <w:sz w:val="20"/>
                <w:szCs w:val="20"/>
              </w:rPr>
            </w:pPr>
            <w:r w:rsidRPr="000C102C">
              <w:rPr>
                <w:rFonts w:ascii="Arial" w:eastAsia="Calibri" w:hAnsi="Arial" w:cs="Arial"/>
                <w:sz w:val="20"/>
                <w:szCs w:val="20"/>
              </w:rPr>
              <w:t xml:space="preserve">V koalicijski pogodbi je mladim posvečena posebna pozornost, med drugim je podan cilj, da se mladim olajša prehod na vključujoč trg dela, ki jim bo zagotovil varne zaposlitve in dostojno plačilo, da se </w:t>
            </w:r>
            <w:r w:rsidR="006F4E34">
              <w:rPr>
                <w:rFonts w:ascii="Arial" w:eastAsia="Calibri" w:hAnsi="Arial" w:cs="Arial"/>
                <w:sz w:val="20"/>
                <w:szCs w:val="20"/>
              </w:rPr>
              <w:t xml:space="preserve">obravnavata </w:t>
            </w:r>
            <w:r w:rsidRPr="000C102C">
              <w:rPr>
                <w:rFonts w:ascii="Arial" w:eastAsia="Calibri" w:hAnsi="Arial" w:cs="Arial"/>
                <w:sz w:val="20"/>
                <w:szCs w:val="20"/>
              </w:rPr>
              <w:t>problematik</w:t>
            </w:r>
            <w:r w:rsidR="006F4E34">
              <w:rPr>
                <w:rFonts w:ascii="Arial" w:eastAsia="Calibri" w:hAnsi="Arial" w:cs="Arial"/>
                <w:sz w:val="20"/>
                <w:szCs w:val="20"/>
              </w:rPr>
              <w:t>a</w:t>
            </w:r>
            <w:r w:rsidRPr="000C102C">
              <w:rPr>
                <w:rFonts w:ascii="Arial" w:eastAsia="Calibri" w:hAnsi="Arial" w:cs="Arial"/>
                <w:sz w:val="20"/>
                <w:szCs w:val="20"/>
              </w:rPr>
              <w:t xml:space="preserve"> </w:t>
            </w:r>
            <w:proofErr w:type="spellStart"/>
            <w:r w:rsidRPr="000C102C">
              <w:rPr>
                <w:rFonts w:ascii="Arial" w:eastAsia="Calibri" w:hAnsi="Arial" w:cs="Arial"/>
                <w:sz w:val="20"/>
                <w:szCs w:val="20"/>
              </w:rPr>
              <w:t>prekarnih</w:t>
            </w:r>
            <w:proofErr w:type="spellEnd"/>
            <w:r w:rsidRPr="000C102C">
              <w:rPr>
                <w:rFonts w:ascii="Arial" w:eastAsia="Calibri" w:hAnsi="Arial" w:cs="Arial"/>
                <w:sz w:val="20"/>
                <w:szCs w:val="20"/>
              </w:rPr>
              <w:t xml:space="preserve"> zaposlitev</w:t>
            </w:r>
            <w:r w:rsidR="002400FB">
              <w:rPr>
                <w:rFonts w:ascii="Arial" w:eastAsia="Calibri" w:hAnsi="Arial" w:cs="Arial"/>
                <w:sz w:val="20"/>
                <w:szCs w:val="20"/>
              </w:rPr>
              <w:t xml:space="preserve"> </w:t>
            </w:r>
            <w:r w:rsidR="006F4E34">
              <w:rPr>
                <w:rFonts w:ascii="Arial" w:eastAsia="Calibri" w:hAnsi="Arial" w:cs="Arial"/>
                <w:sz w:val="20"/>
                <w:szCs w:val="20"/>
              </w:rPr>
              <w:t>in</w:t>
            </w:r>
            <w:r w:rsidRPr="000C102C">
              <w:rPr>
                <w:rFonts w:ascii="Arial" w:eastAsia="Calibri" w:hAnsi="Arial" w:cs="Arial"/>
                <w:sz w:val="20"/>
                <w:szCs w:val="20"/>
              </w:rPr>
              <w:t xml:space="preserve"> beg možganov.</w:t>
            </w:r>
          </w:p>
          <w:p w14:paraId="72DAB871" w14:textId="4BE2B20C" w:rsidR="00665872" w:rsidRPr="000C102C" w:rsidRDefault="00665872">
            <w:pPr>
              <w:spacing w:after="0" w:line="276" w:lineRule="auto"/>
              <w:contextualSpacing/>
              <w:jc w:val="both"/>
              <w:rPr>
                <w:rFonts w:ascii="Arial" w:eastAsia="Calibri" w:hAnsi="Arial" w:cs="Arial"/>
                <w:sz w:val="20"/>
                <w:szCs w:val="20"/>
              </w:rPr>
            </w:pPr>
          </w:p>
          <w:p w14:paraId="4D6CB412" w14:textId="31440C05" w:rsidR="00665872" w:rsidRDefault="00665872">
            <w:pPr>
              <w:spacing w:after="0" w:line="276" w:lineRule="auto"/>
              <w:contextualSpacing/>
              <w:jc w:val="both"/>
              <w:rPr>
                <w:rFonts w:ascii="Arial" w:eastAsia="Calibri" w:hAnsi="Arial" w:cs="Arial"/>
                <w:sz w:val="20"/>
                <w:szCs w:val="20"/>
              </w:rPr>
            </w:pPr>
            <w:r w:rsidRPr="000C102C">
              <w:rPr>
                <w:rFonts w:ascii="Arial" w:eastAsia="Calibri" w:hAnsi="Arial" w:cs="Arial"/>
                <w:sz w:val="20"/>
                <w:szCs w:val="20"/>
              </w:rPr>
              <w:t xml:space="preserve">Davčna obremenitev dela je tudi eden </w:t>
            </w:r>
            <w:r w:rsidRPr="002400FB">
              <w:rPr>
                <w:rFonts w:ascii="Arial" w:eastAsia="Calibri" w:hAnsi="Arial" w:cs="Arial"/>
                <w:sz w:val="20"/>
                <w:szCs w:val="20"/>
              </w:rPr>
              <w:t>izme</w:t>
            </w:r>
            <w:r w:rsidR="002400FB">
              <w:rPr>
                <w:rFonts w:ascii="Arial" w:eastAsia="Calibri" w:hAnsi="Arial" w:cs="Arial"/>
                <w:sz w:val="20"/>
                <w:szCs w:val="20"/>
              </w:rPr>
              <w:t>d</w:t>
            </w:r>
            <w:r w:rsidRPr="000C102C">
              <w:rPr>
                <w:rFonts w:ascii="Arial" w:eastAsia="Calibri" w:hAnsi="Arial" w:cs="Arial"/>
                <w:sz w:val="20"/>
                <w:szCs w:val="20"/>
              </w:rPr>
              <w:t xml:space="preserve"> elementov, poleg n</w:t>
            </w:r>
            <w:r w:rsidR="006F4E34">
              <w:rPr>
                <w:rFonts w:ascii="Arial" w:eastAsia="Calibri" w:hAnsi="Arial" w:cs="Arial"/>
                <w:sz w:val="20"/>
                <w:szCs w:val="20"/>
              </w:rPr>
              <w:t xml:space="preserve">a </w:t>
            </w:r>
            <w:r w:rsidRPr="000C102C">
              <w:rPr>
                <w:rFonts w:ascii="Arial" w:eastAsia="Calibri" w:hAnsi="Arial" w:cs="Arial"/>
                <w:sz w:val="20"/>
                <w:szCs w:val="20"/>
              </w:rPr>
              <w:t>pr</w:t>
            </w:r>
            <w:r w:rsidR="006F4E34">
              <w:rPr>
                <w:rFonts w:ascii="Arial" w:eastAsia="Calibri" w:hAnsi="Arial" w:cs="Arial"/>
                <w:sz w:val="20"/>
                <w:szCs w:val="20"/>
              </w:rPr>
              <w:t>imer</w:t>
            </w:r>
            <w:r w:rsidRPr="000C102C">
              <w:rPr>
                <w:rFonts w:ascii="Arial" w:eastAsia="Calibri" w:hAnsi="Arial" w:cs="Arial"/>
                <w:sz w:val="20"/>
                <w:szCs w:val="20"/>
              </w:rPr>
              <w:t xml:space="preserve"> pogojev dela in pravic iz dela, ki vpliva </w:t>
            </w:r>
            <w:r w:rsidR="005E7518" w:rsidRPr="000C102C">
              <w:rPr>
                <w:rFonts w:ascii="Arial" w:eastAsia="Calibri" w:hAnsi="Arial" w:cs="Arial"/>
                <w:sz w:val="20"/>
                <w:szCs w:val="20"/>
              </w:rPr>
              <w:t xml:space="preserve">na izbiro </w:t>
            </w:r>
            <w:r w:rsidRPr="000C102C">
              <w:rPr>
                <w:rFonts w:ascii="Arial" w:eastAsia="Calibri" w:hAnsi="Arial" w:cs="Arial"/>
                <w:sz w:val="20"/>
                <w:szCs w:val="20"/>
              </w:rPr>
              <w:t>oblik</w:t>
            </w:r>
            <w:r w:rsidR="005E7518" w:rsidRPr="000C102C">
              <w:rPr>
                <w:rFonts w:ascii="Arial" w:eastAsia="Calibri" w:hAnsi="Arial" w:cs="Arial"/>
                <w:sz w:val="20"/>
                <w:szCs w:val="20"/>
              </w:rPr>
              <w:t>e</w:t>
            </w:r>
            <w:r w:rsidRPr="000C102C">
              <w:rPr>
                <w:rFonts w:ascii="Arial" w:eastAsia="Calibri" w:hAnsi="Arial" w:cs="Arial"/>
                <w:sz w:val="20"/>
                <w:szCs w:val="20"/>
              </w:rPr>
              <w:t xml:space="preserve"> dela</w:t>
            </w:r>
            <w:r w:rsidR="005E7518" w:rsidRPr="000C102C">
              <w:rPr>
                <w:rFonts w:ascii="Arial" w:eastAsia="Calibri" w:hAnsi="Arial" w:cs="Arial"/>
                <w:sz w:val="20"/>
                <w:szCs w:val="20"/>
              </w:rPr>
              <w:t>, ki je največkrat v rokah povpraševalcev po delovni sili.</w:t>
            </w:r>
            <w:r w:rsidRPr="000C102C">
              <w:rPr>
                <w:rFonts w:ascii="Arial" w:eastAsia="Calibri" w:hAnsi="Arial" w:cs="Arial"/>
                <w:sz w:val="20"/>
                <w:szCs w:val="20"/>
              </w:rPr>
              <w:t xml:space="preserve"> </w:t>
            </w:r>
            <w:r w:rsidR="005E7518" w:rsidRPr="000C102C">
              <w:rPr>
                <w:rFonts w:ascii="Arial" w:eastAsia="Calibri" w:hAnsi="Arial" w:cs="Arial"/>
                <w:sz w:val="20"/>
                <w:szCs w:val="20"/>
              </w:rPr>
              <w:t>S predlogom posebne osebne olajšave za mlade se vzpostavlja podporni ukrep politikam trga dela na področju mladih</w:t>
            </w:r>
            <w:r w:rsidR="000C4FBC" w:rsidRPr="000C102C">
              <w:rPr>
                <w:rFonts w:ascii="Arial" w:eastAsia="Calibri" w:hAnsi="Arial" w:cs="Arial"/>
                <w:sz w:val="20"/>
                <w:szCs w:val="20"/>
              </w:rPr>
              <w:t>, usmerjenih k v</w:t>
            </w:r>
            <w:r w:rsidR="00343906" w:rsidRPr="000C102C">
              <w:rPr>
                <w:rFonts w:ascii="Arial" w:eastAsia="Calibri" w:hAnsi="Arial" w:cs="Arial"/>
                <w:sz w:val="20"/>
                <w:szCs w:val="20"/>
              </w:rPr>
              <w:t>zpostavitvi varnih in dostojno plačanih zaposlitev za mlade. S posebno osebno olajšav</w:t>
            </w:r>
            <w:r w:rsidR="000C4FBC" w:rsidRPr="000C102C">
              <w:rPr>
                <w:rFonts w:ascii="Arial" w:eastAsia="Calibri" w:hAnsi="Arial" w:cs="Arial"/>
                <w:sz w:val="20"/>
                <w:szCs w:val="20"/>
              </w:rPr>
              <w:t>o</w:t>
            </w:r>
            <w:r w:rsidR="00343906" w:rsidRPr="000C102C">
              <w:rPr>
                <w:rFonts w:ascii="Arial" w:eastAsia="Calibri" w:hAnsi="Arial" w:cs="Arial"/>
                <w:sz w:val="20"/>
                <w:szCs w:val="20"/>
              </w:rPr>
              <w:t xml:space="preserve"> se zmanjšuje obremenitev dohodkov, doseženih iz delovnega razmerja, napram drugi</w:t>
            </w:r>
            <w:r w:rsidR="006F4E34">
              <w:rPr>
                <w:rFonts w:ascii="Arial" w:eastAsia="Calibri" w:hAnsi="Arial" w:cs="Arial"/>
                <w:sz w:val="20"/>
                <w:szCs w:val="20"/>
              </w:rPr>
              <w:t>m</w:t>
            </w:r>
            <w:r w:rsidR="00343906" w:rsidRPr="000C102C">
              <w:rPr>
                <w:rFonts w:ascii="Arial" w:eastAsia="Calibri" w:hAnsi="Arial" w:cs="Arial"/>
                <w:sz w:val="20"/>
                <w:szCs w:val="20"/>
              </w:rPr>
              <w:t xml:space="preserve"> </w:t>
            </w:r>
            <w:proofErr w:type="spellStart"/>
            <w:r w:rsidR="00343906" w:rsidRPr="000C102C">
              <w:rPr>
                <w:rFonts w:ascii="Arial" w:eastAsia="Calibri" w:hAnsi="Arial" w:cs="Arial"/>
                <w:sz w:val="20"/>
                <w:szCs w:val="20"/>
              </w:rPr>
              <w:t>prekarnim</w:t>
            </w:r>
            <w:proofErr w:type="spellEnd"/>
            <w:r w:rsidR="00343906" w:rsidRPr="000C102C">
              <w:rPr>
                <w:rFonts w:ascii="Arial" w:eastAsia="Calibri" w:hAnsi="Arial" w:cs="Arial"/>
                <w:sz w:val="20"/>
                <w:szCs w:val="20"/>
              </w:rPr>
              <w:t xml:space="preserve"> oblikam dela. </w:t>
            </w:r>
            <w:r w:rsidR="00612AC8" w:rsidRPr="000C102C">
              <w:rPr>
                <w:rFonts w:ascii="Arial" w:eastAsia="Calibri" w:hAnsi="Arial" w:cs="Arial"/>
                <w:sz w:val="20"/>
                <w:szCs w:val="20"/>
              </w:rPr>
              <w:t>Z navedenim ukrepom se bo vzpostavil</w:t>
            </w:r>
            <w:r w:rsidR="006F4E34">
              <w:rPr>
                <w:rFonts w:ascii="Arial" w:eastAsia="Calibri" w:hAnsi="Arial" w:cs="Arial"/>
                <w:sz w:val="20"/>
                <w:szCs w:val="20"/>
              </w:rPr>
              <w:t>a</w:t>
            </w:r>
            <w:r w:rsidR="00612AC8" w:rsidRPr="000C102C">
              <w:rPr>
                <w:rFonts w:ascii="Arial" w:eastAsia="Calibri" w:hAnsi="Arial" w:cs="Arial"/>
                <w:sz w:val="20"/>
                <w:szCs w:val="20"/>
              </w:rPr>
              <w:t xml:space="preserve"> davčn</w:t>
            </w:r>
            <w:r w:rsidR="006F4E34">
              <w:rPr>
                <w:rFonts w:ascii="Arial" w:eastAsia="Calibri" w:hAnsi="Arial" w:cs="Arial"/>
                <w:sz w:val="20"/>
                <w:szCs w:val="20"/>
              </w:rPr>
              <w:t>a</w:t>
            </w:r>
            <w:r w:rsidR="00612AC8" w:rsidRPr="000C102C">
              <w:rPr>
                <w:rFonts w:ascii="Arial" w:eastAsia="Calibri" w:hAnsi="Arial" w:cs="Arial"/>
                <w:sz w:val="20"/>
                <w:szCs w:val="20"/>
              </w:rPr>
              <w:t xml:space="preserve"> </w:t>
            </w:r>
            <w:r w:rsidR="006F4E34">
              <w:rPr>
                <w:rFonts w:ascii="Arial" w:eastAsia="Calibri" w:hAnsi="Arial" w:cs="Arial"/>
                <w:sz w:val="20"/>
                <w:szCs w:val="20"/>
              </w:rPr>
              <w:t>s</w:t>
            </w:r>
            <w:r w:rsidR="00612AC8" w:rsidRPr="000C102C">
              <w:rPr>
                <w:rFonts w:ascii="Arial" w:eastAsia="Calibri" w:hAnsi="Arial" w:cs="Arial"/>
                <w:sz w:val="20"/>
                <w:szCs w:val="20"/>
              </w:rPr>
              <w:t>podbud</w:t>
            </w:r>
            <w:r w:rsidR="006F4E34">
              <w:rPr>
                <w:rFonts w:ascii="Arial" w:eastAsia="Calibri" w:hAnsi="Arial" w:cs="Arial"/>
                <w:sz w:val="20"/>
                <w:szCs w:val="20"/>
              </w:rPr>
              <w:t>a</w:t>
            </w:r>
            <w:r w:rsidR="00612AC8" w:rsidRPr="000C102C">
              <w:rPr>
                <w:rFonts w:ascii="Arial" w:eastAsia="Calibri" w:hAnsi="Arial" w:cs="Arial"/>
                <w:sz w:val="20"/>
                <w:szCs w:val="20"/>
              </w:rPr>
              <w:t xml:space="preserve"> tudi na ravni delavca, medtem ko je na ravni delodajalca že vzpostavljena davčna </w:t>
            </w:r>
            <w:r w:rsidR="006F4E34">
              <w:rPr>
                <w:rFonts w:ascii="Arial" w:eastAsia="Calibri" w:hAnsi="Arial" w:cs="Arial"/>
                <w:sz w:val="20"/>
                <w:szCs w:val="20"/>
              </w:rPr>
              <w:t>s</w:t>
            </w:r>
            <w:r w:rsidR="00612AC8" w:rsidRPr="000C102C">
              <w:rPr>
                <w:rFonts w:ascii="Arial" w:eastAsia="Calibri" w:hAnsi="Arial" w:cs="Arial"/>
                <w:sz w:val="20"/>
                <w:szCs w:val="20"/>
              </w:rPr>
              <w:t>podbuda za zaposlovanje mladih v obliki znižanja davčne osnove davka od dohodkov pravnih oseb ali dohodnine od dohodka iz dejavnosti (olajšava za zaposlovanje)</w:t>
            </w:r>
            <w:r w:rsidR="000C102C" w:rsidRPr="000C102C">
              <w:rPr>
                <w:rFonts w:ascii="Arial" w:eastAsia="Calibri" w:hAnsi="Arial" w:cs="Arial"/>
                <w:sz w:val="20"/>
                <w:szCs w:val="20"/>
              </w:rPr>
              <w:t>.</w:t>
            </w:r>
          </w:p>
          <w:p w14:paraId="784985C3" w14:textId="379D7A28" w:rsidR="000C102C" w:rsidRDefault="000C102C">
            <w:pPr>
              <w:spacing w:after="0" w:line="276" w:lineRule="auto"/>
              <w:contextualSpacing/>
              <w:jc w:val="both"/>
              <w:rPr>
                <w:rFonts w:ascii="Arial" w:eastAsia="Calibri" w:hAnsi="Arial" w:cs="Arial"/>
                <w:sz w:val="20"/>
                <w:szCs w:val="20"/>
              </w:rPr>
            </w:pPr>
          </w:p>
          <w:p w14:paraId="2F643529" w14:textId="4EA0D30B" w:rsidR="000C102C" w:rsidRPr="00D82B93" w:rsidRDefault="000C102C">
            <w:pPr>
              <w:spacing w:after="0" w:line="276" w:lineRule="auto"/>
              <w:contextualSpacing/>
              <w:jc w:val="both"/>
              <w:rPr>
                <w:rFonts w:ascii="Arial" w:eastAsia="Calibri" w:hAnsi="Arial" w:cs="Arial"/>
                <w:sz w:val="20"/>
                <w:szCs w:val="20"/>
              </w:rPr>
            </w:pPr>
            <w:r w:rsidRPr="00D82B93">
              <w:rPr>
                <w:rFonts w:ascii="Arial" w:eastAsia="Calibri" w:hAnsi="Arial" w:cs="Arial"/>
                <w:sz w:val="20"/>
                <w:szCs w:val="20"/>
              </w:rPr>
              <w:lastRenderedPageBreak/>
              <w:t>Po zadnj</w:t>
            </w:r>
            <w:r w:rsidR="007C01BD">
              <w:rPr>
                <w:rFonts w:ascii="Arial" w:eastAsia="Calibri" w:hAnsi="Arial" w:cs="Arial"/>
                <w:sz w:val="20"/>
                <w:szCs w:val="20"/>
              </w:rPr>
              <w:t>ih</w:t>
            </w:r>
            <w:r w:rsidRPr="00D82B93">
              <w:rPr>
                <w:rFonts w:ascii="Arial" w:eastAsia="Calibri" w:hAnsi="Arial" w:cs="Arial"/>
                <w:sz w:val="20"/>
                <w:szCs w:val="20"/>
              </w:rPr>
              <w:t xml:space="preserve"> znanih podatkih v Sloveniji živi nekaj več kot </w:t>
            </w:r>
            <w:r w:rsidR="00280C63" w:rsidRPr="00D82B93">
              <w:rPr>
                <w:rFonts w:ascii="Arial" w:eastAsia="Calibri" w:hAnsi="Arial" w:cs="Arial"/>
                <w:sz w:val="20"/>
                <w:szCs w:val="20"/>
              </w:rPr>
              <w:t>308</w:t>
            </w:r>
            <w:r w:rsidRPr="00D82B93">
              <w:rPr>
                <w:rFonts w:ascii="Arial" w:eastAsia="Calibri" w:hAnsi="Arial" w:cs="Arial"/>
                <w:sz w:val="20"/>
                <w:szCs w:val="20"/>
              </w:rPr>
              <w:t xml:space="preserve">.000 oseb, starih med 15 in 29 let. Delovno aktivnih je bilo </w:t>
            </w:r>
            <w:r w:rsidR="00280C63" w:rsidRPr="00D82B93">
              <w:rPr>
                <w:rFonts w:ascii="Arial" w:eastAsia="Calibri" w:hAnsi="Arial" w:cs="Arial"/>
                <w:sz w:val="20"/>
                <w:szCs w:val="20"/>
              </w:rPr>
              <w:t xml:space="preserve">junija </w:t>
            </w:r>
            <w:r w:rsidR="007C01BD">
              <w:rPr>
                <w:rFonts w:ascii="Arial" w:eastAsia="Calibri" w:hAnsi="Arial" w:cs="Arial"/>
                <w:sz w:val="20"/>
                <w:szCs w:val="20"/>
              </w:rPr>
              <w:t xml:space="preserve">2022 </w:t>
            </w:r>
            <w:r w:rsidR="00280C63" w:rsidRPr="00D82B93">
              <w:rPr>
                <w:rFonts w:ascii="Arial" w:eastAsia="Calibri" w:hAnsi="Arial" w:cs="Arial"/>
                <w:sz w:val="20"/>
                <w:szCs w:val="20"/>
              </w:rPr>
              <w:t>129</w:t>
            </w:r>
            <w:r w:rsidRPr="00D82B93">
              <w:rPr>
                <w:rFonts w:ascii="Arial" w:eastAsia="Calibri" w:hAnsi="Arial" w:cs="Arial"/>
                <w:sz w:val="20"/>
                <w:szCs w:val="20"/>
              </w:rPr>
              <w:t>.</w:t>
            </w:r>
            <w:r w:rsidR="00280C63" w:rsidRPr="00D82B93">
              <w:rPr>
                <w:rFonts w:ascii="Arial" w:eastAsia="Calibri" w:hAnsi="Arial" w:cs="Arial"/>
                <w:sz w:val="20"/>
                <w:szCs w:val="20"/>
              </w:rPr>
              <w:t>556</w:t>
            </w:r>
            <w:r w:rsidRPr="00D82B93">
              <w:rPr>
                <w:rFonts w:ascii="Arial" w:eastAsia="Calibri" w:hAnsi="Arial" w:cs="Arial"/>
                <w:sz w:val="20"/>
                <w:szCs w:val="20"/>
              </w:rPr>
              <w:t xml:space="preserve">. </w:t>
            </w:r>
            <w:r w:rsidR="00280C63" w:rsidRPr="00D82B93">
              <w:rPr>
                <w:rFonts w:ascii="Arial" w:eastAsia="Calibri" w:hAnsi="Arial" w:cs="Arial"/>
                <w:sz w:val="20"/>
                <w:szCs w:val="20"/>
              </w:rPr>
              <w:t>Junija</w:t>
            </w:r>
            <w:r w:rsidRPr="00D82B93">
              <w:rPr>
                <w:rFonts w:ascii="Arial" w:eastAsia="Calibri" w:hAnsi="Arial" w:cs="Arial"/>
                <w:sz w:val="20"/>
                <w:szCs w:val="20"/>
              </w:rPr>
              <w:t xml:space="preserve"> letos je bilo v evidenci Zavoda Republike Slovenije za zaposlovanje prijavljenih </w:t>
            </w:r>
            <w:r w:rsidR="00280C63" w:rsidRPr="00D82B93">
              <w:rPr>
                <w:rFonts w:ascii="Arial" w:eastAsia="Calibri" w:hAnsi="Arial" w:cs="Arial"/>
                <w:sz w:val="20"/>
                <w:szCs w:val="20"/>
              </w:rPr>
              <w:t>9</w:t>
            </w:r>
            <w:r w:rsidRPr="00D82B93">
              <w:rPr>
                <w:rFonts w:ascii="Arial" w:eastAsia="Calibri" w:hAnsi="Arial" w:cs="Arial"/>
                <w:sz w:val="20"/>
                <w:szCs w:val="20"/>
              </w:rPr>
              <w:t>.</w:t>
            </w:r>
            <w:r w:rsidR="00280C63" w:rsidRPr="00D82B93">
              <w:rPr>
                <w:rFonts w:ascii="Arial" w:eastAsia="Calibri" w:hAnsi="Arial" w:cs="Arial"/>
                <w:sz w:val="20"/>
                <w:szCs w:val="20"/>
              </w:rPr>
              <w:t>474</w:t>
            </w:r>
            <w:r w:rsidRPr="00D82B93">
              <w:rPr>
                <w:rFonts w:ascii="Arial" w:eastAsia="Calibri" w:hAnsi="Arial" w:cs="Arial"/>
                <w:sz w:val="20"/>
                <w:szCs w:val="20"/>
              </w:rPr>
              <w:t xml:space="preserve"> mladih brezposelnih v starosti od 15 do 29 let, kar </w:t>
            </w:r>
            <w:r w:rsidR="006F4E34">
              <w:rPr>
                <w:rFonts w:ascii="Arial" w:eastAsia="Calibri" w:hAnsi="Arial" w:cs="Arial"/>
                <w:sz w:val="20"/>
                <w:szCs w:val="20"/>
              </w:rPr>
              <w:t xml:space="preserve">je </w:t>
            </w:r>
            <w:r w:rsidR="00280C63" w:rsidRPr="00D82B93">
              <w:rPr>
                <w:rFonts w:ascii="Arial" w:eastAsia="Calibri" w:hAnsi="Arial" w:cs="Arial"/>
                <w:sz w:val="20"/>
                <w:szCs w:val="20"/>
              </w:rPr>
              <w:t>7,5</w:t>
            </w:r>
            <w:r w:rsidR="006F4E34">
              <w:rPr>
                <w:rFonts w:ascii="Arial" w:eastAsia="Calibri" w:hAnsi="Arial" w:cs="Arial"/>
                <w:sz w:val="20"/>
                <w:szCs w:val="20"/>
              </w:rPr>
              <w:t> </w:t>
            </w:r>
            <w:r w:rsidR="05AD91AB" w:rsidRPr="00D82B93">
              <w:rPr>
                <w:rFonts w:ascii="Arial" w:eastAsia="Calibri" w:hAnsi="Arial" w:cs="Arial"/>
                <w:sz w:val="20"/>
                <w:szCs w:val="20"/>
              </w:rPr>
              <w:t>%</w:t>
            </w:r>
            <w:r w:rsidRPr="00D82B93">
              <w:rPr>
                <w:rFonts w:ascii="Arial" w:eastAsia="Calibri" w:hAnsi="Arial" w:cs="Arial"/>
                <w:sz w:val="20"/>
                <w:szCs w:val="20"/>
              </w:rPr>
              <w:t xml:space="preserve"> aktivne populacije.</w:t>
            </w:r>
          </w:p>
          <w:p w14:paraId="387DDBD6" w14:textId="77777777" w:rsidR="00DD192F" w:rsidRPr="00D82B93" w:rsidRDefault="00DD192F" w:rsidP="000C102C">
            <w:pPr>
              <w:spacing w:after="0" w:line="276" w:lineRule="auto"/>
              <w:contextualSpacing/>
              <w:jc w:val="both"/>
              <w:rPr>
                <w:rFonts w:ascii="Arial" w:eastAsia="Calibri" w:hAnsi="Arial" w:cs="Arial"/>
                <w:sz w:val="20"/>
                <w:szCs w:val="20"/>
              </w:rPr>
            </w:pPr>
          </w:p>
          <w:p w14:paraId="3C36B27B" w14:textId="1834EDEA" w:rsidR="00AC40A1" w:rsidRPr="00D82B93" w:rsidRDefault="00AC40A1" w:rsidP="00AC40A1">
            <w:pPr>
              <w:spacing w:line="276" w:lineRule="auto"/>
              <w:contextualSpacing/>
              <w:jc w:val="both"/>
              <w:rPr>
                <w:rFonts w:ascii="Arial" w:eastAsia="Calibri" w:hAnsi="Arial" w:cs="Arial"/>
                <w:sz w:val="20"/>
                <w:szCs w:val="20"/>
              </w:rPr>
            </w:pPr>
            <w:r w:rsidRPr="00D82B93">
              <w:rPr>
                <w:rFonts w:ascii="Arial" w:eastAsia="Calibri" w:hAnsi="Arial" w:cs="Arial"/>
                <w:sz w:val="20"/>
                <w:szCs w:val="20"/>
              </w:rPr>
              <w:t xml:space="preserve">Podrobnejši pregled podatkov </w:t>
            </w:r>
            <w:r w:rsidR="1BEC6C73" w:rsidRPr="00D82B93">
              <w:rPr>
                <w:rFonts w:ascii="Arial" w:eastAsia="Calibri" w:hAnsi="Arial" w:cs="Arial"/>
                <w:sz w:val="20"/>
                <w:szCs w:val="20"/>
              </w:rPr>
              <w:t>F</w:t>
            </w:r>
            <w:r w:rsidR="00D82B93">
              <w:rPr>
                <w:rFonts w:ascii="Arial" w:eastAsia="Calibri" w:hAnsi="Arial" w:cs="Arial"/>
                <w:sz w:val="20"/>
                <w:szCs w:val="20"/>
              </w:rPr>
              <w:t>inančne uprave Republike Slovenije</w:t>
            </w:r>
            <w:r w:rsidR="1BEC6C73" w:rsidRPr="00D82B93">
              <w:rPr>
                <w:rFonts w:ascii="Arial" w:eastAsia="Calibri" w:hAnsi="Arial" w:cs="Arial"/>
                <w:sz w:val="20"/>
                <w:szCs w:val="20"/>
              </w:rPr>
              <w:t xml:space="preserve"> </w:t>
            </w:r>
            <w:r w:rsidRPr="00D82B93">
              <w:rPr>
                <w:rFonts w:ascii="Arial" w:eastAsia="Calibri" w:hAnsi="Arial" w:cs="Arial"/>
                <w:sz w:val="20"/>
                <w:szCs w:val="20"/>
              </w:rPr>
              <w:t xml:space="preserve">pokaže, da je bilo v odmeri dohodnine za leto 2020 med </w:t>
            </w:r>
            <w:r w:rsidR="00762CF3" w:rsidRPr="00D82B93">
              <w:rPr>
                <w:rFonts w:ascii="Arial" w:eastAsia="Calibri" w:hAnsi="Arial" w:cs="Arial"/>
                <w:sz w:val="20"/>
                <w:szCs w:val="20"/>
              </w:rPr>
              <w:t>vsemi</w:t>
            </w:r>
            <w:r w:rsidRPr="00D82B93">
              <w:rPr>
                <w:rFonts w:ascii="Arial" w:eastAsia="Calibri" w:hAnsi="Arial" w:cs="Arial"/>
                <w:sz w:val="20"/>
                <w:szCs w:val="20"/>
              </w:rPr>
              <w:t xml:space="preserve"> 1.539.685 davčni</w:t>
            </w:r>
            <w:r w:rsidR="00762CF3" w:rsidRPr="00D82B93">
              <w:rPr>
                <w:rFonts w:ascii="Arial" w:eastAsia="Calibri" w:hAnsi="Arial" w:cs="Arial"/>
                <w:sz w:val="20"/>
                <w:szCs w:val="20"/>
              </w:rPr>
              <w:t>mi</w:t>
            </w:r>
            <w:r w:rsidRPr="00D82B93">
              <w:rPr>
                <w:rFonts w:ascii="Arial" w:eastAsia="Calibri" w:hAnsi="Arial" w:cs="Arial"/>
                <w:sz w:val="20"/>
                <w:szCs w:val="20"/>
              </w:rPr>
              <w:t xml:space="preserve"> zavezanc</w:t>
            </w:r>
            <w:r w:rsidR="00762CF3" w:rsidRPr="00D82B93">
              <w:rPr>
                <w:rFonts w:ascii="Arial" w:eastAsia="Calibri" w:hAnsi="Arial" w:cs="Arial"/>
                <w:sz w:val="20"/>
                <w:szCs w:val="20"/>
              </w:rPr>
              <w:t>i 135.770</w:t>
            </w:r>
            <w:r w:rsidRPr="00D82B93">
              <w:rPr>
                <w:rFonts w:ascii="Arial" w:eastAsia="Calibri" w:hAnsi="Arial" w:cs="Arial"/>
                <w:sz w:val="20"/>
                <w:szCs w:val="20"/>
              </w:rPr>
              <w:t xml:space="preserve"> zavezancev</w:t>
            </w:r>
            <w:r w:rsidR="00762CF3" w:rsidRPr="00D82B93">
              <w:rPr>
                <w:rFonts w:ascii="Arial" w:eastAsia="Calibri" w:hAnsi="Arial" w:cs="Arial"/>
                <w:sz w:val="20"/>
                <w:szCs w:val="20"/>
              </w:rPr>
              <w:t xml:space="preserve"> (9</w:t>
            </w:r>
            <w:r w:rsidR="006F4E34">
              <w:rPr>
                <w:rFonts w:ascii="Arial" w:eastAsia="Calibri" w:hAnsi="Arial" w:cs="Arial"/>
                <w:sz w:val="20"/>
                <w:szCs w:val="20"/>
              </w:rPr>
              <w:t> </w:t>
            </w:r>
            <w:r w:rsidR="00762CF3" w:rsidRPr="00D82B93">
              <w:rPr>
                <w:rFonts w:ascii="Arial" w:eastAsia="Calibri" w:hAnsi="Arial" w:cs="Arial"/>
                <w:sz w:val="20"/>
                <w:szCs w:val="20"/>
              </w:rPr>
              <w:t>% vseh)</w:t>
            </w:r>
            <w:r w:rsidRPr="00D82B93">
              <w:rPr>
                <w:rFonts w:ascii="Arial" w:eastAsia="Calibri" w:hAnsi="Arial" w:cs="Arial"/>
                <w:sz w:val="20"/>
                <w:szCs w:val="20"/>
              </w:rPr>
              <w:t xml:space="preserve">, starih do vključno </w:t>
            </w:r>
            <w:r w:rsidR="19276DC5" w:rsidRPr="00D82B93">
              <w:rPr>
                <w:rFonts w:ascii="Arial" w:eastAsia="Calibri" w:hAnsi="Arial" w:cs="Arial"/>
                <w:sz w:val="20"/>
                <w:szCs w:val="20"/>
              </w:rPr>
              <w:t>29</w:t>
            </w:r>
            <w:r w:rsidR="4D558C93" w:rsidRPr="00D82B93">
              <w:rPr>
                <w:rFonts w:ascii="Arial" w:eastAsia="Calibri" w:hAnsi="Arial" w:cs="Arial"/>
                <w:sz w:val="20"/>
                <w:szCs w:val="20"/>
              </w:rPr>
              <w:t>.</w:t>
            </w:r>
            <w:r w:rsidR="006F4E34">
              <w:rPr>
                <w:rFonts w:ascii="Arial" w:eastAsia="Calibri" w:hAnsi="Arial" w:cs="Arial"/>
                <w:sz w:val="20"/>
                <w:szCs w:val="20"/>
              </w:rPr>
              <w:t> </w:t>
            </w:r>
            <w:r w:rsidRPr="00D82B93">
              <w:rPr>
                <w:rFonts w:ascii="Arial" w:eastAsia="Calibri" w:hAnsi="Arial" w:cs="Arial"/>
                <w:sz w:val="20"/>
                <w:szCs w:val="20"/>
              </w:rPr>
              <w:t>leta</w:t>
            </w:r>
            <w:r w:rsidR="19276DC5" w:rsidRPr="00D82B93">
              <w:rPr>
                <w:rFonts w:ascii="Arial" w:eastAsia="Calibri" w:hAnsi="Arial" w:cs="Arial"/>
                <w:sz w:val="20"/>
                <w:szCs w:val="20"/>
              </w:rPr>
              <w:t xml:space="preserve"> in </w:t>
            </w:r>
            <w:r w:rsidR="1BEC6C73" w:rsidRPr="00D82B93">
              <w:rPr>
                <w:rFonts w:ascii="Arial" w:eastAsia="Calibri" w:hAnsi="Arial" w:cs="Arial"/>
                <w:sz w:val="20"/>
                <w:szCs w:val="20"/>
              </w:rPr>
              <w:t>z</w:t>
            </w:r>
            <w:r w:rsidR="19276DC5" w:rsidRPr="00D82B93">
              <w:rPr>
                <w:rFonts w:ascii="Arial" w:eastAsia="Calibri" w:hAnsi="Arial" w:cs="Arial"/>
                <w:sz w:val="20"/>
                <w:szCs w:val="20"/>
              </w:rPr>
              <w:t xml:space="preserve"> dohodkom </w:t>
            </w:r>
            <w:r w:rsidR="007C01BD">
              <w:rPr>
                <w:rFonts w:ascii="Arial" w:eastAsia="Calibri" w:hAnsi="Arial" w:cs="Arial"/>
                <w:sz w:val="20"/>
                <w:szCs w:val="20"/>
              </w:rPr>
              <w:t>iz</w:t>
            </w:r>
            <w:r w:rsidR="19276DC5" w:rsidRPr="00D82B93">
              <w:rPr>
                <w:rFonts w:ascii="Arial" w:eastAsia="Calibri" w:hAnsi="Arial" w:cs="Arial"/>
                <w:sz w:val="20"/>
                <w:szCs w:val="20"/>
              </w:rPr>
              <w:t xml:space="preserve"> </w:t>
            </w:r>
            <w:r w:rsidR="006809AB">
              <w:rPr>
                <w:rFonts w:ascii="Arial" w:eastAsia="Calibri" w:hAnsi="Arial" w:cs="Arial"/>
                <w:sz w:val="20"/>
                <w:szCs w:val="20"/>
              </w:rPr>
              <w:t>delovnega razmerja</w:t>
            </w:r>
            <w:r w:rsidRPr="00D82B93">
              <w:rPr>
                <w:rFonts w:ascii="Arial" w:eastAsia="Calibri" w:hAnsi="Arial" w:cs="Arial"/>
                <w:sz w:val="20"/>
                <w:szCs w:val="20"/>
              </w:rPr>
              <w:t xml:space="preserve">. Dosegli so skupni dohodek v višini </w:t>
            </w:r>
            <w:r w:rsidR="36AB5F4A" w:rsidRPr="00D82B93">
              <w:rPr>
                <w:rFonts w:ascii="Arial" w:eastAsia="Calibri" w:hAnsi="Arial" w:cs="Arial"/>
                <w:sz w:val="20"/>
                <w:szCs w:val="20"/>
              </w:rPr>
              <w:t>1,</w:t>
            </w:r>
            <w:r w:rsidR="7995849C" w:rsidRPr="00D82B93">
              <w:rPr>
                <w:rFonts w:ascii="Arial" w:eastAsia="Calibri" w:hAnsi="Arial" w:cs="Arial"/>
                <w:sz w:val="20"/>
                <w:szCs w:val="20"/>
              </w:rPr>
              <w:t>8 mrd</w:t>
            </w:r>
            <w:r w:rsidR="006F4E34">
              <w:rPr>
                <w:rFonts w:ascii="Arial" w:eastAsia="Calibri" w:hAnsi="Arial" w:cs="Arial"/>
                <w:sz w:val="20"/>
                <w:szCs w:val="20"/>
              </w:rPr>
              <w:t> </w:t>
            </w:r>
            <w:r w:rsidRPr="00D82B93">
              <w:rPr>
                <w:rFonts w:ascii="Arial" w:eastAsia="Calibri" w:hAnsi="Arial" w:cs="Arial"/>
                <w:sz w:val="20"/>
                <w:szCs w:val="20"/>
              </w:rPr>
              <w:t>EUR, kar predstavlja okoli 1</w:t>
            </w:r>
            <w:r w:rsidR="7995849C" w:rsidRPr="00D82B93">
              <w:rPr>
                <w:rFonts w:ascii="Arial" w:eastAsia="Calibri" w:hAnsi="Arial" w:cs="Arial"/>
                <w:sz w:val="20"/>
                <w:szCs w:val="20"/>
              </w:rPr>
              <w:t>3</w:t>
            </w:r>
            <w:r w:rsidRPr="00D82B93">
              <w:rPr>
                <w:rFonts w:ascii="Arial" w:eastAsia="Calibri" w:hAnsi="Arial" w:cs="Arial"/>
                <w:sz w:val="20"/>
                <w:szCs w:val="20"/>
              </w:rPr>
              <w:t>.</w:t>
            </w:r>
            <w:r w:rsidR="7995849C" w:rsidRPr="00D82B93">
              <w:rPr>
                <w:rFonts w:ascii="Arial" w:eastAsia="Calibri" w:hAnsi="Arial" w:cs="Arial"/>
                <w:sz w:val="20"/>
                <w:szCs w:val="20"/>
              </w:rPr>
              <w:t>0</w:t>
            </w:r>
            <w:r w:rsidRPr="00D82B93">
              <w:rPr>
                <w:rFonts w:ascii="Arial" w:eastAsia="Calibri" w:hAnsi="Arial" w:cs="Arial"/>
                <w:sz w:val="20"/>
                <w:szCs w:val="20"/>
              </w:rPr>
              <w:t>00</w:t>
            </w:r>
            <w:r w:rsidR="006F4E34">
              <w:rPr>
                <w:rFonts w:ascii="Arial" w:eastAsia="Calibri" w:hAnsi="Arial" w:cs="Arial"/>
                <w:sz w:val="20"/>
                <w:szCs w:val="20"/>
              </w:rPr>
              <w:t> </w:t>
            </w:r>
            <w:r w:rsidRPr="00D82B93">
              <w:rPr>
                <w:rFonts w:ascii="Arial" w:eastAsia="Calibri" w:hAnsi="Arial" w:cs="Arial"/>
                <w:sz w:val="20"/>
                <w:szCs w:val="20"/>
              </w:rPr>
              <w:t xml:space="preserve">EUR na zavezanca. </w:t>
            </w:r>
            <w:r w:rsidR="7F291091" w:rsidRPr="00D82B93">
              <w:rPr>
                <w:rFonts w:ascii="Arial" w:eastAsia="Calibri" w:hAnsi="Arial" w:cs="Arial"/>
                <w:sz w:val="20"/>
                <w:szCs w:val="20"/>
              </w:rPr>
              <w:t>Približno 100.000 izmed njih je imelo odmerjeno dohodnino višjo od 0</w:t>
            </w:r>
            <w:r w:rsidR="006F4E34">
              <w:rPr>
                <w:rFonts w:ascii="Arial" w:eastAsia="Calibri" w:hAnsi="Arial" w:cs="Arial"/>
                <w:sz w:val="20"/>
                <w:szCs w:val="20"/>
              </w:rPr>
              <w:t> </w:t>
            </w:r>
            <w:r w:rsidR="00D82B93">
              <w:rPr>
                <w:rFonts w:ascii="Arial" w:eastAsia="Calibri" w:hAnsi="Arial" w:cs="Arial"/>
                <w:sz w:val="20"/>
                <w:szCs w:val="20"/>
              </w:rPr>
              <w:t>EUR</w:t>
            </w:r>
            <w:r w:rsidR="3DCF92F5" w:rsidRPr="00D82B93">
              <w:rPr>
                <w:rFonts w:ascii="Arial" w:eastAsia="Calibri" w:hAnsi="Arial" w:cs="Arial"/>
                <w:sz w:val="20"/>
                <w:szCs w:val="20"/>
              </w:rPr>
              <w:t xml:space="preserve">, od tega jih je bilo približno 55.000 </w:t>
            </w:r>
            <w:r w:rsidR="1AD3F57C" w:rsidRPr="00D82B93">
              <w:rPr>
                <w:rFonts w:ascii="Arial" w:eastAsia="Calibri" w:hAnsi="Arial" w:cs="Arial"/>
                <w:sz w:val="20"/>
                <w:szCs w:val="20"/>
              </w:rPr>
              <w:t xml:space="preserve">starih do 26 let. Skupna odmerjena </w:t>
            </w:r>
            <w:r w:rsidR="00A31CAE" w:rsidRPr="00D82B93">
              <w:rPr>
                <w:rFonts w:ascii="Arial" w:eastAsia="Calibri" w:hAnsi="Arial" w:cs="Arial"/>
                <w:sz w:val="20"/>
                <w:szCs w:val="20"/>
              </w:rPr>
              <w:t>dohodnina</w:t>
            </w:r>
            <w:r w:rsidR="1AD3F57C" w:rsidRPr="00D82B93">
              <w:rPr>
                <w:rFonts w:ascii="Arial" w:eastAsia="Calibri" w:hAnsi="Arial" w:cs="Arial"/>
                <w:sz w:val="20"/>
                <w:szCs w:val="20"/>
              </w:rPr>
              <w:t xml:space="preserve"> zavezance</w:t>
            </w:r>
            <w:r w:rsidR="702D0D80" w:rsidRPr="00D82B93">
              <w:rPr>
                <w:rFonts w:ascii="Arial" w:eastAsia="Calibri" w:hAnsi="Arial" w:cs="Arial"/>
                <w:sz w:val="20"/>
                <w:szCs w:val="20"/>
              </w:rPr>
              <w:t xml:space="preserve">m z dohodkom iz </w:t>
            </w:r>
            <w:r w:rsidR="00931FA0">
              <w:rPr>
                <w:rFonts w:ascii="Arial" w:eastAsia="Calibri" w:hAnsi="Arial" w:cs="Arial"/>
                <w:sz w:val="20"/>
                <w:szCs w:val="20"/>
              </w:rPr>
              <w:t>delovnega razmerja</w:t>
            </w:r>
            <w:r w:rsidR="00762CF3" w:rsidRPr="00D82B93">
              <w:rPr>
                <w:rFonts w:ascii="Arial" w:eastAsia="Calibri" w:hAnsi="Arial" w:cs="Arial"/>
                <w:sz w:val="20"/>
                <w:szCs w:val="20"/>
              </w:rPr>
              <w:t>, ki so stari</w:t>
            </w:r>
            <w:r w:rsidR="00B57A8B" w:rsidRPr="00D82B93">
              <w:rPr>
                <w:rFonts w:ascii="Arial" w:eastAsia="Calibri" w:hAnsi="Arial" w:cs="Arial"/>
                <w:sz w:val="20"/>
                <w:szCs w:val="20"/>
              </w:rPr>
              <w:t xml:space="preserve"> </w:t>
            </w:r>
            <w:r w:rsidR="702D0D80" w:rsidRPr="00D82B93">
              <w:rPr>
                <w:rFonts w:ascii="Arial" w:eastAsia="Calibri" w:hAnsi="Arial" w:cs="Arial"/>
                <w:sz w:val="20"/>
                <w:szCs w:val="20"/>
              </w:rPr>
              <w:t>do 29. let</w:t>
            </w:r>
            <w:r w:rsidR="00762CF3" w:rsidRPr="00D82B93">
              <w:rPr>
                <w:rFonts w:ascii="Arial" w:eastAsia="Calibri" w:hAnsi="Arial" w:cs="Arial"/>
                <w:sz w:val="20"/>
                <w:szCs w:val="20"/>
              </w:rPr>
              <w:t>,</w:t>
            </w:r>
            <w:r w:rsidR="702D0D80" w:rsidRPr="00D82B93">
              <w:rPr>
                <w:rFonts w:ascii="Arial" w:eastAsia="Calibri" w:hAnsi="Arial" w:cs="Arial"/>
                <w:sz w:val="20"/>
                <w:szCs w:val="20"/>
              </w:rPr>
              <w:t xml:space="preserve"> je </w:t>
            </w:r>
            <w:r w:rsidR="15A4E1C7" w:rsidRPr="00D82B93">
              <w:rPr>
                <w:rFonts w:ascii="Arial" w:eastAsia="Calibri" w:hAnsi="Arial" w:cs="Arial"/>
                <w:sz w:val="20"/>
                <w:szCs w:val="20"/>
              </w:rPr>
              <w:t>znašala 151 mio</w:t>
            </w:r>
            <w:r w:rsidR="006F4E34">
              <w:rPr>
                <w:rFonts w:ascii="Arial" w:eastAsia="Calibri" w:hAnsi="Arial" w:cs="Arial"/>
                <w:sz w:val="20"/>
                <w:szCs w:val="20"/>
              </w:rPr>
              <w:t> </w:t>
            </w:r>
            <w:r w:rsidR="00736359">
              <w:rPr>
                <w:rFonts w:ascii="Arial" w:eastAsia="Calibri" w:hAnsi="Arial" w:cs="Arial"/>
                <w:sz w:val="20"/>
                <w:szCs w:val="20"/>
              </w:rPr>
              <w:t>EUR</w:t>
            </w:r>
            <w:r w:rsidR="0AF2DA99" w:rsidRPr="00D82B93">
              <w:rPr>
                <w:rFonts w:ascii="Arial" w:eastAsia="Calibri" w:hAnsi="Arial" w:cs="Arial"/>
                <w:sz w:val="20"/>
                <w:szCs w:val="20"/>
              </w:rPr>
              <w:t xml:space="preserve"> oz</w:t>
            </w:r>
            <w:r w:rsidR="00D82B93">
              <w:rPr>
                <w:rFonts w:ascii="Arial" w:eastAsia="Calibri" w:hAnsi="Arial" w:cs="Arial"/>
                <w:sz w:val="20"/>
                <w:szCs w:val="20"/>
              </w:rPr>
              <w:t>iroma</w:t>
            </w:r>
            <w:r w:rsidR="0AF2DA99" w:rsidRPr="00D82B93">
              <w:rPr>
                <w:rFonts w:ascii="Arial" w:eastAsia="Calibri" w:hAnsi="Arial" w:cs="Arial"/>
                <w:sz w:val="20"/>
                <w:szCs w:val="20"/>
              </w:rPr>
              <w:t xml:space="preserve"> </w:t>
            </w:r>
            <w:r w:rsidR="6D0B6CF2" w:rsidRPr="00D82B93">
              <w:rPr>
                <w:rFonts w:ascii="Arial" w:eastAsia="Calibri" w:hAnsi="Arial" w:cs="Arial"/>
                <w:sz w:val="20"/>
                <w:szCs w:val="20"/>
              </w:rPr>
              <w:t xml:space="preserve">v povprečju </w:t>
            </w:r>
            <w:r w:rsidR="596C6436" w:rsidRPr="00D82B93">
              <w:rPr>
                <w:rFonts w:ascii="Arial" w:eastAsia="Calibri" w:hAnsi="Arial" w:cs="Arial"/>
                <w:sz w:val="20"/>
                <w:szCs w:val="20"/>
              </w:rPr>
              <w:t>približno</w:t>
            </w:r>
            <w:r w:rsidR="6D0B6CF2" w:rsidRPr="00D82B93">
              <w:rPr>
                <w:rFonts w:ascii="Arial" w:eastAsia="Calibri" w:hAnsi="Arial" w:cs="Arial"/>
                <w:sz w:val="20"/>
                <w:szCs w:val="20"/>
              </w:rPr>
              <w:t xml:space="preserve"> 1.</w:t>
            </w:r>
            <w:r w:rsidR="596C6436" w:rsidRPr="00D82B93">
              <w:rPr>
                <w:rFonts w:ascii="Arial" w:eastAsia="Calibri" w:hAnsi="Arial" w:cs="Arial"/>
                <w:sz w:val="20"/>
                <w:szCs w:val="20"/>
              </w:rPr>
              <w:t>500</w:t>
            </w:r>
            <w:r w:rsidR="006F4E34">
              <w:rPr>
                <w:rFonts w:ascii="Arial" w:eastAsia="Calibri" w:hAnsi="Arial" w:cs="Arial"/>
                <w:sz w:val="20"/>
                <w:szCs w:val="20"/>
              </w:rPr>
              <w:t> EUR</w:t>
            </w:r>
            <w:r w:rsidR="596C6436" w:rsidRPr="00D82B93">
              <w:rPr>
                <w:rFonts w:ascii="Arial" w:eastAsia="Calibri" w:hAnsi="Arial" w:cs="Arial"/>
                <w:sz w:val="20"/>
                <w:szCs w:val="20"/>
              </w:rPr>
              <w:t xml:space="preserve"> na zavezanc</w:t>
            </w:r>
            <w:r w:rsidR="60E068FF" w:rsidRPr="00D82B93">
              <w:rPr>
                <w:rFonts w:ascii="Arial" w:eastAsia="Calibri" w:hAnsi="Arial" w:cs="Arial"/>
                <w:sz w:val="20"/>
                <w:szCs w:val="20"/>
              </w:rPr>
              <w:t>a</w:t>
            </w:r>
            <w:r w:rsidR="596C6436" w:rsidRPr="00D82B93">
              <w:rPr>
                <w:rFonts w:ascii="Arial" w:eastAsia="Calibri" w:hAnsi="Arial" w:cs="Arial"/>
                <w:sz w:val="20"/>
                <w:szCs w:val="20"/>
              </w:rPr>
              <w:t>, ki je imel do</w:t>
            </w:r>
            <w:r w:rsidR="11827BAE" w:rsidRPr="00D82B93">
              <w:rPr>
                <w:rFonts w:ascii="Arial" w:eastAsia="Calibri" w:hAnsi="Arial" w:cs="Arial"/>
                <w:sz w:val="20"/>
                <w:szCs w:val="20"/>
              </w:rPr>
              <w:t>hodnino višjo od nič</w:t>
            </w:r>
            <w:r w:rsidR="15A4E1C7" w:rsidRPr="00D82B93">
              <w:rPr>
                <w:rFonts w:ascii="Arial" w:eastAsia="Calibri" w:hAnsi="Arial" w:cs="Arial"/>
                <w:sz w:val="20"/>
                <w:szCs w:val="20"/>
              </w:rPr>
              <w:t xml:space="preserve">.  </w:t>
            </w:r>
          </w:p>
          <w:p w14:paraId="3D7C807C" w14:textId="35BC4C85" w:rsidR="00AC40A1" w:rsidRPr="000C102C" w:rsidRDefault="00AC40A1" w:rsidP="000C102C">
            <w:pPr>
              <w:spacing w:line="276" w:lineRule="auto"/>
              <w:contextualSpacing/>
              <w:jc w:val="both"/>
              <w:rPr>
                <w:rFonts w:ascii="Arial" w:eastAsia="Calibri" w:hAnsi="Arial" w:cs="Arial"/>
                <w:sz w:val="20"/>
                <w:szCs w:val="20"/>
              </w:rPr>
            </w:pPr>
          </w:p>
          <w:p w14:paraId="78E7F828" w14:textId="173B7E70" w:rsidR="00AC40A1" w:rsidRDefault="00E026DE" w:rsidP="00E026DE">
            <w:pPr>
              <w:suppressAutoHyphens/>
              <w:spacing w:line="276" w:lineRule="auto"/>
              <w:contextualSpacing/>
              <w:jc w:val="both"/>
              <w:rPr>
                <w:rFonts w:ascii="Arial" w:hAnsi="Arial" w:cs="Arial"/>
                <w:sz w:val="20"/>
                <w:szCs w:val="20"/>
              </w:rPr>
            </w:pPr>
            <w:r w:rsidRPr="00E026DE">
              <w:rPr>
                <w:rFonts w:ascii="Arial" w:eastAsia="Times New Roman" w:hAnsi="Arial" w:cs="Arial"/>
                <w:sz w:val="20"/>
                <w:szCs w:val="20"/>
              </w:rPr>
              <w:t>-</w:t>
            </w:r>
            <w:r>
              <w:rPr>
                <w:rFonts w:ascii="Arial" w:hAnsi="Arial" w:cs="Arial"/>
                <w:sz w:val="20"/>
                <w:szCs w:val="20"/>
              </w:rPr>
              <w:t xml:space="preserve"> </w:t>
            </w:r>
            <w:r w:rsidR="005626A7" w:rsidRPr="00E026DE">
              <w:rPr>
                <w:rFonts w:ascii="Arial" w:hAnsi="Arial" w:cs="Arial"/>
                <w:sz w:val="20"/>
                <w:szCs w:val="20"/>
              </w:rPr>
              <w:t>Način usklajevanja olajšav in znesk</w:t>
            </w:r>
            <w:r w:rsidR="00CD6F52">
              <w:rPr>
                <w:rFonts w:ascii="Arial" w:hAnsi="Arial" w:cs="Arial"/>
                <w:sz w:val="20"/>
                <w:szCs w:val="20"/>
              </w:rPr>
              <w:t>ov</w:t>
            </w:r>
            <w:r w:rsidR="005626A7" w:rsidRPr="00E026DE">
              <w:rPr>
                <w:rFonts w:ascii="Arial" w:hAnsi="Arial" w:cs="Arial"/>
                <w:sz w:val="20"/>
                <w:szCs w:val="20"/>
              </w:rPr>
              <w:t xml:space="preserve"> neto letnih davčnih osnov</w:t>
            </w:r>
          </w:p>
          <w:p w14:paraId="65CEBA4E" w14:textId="4197DA7D" w:rsidR="005626A7" w:rsidRPr="00660919" w:rsidRDefault="00AC40A1" w:rsidP="00E026DE">
            <w:pPr>
              <w:suppressAutoHyphens/>
              <w:spacing w:line="276" w:lineRule="auto"/>
              <w:contextualSpacing/>
              <w:jc w:val="both"/>
              <w:rPr>
                <w:rFonts w:ascii="Arial" w:hAnsi="Arial"/>
                <w:sz w:val="20"/>
                <w:szCs w:val="20"/>
              </w:rPr>
            </w:pPr>
            <w:r w:rsidRPr="00E026DE">
              <w:rPr>
                <w:rFonts w:ascii="Arial" w:hAnsi="Arial" w:cs="Arial"/>
                <w:sz w:val="20"/>
                <w:szCs w:val="20"/>
              </w:rPr>
              <w:t>Način usklajevanja olajšav in znesk</w:t>
            </w:r>
            <w:r w:rsidR="00CD6F52">
              <w:rPr>
                <w:rFonts w:ascii="Arial" w:hAnsi="Arial" w:cs="Arial"/>
                <w:sz w:val="20"/>
                <w:szCs w:val="20"/>
              </w:rPr>
              <w:t>ov</w:t>
            </w:r>
            <w:r w:rsidRPr="00E026DE">
              <w:rPr>
                <w:rFonts w:ascii="Arial" w:hAnsi="Arial" w:cs="Arial"/>
                <w:sz w:val="20"/>
                <w:szCs w:val="20"/>
              </w:rPr>
              <w:t xml:space="preserve"> neto letnih davčnih osnov</w:t>
            </w:r>
            <w:r w:rsidR="005626A7" w:rsidRPr="00E026DE">
              <w:rPr>
                <w:rFonts w:ascii="Arial" w:hAnsi="Arial" w:cs="Arial"/>
                <w:sz w:val="20"/>
                <w:szCs w:val="20"/>
              </w:rPr>
              <w:t xml:space="preserve"> v lestvici za odmero dohodnine od davčnega leta 2014 do 2021</w:t>
            </w:r>
            <w:r w:rsidR="005626A7" w:rsidRPr="009305AB">
              <w:rPr>
                <w:rFonts w:ascii="Arial" w:hAnsi="Arial"/>
                <w:sz w:val="20"/>
                <w:szCs w:val="20"/>
              </w:rPr>
              <w:t xml:space="preserve"> ni bil avtomatičen samo glede na eno merilo, temveč se je poleg merila rasti cen življenjskih potrebščin lahko upoštevala tudi gospodarska politika vlade, kar se je obravnavalo ob vsakoletnem sprejemanju zakona o izvrševanju proračuna. Uskladitev je bila </w:t>
            </w:r>
            <w:r w:rsidR="005626A7" w:rsidRPr="00660919">
              <w:rPr>
                <w:rFonts w:ascii="Arial" w:hAnsi="Arial"/>
                <w:sz w:val="20"/>
                <w:szCs w:val="20"/>
              </w:rPr>
              <w:t xml:space="preserve">določena kot obvezna, če je koeficient cen življenjskih potrebščin v Sloveniji za avgust tekočega leta v primerjavi z avgustom prejšnjega leta po podatkih Statističnega urada Republike Slovenije presegel 1,03. </w:t>
            </w:r>
            <w:r w:rsidR="005626A7" w:rsidRPr="00C51FED">
              <w:rPr>
                <w:rFonts w:ascii="Arial" w:eastAsia="Calibri" w:hAnsi="Arial"/>
                <w:sz w:val="20"/>
                <w:szCs w:val="20"/>
              </w:rPr>
              <w:t xml:space="preserve">Možnost usklajevanja je bila tako prenesena v okvir vsakoletnega sprejemanja zakona, ki ureja izvrševanje proračuna. </w:t>
            </w:r>
            <w:r w:rsidR="005626A7" w:rsidRPr="00C51FED">
              <w:rPr>
                <w:rFonts w:ascii="Arial" w:hAnsi="Arial"/>
                <w:sz w:val="20"/>
                <w:szCs w:val="20"/>
              </w:rPr>
              <w:t xml:space="preserve">Na podlagi te ureditve uskladitev ni bila opravljena, je pa bila z Zakonom o dopolnitvi Zakona za uravnoteženje javnih financ iz leta 2015 (za davčni leti 2016 in 2017), z </w:t>
            </w:r>
            <w:r w:rsidR="00D6601A" w:rsidRPr="009305AB">
              <w:rPr>
                <w:rFonts w:ascii="Arial" w:hAnsi="Arial"/>
                <w:sz w:val="20"/>
                <w:szCs w:val="20"/>
              </w:rPr>
              <w:t>Z</w:t>
            </w:r>
            <w:r w:rsidR="005626A7" w:rsidRPr="00A5639C">
              <w:rPr>
                <w:rFonts w:ascii="Arial" w:hAnsi="Arial"/>
                <w:sz w:val="20"/>
                <w:szCs w:val="20"/>
              </w:rPr>
              <w:t>akonom o spremembah in dopolnitvah ZDoh-2 iz leta 2016 (od davčnega leta 2017 napre</w:t>
            </w:r>
            <w:r w:rsidR="005626A7" w:rsidRPr="00660919">
              <w:rPr>
                <w:rFonts w:ascii="Arial" w:hAnsi="Arial"/>
                <w:sz w:val="20"/>
                <w:szCs w:val="20"/>
              </w:rPr>
              <w:t xml:space="preserve">j) </w:t>
            </w:r>
            <w:r w:rsidR="006F4E34">
              <w:rPr>
                <w:rFonts w:ascii="Arial" w:hAnsi="Arial"/>
                <w:sz w:val="20"/>
                <w:szCs w:val="20"/>
              </w:rPr>
              <w:t>ter</w:t>
            </w:r>
            <w:r w:rsidR="005626A7" w:rsidRPr="00660919">
              <w:rPr>
                <w:rFonts w:ascii="Arial" w:hAnsi="Arial"/>
                <w:sz w:val="20"/>
                <w:szCs w:val="20"/>
              </w:rPr>
              <w:t xml:space="preserve"> z </w:t>
            </w:r>
            <w:r w:rsidR="00D6601A" w:rsidRPr="009305AB">
              <w:rPr>
                <w:rFonts w:ascii="Arial" w:hAnsi="Arial"/>
                <w:sz w:val="20"/>
                <w:szCs w:val="20"/>
              </w:rPr>
              <w:t>Z</w:t>
            </w:r>
            <w:r w:rsidR="005626A7" w:rsidRPr="00A5639C">
              <w:rPr>
                <w:rFonts w:ascii="Arial" w:hAnsi="Arial"/>
                <w:sz w:val="20"/>
                <w:szCs w:val="20"/>
              </w:rPr>
              <w:t xml:space="preserve">akonom o spremembah in dopolnitvah ZDoh-2 iz leta 2019 (od davčnega leta 2020) spremenjena lestvica za odmero dohodnine. </w:t>
            </w:r>
          </w:p>
          <w:p w14:paraId="46CE2817" w14:textId="77777777" w:rsidR="005626A7" w:rsidRPr="004513FD" w:rsidRDefault="005626A7" w:rsidP="005626A7">
            <w:pPr>
              <w:suppressAutoHyphens/>
              <w:spacing w:after="0" w:line="276" w:lineRule="auto"/>
              <w:contextualSpacing/>
              <w:jc w:val="both"/>
              <w:rPr>
                <w:rFonts w:ascii="Arial" w:eastAsia="Times New Roman" w:hAnsi="Arial" w:cs="Times New Roman"/>
                <w:bCs/>
                <w:sz w:val="20"/>
                <w:szCs w:val="20"/>
              </w:rPr>
            </w:pPr>
          </w:p>
          <w:p w14:paraId="51F984A9" w14:textId="2C5B01E4" w:rsidR="005626A7" w:rsidRDefault="005626A7" w:rsidP="005626A7">
            <w:pPr>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 xml:space="preserve">Z ZDoh-2Z je bilo </w:t>
            </w:r>
            <w:r w:rsidRPr="004513FD">
              <w:rPr>
                <w:rFonts w:ascii="Arial" w:eastAsia="Times New Roman" w:hAnsi="Arial" w:cs="Arial"/>
                <w:sz w:val="20"/>
                <w:szCs w:val="20"/>
              </w:rPr>
              <w:t>ponovn</w:t>
            </w:r>
            <w:r>
              <w:rPr>
                <w:rFonts w:ascii="Arial" w:eastAsia="Times New Roman" w:hAnsi="Arial" w:cs="Arial"/>
                <w:sz w:val="20"/>
                <w:szCs w:val="20"/>
              </w:rPr>
              <w:t>o</w:t>
            </w:r>
            <w:r w:rsidRPr="004513FD">
              <w:rPr>
                <w:rFonts w:ascii="Arial" w:eastAsia="Times New Roman" w:hAnsi="Arial" w:cs="Arial"/>
                <w:sz w:val="20"/>
                <w:szCs w:val="20"/>
              </w:rPr>
              <w:t xml:space="preserve"> uved</w:t>
            </w:r>
            <w:r>
              <w:rPr>
                <w:rFonts w:ascii="Arial" w:eastAsia="Times New Roman" w:hAnsi="Arial" w:cs="Arial"/>
                <w:sz w:val="20"/>
                <w:szCs w:val="20"/>
              </w:rPr>
              <w:t>eno</w:t>
            </w:r>
            <w:r w:rsidRPr="004513FD">
              <w:rPr>
                <w:rFonts w:ascii="Arial" w:eastAsia="Times New Roman" w:hAnsi="Arial" w:cs="Arial"/>
                <w:sz w:val="20"/>
                <w:szCs w:val="20"/>
              </w:rPr>
              <w:t xml:space="preserve"> avtomatsk</w:t>
            </w:r>
            <w:r>
              <w:rPr>
                <w:rFonts w:ascii="Arial" w:eastAsia="Times New Roman" w:hAnsi="Arial" w:cs="Arial"/>
                <w:sz w:val="20"/>
                <w:szCs w:val="20"/>
              </w:rPr>
              <w:t>o</w:t>
            </w:r>
            <w:r w:rsidRPr="004513FD">
              <w:rPr>
                <w:rFonts w:ascii="Arial" w:eastAsia="Times New Roman" w:hAnsi="Arial" w:cs="Arial"/>
                <w:sz w:val="20"/>
                <w:szCs w:val="20"/>
              </w:rPr>
              <w:t xml:space="preserve"> usklajevanj</w:t>
            </w:r>
            <w:r>
              <w:rPr>
                <w:rFonts w:ascii="Arial" w:eastAsia="Times New Roman" w:hAnsi="Arial" w:cs="Arial"/>
                <w:sz w:val="20"/>
                <w:szCs w:val="20"/>
              </w:rPr>
              <w:t>e</w:t>
            </w:r>
            <w:r w:rsidRPr="004513FD">
              <w:rPr>
                <w:rFonts w:ascii="Arial" w:eastAsia="Times New Roman" w:hAnsi="Arial" w:cs="Arial"/>
                <w:sz w:val="20"/>
                <w:szCs w:val="20"/>
              </w:rPr>
              <w:t xml:space="preserve"> zneskov olajšav in neto letnih davčnih osnov na podlagi enega merila – koeficienta rasti cen življenjskih potrebščin</w:t>
            </w:r>
            <w:r>
              <w:rPr>
                <w:rFonts w:ascii="Arial" w:eastAsia="Times New Roman" w:hAnsi="Arial" w:cs="Arial"/>
                <w:sz w:val="20"/>
                <w:szCs w:val="20"/>
              </w:rPr>
              <w:t>, ki se</w:t>
            </w:r>
            <w:r w:rsidRPr="004513FD">
              <w:rPr>
                <w:rFonts w:ascii="Arial" w:eastAsia="Times New Roman" w:hAnsi="Arial" w:cs="Arial"/>
                <w:sz w:val="20"/>
                <w:szCs w:val="20"/>
              </w:rPr>
              <w:t xml:space="preserve"> uporabi le v primeru, </w:t>
            </w:r>
            <w:r>
              <w:rPr>
                <w:rFonts w:ascii="Arial" w:eastAsia="Times New Roman" w:hAnsi="Arial" w:cs="Arial"/>
                <w:sz w:val="20"/>
                <w:szCs w:val="20"/>
              </w:rPr>
              <w:t>če</w:t>
            </w:r>
            <w:r w:rsidRPr="004513FD">
              <w:rPr>
                <w:rFonts w:ascii="Arial" w:eastAsia="Times New Roman" w:hAnsi="Arial" w:cs="Arial"/>
                <w:sz w:val="20"/>
                <w:szCs w:val="20"/>
              </w:rPr>
              <w:t xml:space="preserve"> je koeficient rasti cen pozitiven. </w:t>
            </w:r>
            <w:r w:rsidR="004C510B">
              <w:rPr>
                <w:rFonts w:ascii="Arial" w:eastAsia="Times New Roman" w:hAnsi="Arial" w:cs="Arial"/>
                <w:sz w:val="20"/>
                <w:szCs w:val="20"/>
              </w:rPr>
              <w:t>Prva uskladitev je bila opravljena že za davčno leto 2022.</w:t>
            </w:r>
          </w:p>
          <w:p w14:paraId="38D226A2" w14:textId="6864EC84" w:rsidR="005626A7" w:rsidRDefault="005626A7" w:rsidP="005626A7">
            <w:pPr>
              <w:spacing w:after="0" w:line="276" w:lineRule="auto"/>
              <w:contextualSpacing/>
              <w:jc w:val="both"/>
              <w:rPr>
                <w:rFonts w:ascii="Arial" w:eastAsia="Times New Roman" w:hAnsi="Arial" w:cs="Arial"/>
                <w:sz w:val="20"/>
                <w:szCs w:val="20"/>
              </w:rPr>
            </w:pPr>
          </w:p>
          <w:p w14:paraId="53B1D5D3" w14:textId="418A774C" w:rsidR="005626A7" w:rsidRPr="004513FD" w:rsidRDefault="005626A7" w:rsidP="005626A7">
            <w:pPr>
              <w:spacing w:after="0" w:line="276" w:lineRule="auto"/>
              <w:contextualSpacing/>
              <w:jc w:val="both"/>
              <w:rPr>
                <w:rFonts w:ascii="Arial" w:eastAsia="Times New Roman" w:hAnsi="Arial" w:cs="Arial"/>
                <w:sz w:val="20"/>
                <w:szCs w:val="20"/>
              </w:rPr>
            </w:pPr>
            <w:r>
              <w:rPr>
                <w:rFonts w:ascii="Arial" w:eastAsia="Calibri" w:hAnsi="Arial" w:cs="Arial"/>
                <w:sz w:val="20"/>
                <w:szCs w:val="20"/>
              </w:rPr>
              <w:t xml:space="preserve">Predlaga se, da se usklajevanje višin zneskov olajšav in neto letnih davčnih osnov zaradi </w:t>
            </w:r>
            <w:r w:rsidR="00272319">
              <w:rPr>
                <w:rFonts w:ascii="Arial" w:eastAsia="Calibri" w:hAnsi="Arial" w:cs="Arial"/>
                <w:sz w:val="20"/>
                <w:szCs w:val="20"/>
              </w:rPr>
              <w:t xml:space="preserve"> zasledovanja </w:t>
            </w:r>
            <w:r w:rsidR="00E33429">
              <w:rPr>
                <w:rFonts w:ascii="Arial" w:eastAsia="Calibri" w:hAnsi="Arial" w:cs="Arial"/>
                <w:sz w:val="20"/>
                <w:szCs w:val="20"/>
              </w:rPr>
              <w:t xml:space="preserve">javnofinančne stabilnosti </w:t>
            </w:r>
            <w:r>
              <w:rPr>
                <w:rFonts w:ascii="Arial" w:eastAsia="Calibri" w:hAnsi="Arial" w:cs="Arial"/>
                <w:sz w:val="20"/>
                <w:szCs w:val="20"/>
              </w:rPr>
              <w:t>uredi na način</w:t>
            </w:r>
            <w:r w:rsidR="00522DEF">
              <w:rPr>
                <w:rFonts w:ascii="Arial" w:eastAsia="Calibri" w:hAnsi="Arial" w:cs="Arial"/>
                <w:sz w:val="20"/>
                <w:szCs w:val="20"/>
              </w:rPr>
              <w:t>,</w:t>
            </w:r>
            <w:r>
              <w:rPr>
                <w:rFonts w:ascii="Arial" w:eastAsia="Calibri" w:hAnsi="Arial" w:cs="Arial"/>
                <w:sz w:val="20"/>
                <w:szCs w:val="20"/>
              </w:rPr>
              <w:t xml:space="preserve"> </w:t>
            </w:r>
            <w:r w:rsidR="0006031A">
              <w:rPr>
                <w:rFonts w:ascii="Arial" w:eastAsia="Calibri" w:hAnsi="Arial" w:cs="Arial"/>
                <w:sz w:val="20"/>
                <w:szCs w:val="20"/>
              </w:rPr>
              <w:t xml:space="preserve">ki upošteva </w:t>
            </w:r>
            <w:r w:rsidR="00EB3AF5">
              <w:rPr>
                <w:rFonts w:ascii="Arial" w:eastAsia="Calibri" w:hAnsi="Arial" w:cs="Arial"/>
                <w:sz w:val="20"/>
                <w:szCs w:val="20"/>
              </w:rPr>
              <w:t xml:space="preserve">tudi </w:t>
            </w:r>
            <w:r w:rsidR="00FE3BD1">
              <w:rPr>
                <w:rFonts w:ascii="Arial" w:eastAsia="Calibri" w:hAnsi="Arial" w:cs="Arial"/>
                <w:sz w:val="20"/>
                <w:szCs w:val="20"/>
              </w:rPr>
              <w:t>cilje ekonomske politike vlade v okviru vsakokratnih družbenoekonomskih razmer in javnofinančnih razmer</w:t>
            </w:r>
            <w:r w:rsidR="0006031A">
              <w:rPr>
                <w:rFonts w:ascii="Arial" w:eastAsia="Calibri" w:hAnsi="Arial" w:cs="Arial"/>
                <w:sz w:val="20"/>
                <w:szCs w:val="20"/>
              </w:rPr>
              <w:t xml:space="preserve"> ob posvetovanju s socialnimi partnerji.</w:t>
            </w:r>
          </w:p>
          <w:p w14:paraId="065E4647" w14:textId="77777777" w:rsidR="005626A7" w:rsidRPr="004513FD" w:rsidRDefault="005626A7" w:rsidP="00EC69CC">
            <w:pPr>
              <w:spacing w:after="0" w:line="276" w:lineRule="auto"/>
              <w:contextualSpacing/>
              <w:jc w:val="both"/>
              <w:rPr>
                <w:rFonts w:ascii="Arial" w:eastAsia="Calibri" w:hAnsi="Arial" w:cs="Arial"/>
                <w:sz w:val="20"/>
                <w:szCs w:val="20"/>
              </w:rPr>
            </w:pPr>
          </w:p>
          <w:p w14:paraId="51070BDC" w14:textId="2DC133EB" w:rsidR="00AC40A1" w:rsidRDefault="00AC40A1" w:rsidP="00AC40A1">
            <w:pPr>
              <w:spacing w:line="276" w:lineRule="auto"/>
              <w:contextualSpacing/>
              <w:jc w:val="both"/>
              <w:rPr>
                <w:rFonts w:ascii="Arial" w:eastAsia="Calibri" w:hAnsi="Arial" w:cs="Arial"/>
                <w:sz w:val="20"/>
                <w:szCs w:val="20"/>
              </w:rPr>
            </w:pPr>
            <w:r w:rsidRPr="00AC40A1">
              <w:rPr>
                <w:rFonts w:ascii="Arial" w:eastAsia="Calibri" w:hAnsi="Arial" w:cs="Arial"/>
                <w:sz w:val="20"/>
                <w:szCs w:val="20"/>
              </w:rPr>
              <w:t>-</w:t>
            </w:r>
            <w:r>
              <w:rPr>
                <w:rFonts w:ascii="Arial" w:eastAsia="Calibri" w:hAnsi="Arial" w:cs="Arial"/>
                <w:sz w:val="20"/>
                <w:szCs w:val="20"/>
              </w:rPr>
              <w:t xml:space="preserve"> Dvig stopnje v zadnjem (petem) dohodninskem razredu</w:t>
            </w:r>
          </w:p>
          <w:p w14:paraId="67F1796A" w14:textId="422F066F" w:rsidR="00AC40A1" w:rsidRPr="00702C00" w:rsidRDefault="00AC40A1" w:rsidP="00702C00">
            <w:pPr>
              <w:spacing w:line="276" w:lineRule="auto"/>
              <w:contextualSpacing/>
              <w:jc w:val="both"/>
              <w:rPr>
                <w:rFonts w:ascii="Arial" w:eastAsia="Calibri" w:hAnsi="Arial" w:cs="Arial"/>
                <w:sz w:val="20"/>
                <w:szCs w:val="20"/>
              </w:rPr>
            </w:pPr>
            <w:r>
              <w:rPr>
                <w:rFonts w:ascii="Arial" w:eastAsia="Calibri" w:hAnsi="Arial" w:cs="Arial"/>
                <w:sz w:val="20"/>
                <w:szCs w:val="20"/>
              </w:rPr>
              <w:t>Z davčnim letom 2022 davčna stopnja v zadnjem, petem dohodninskem razredu znaša 45</w:t>
            </w:r>
            <w:r w:rsidR="006F4E34">
              <w:rPr>
                <w:rFonts w:ascii="Arial" w:eastAsia="Calibri" w:hAnsi="Arial" w:cs="Arial"/>
                <w:sz w:val="20"/>
                <w:szCs w:val="20"/>
              </w:rPr>
              <w:t> </w:t>
            </w:r>
            <w:r>
              <w:rPr>
                <w:rFonts w:ascii="Arial" w:eastAsia="Calibri" w:hAnsi="Arial" w:cs="Arial"/>
                <w:sz w:val="20"/>
                <w:szCs w:val="20"/>
              </w:rPr>
              <w:t>%. Pred tem je bila davčna stopnja v zadnjem dohodninskem razredu od davčnega leta 2013 dalje 50</w:t>
            </w:r>
            <w:r w:rsidR="006F4E34">
              <w:rPr>
                <w:rFonts w:ascii="Arial" w:eastAsia="Calibri" w:hAnsi="Arial" w:cs="Arial"/>
                <w:sz w:val="20"/>
                <w:szCs w:val="20"/>
              </w:rPr>
              <w:t> </w:t>
            </w:r>
            <w:r>
              <w:rPr>
                <w:rFonts w:ascii="Arial" w:eastAsia="Calibri" w:hAnsi="Arial" w:cs="Arial"/>
                <w:sz w:val="20"/>
                <w:szCs w:val="20"/>
              </w:rPr>
              <w:t>%.</w:t>
            </w:r>
          </w:p>
          <w:p w14:paraId="713420F2" w14:textId="77E0E935" w:rsidR="00CD6F52" w:rsidRDefault="00CD6F52" w:rsidP="00702C00">
            <w:pPr>
              <w:spacing w:line="276" w:lineRule="auto"/>
              <w:contextualSpacing/>
              <w:jc w:val="both"/>
              <w:rPr>
                <w:rFonts w:ascii="Arial" w:eastAsia="Calibri" w:hAnsi="Arial" w:cs="Arial"/>
                <w:sz w:val="20"/>
                <w:szCs w:val="20"/>
              </w:rPr>
            </w:pPr>
          </w:p>
          <w:p w14:paraId="4110C7CB" w14:textId="7ED7E75B" w:rsidR="00122C98" w:rsidRDefault="00931FA0" w:rsidP="00702C00">
            <w:pPr>
              <w:spacing w:line="276" w:lineRule="auto"/>
              <w:contextualSpacing/>
              <w:jc w:val="both"/>
              <w:rPr>
                <w:rFonts w:ascii="Arial" w:eastAsia="Calibri" w:hAnsi="Arial" w:cs="Arial"/>
                <w:sz w:val="20"/>
                <w:szCs w:val="20"/>
              </w:rPr>
            </w:pPr>
            <w:r>
              <w:rPr>
                <w:rFonts w:ascii="Arial" w:eastAsia="Calibri" w:hAnsi="Arial" w:cs="Arial"/>
                <w:sz w:val="20"/>
                <w:szCs w:val="20"/>
              </w:rPr>
              <w:t xml:space="preserve">Po podatkih odmere dohodnine za leto 2020 je bilo v zadnjem, petem davčnem razredu </w:t>
            </w:r>
            <w:r w:rsidR="00122C98">
              <w:rPr>
                <w:rFonts w:ascii="Arial" w:eastAsia="Calibri" w:hAnsi="Arial" w:cs="Arial"/>
                <w:sz w:val="20"/>
                <w:szCs w:val="20"/>
              </w:rPr>
              <w:t xml:space="preserve">manj kot pol odstotka zavezancev. </w:t>
            </w:r>
            <w:r w:rsidR="00122C98" w:rsidRPr="00122C98">
              <w:rPr>
                <w:rFonts w:ascii="Arial" w:eastAsia="Calibri" w:hAnsi="Arial" w:cs="Arial"/>
                <w:sz w:val="20"/>
                <w:szCs w:val="20"/>
              </w:rPr>
              <w:t>Njihova povprečna dohodnina na zavezanca je znašala 44.953</w:t>
            </w:r>
            <w:r w:rsidR="006F4E34">
              <w:rPr>
                <w:rFonts w:ascii="Arial" w:eastAsia="Calibri" w:hAnsi="Arial" w:cs="Arial"/>
                <w:sz w:val="20"/>
                <w:szCs w:val="20"/>
              </w:rPr>
              <w:t> </w:t>
            </w:r>
            <w:r w:rsidR="0095421A">
              <w:rPr>
                <w:rFonts w:ascii="Arial" w:eastAsia="Calibri" w:hAnsi="Arial" w:cs="Arial"/>
                <w:sz w:val="20"/>
                <w:szCs w:val="20"/>
              </w:rPr>
              <w:t>EUR</w:t>
            </w:r>
            <w:r w:rsidR="00122C98" w:rsidRPr="00122C98">
              <w:rPr>
                <w:rFonts w:ascii="Arial" w:eastAsia="Calibri" w:hAnsi="Arial" w:cs="Arial"/>
                <w:sz w:val="20"/>
                <w:szCs w:val="20"/>
              </w:rPr>
              <w:t>, skupaj pa jim je bila obračunana dohodnina v znesku nekaj manj kot 199 mio</w:t>
            </w:r>
            <w:r w:rsidR="006F4E34">
              <w:rPr>
                <w:rFonts w:ascii="Arial" w:eastAsia="Calibri" w:hAnsi="Arial" w:cs="Arial"/>
                <w:sz w:val="20"/>
                <w:szCs w:val="20"/>
              </w:rPr>
              <w:t> </w:t>
            </w:r>
            <w:r w:rsidR="0095421A">
              <w:rPr>
                <w:rFonts w:ascii="Arial" w:eastAsia="Calibri" w:hAnsi="Arial" w:cs="Arial"/>
                <w:sz w:val="20"/>
                <w:szCs w:val="20"/>
              </w:rPr>
              <w:t>EUR</w:t>
            </w:r>
            <w:r w:rsidR="00122C98" w:rsidRPr="00122C98">
              <w:rPr>
                <w:rFonts w:ascii="Arial" w:eastAsia="Calibri" w:hAnsi="Arial" w:cs="Arial"/>
                <w:sz w:val="20"/>
                <w:szCs w:val="20"/>
              </w:rPr>
              <w:t xml:space="preserve">, kar </w:t>
            </w:r>
            <w:r w:rsidR="006F4E34">
              <w:rPr>
                <w:rFonts w:ascii="Arial" w:eastAsia="Calibri" w:hAnsi="Arial" w:cs="Arial"/>
                <w:sz w:val="20"/>
                <w:szCs w:val="20"/>
              </w:rPr>
              <w:t>je</w:t>
            </w:r>
            <w:r w:rsidR="00122C98" w:rsidRPr="00122C98">
              <w:rPr>
                <w:rFonts w:ascii="Arial" w:eastAsia="Calibri" w:hAnsi="Arial" w:cs="Arial"/>
                <w:sz w:val="20"/>
                <w:szCs w:val="20"/>
              </w:rPr>
              <w:t xml:space="preserve"> 9,3</w:t>
            </w:r>
            <w:r w:rsidR="006F4E34">
              <w:rPr>
                <w:rFonts w:ascii="Arial" w:eastAsia="Calibri" w:hAnsi="Arial" w:cs="Arial"/>
                <w:sz w:val="20"/>
                <w:szCs w:val="20"/>
              </w:rPr>
              <w:t> </w:t>
            </w:r>
            <w:r w:rsidR="00122C98" w:rsidRPr="00122C98">
              <w:rPr>
                <w:rFonts w:ascii="Arial" w:eastAsia="Calibri" w:hAnsi="Arial" w:cs="Arial"/>
                <w:sz w:val="20"/>
                <w:szCs w:val="20"/>
              </w:rPr>
              <w:t>% celotne odmerjene dohodnine.</w:t>
            </w:r>
          </w:p>
          <w:p w14:paraId="458DC495" w14:textId="2B99A9B8" w:rsidR="00931FA0" w:rsidRDefault="00931FA0" w:rsidP="00702C00">
            <w:pPr>
              <w:spacing w:line="276" w:lineRule="auto"/>
              <w:contextualSpacing/>
              <w:jc w:val="both"/>
              <w:rPr>
                <w:rFonts w:ascii="Arial" w:eastAsia="Calibri" w:hAnsi="Arial" w:cs="Arial"/>
                <w:sz w:val="20"/>
                <w:szCs w:val="20"/>
              </w:rPr>
            </w:pPr>
            <w:r>
              <w:rPr>
                <w:rFonts w:ascii="Arial" w:eastAsia="Calibri" w:hAnsi="Arial" w:cs="Arial"/>
                <w:sz w:val="20"/>
                <w:szCs w:val="20"/>
              </w:rPr>
              <w:t xml:space="preserve"> </w:t>
            </w:r>
          </w:p>
          <w:p w14:paraId="0A5F9BDB" w14:textId="3BD39B60" w:rsidR="00CD6F52" w:rsidRPr="00702C00" w:rsidRDefault="00CD6F52" w:rsidP="00702C00">
            <w:pPr>
              <w:spacing w:line="276" w:lineRule="auto"/>
              <w:contextualSpacing/>
              <w:jc w:val="both"/>
              <w:rPr>
                <w:rFonts w:ascii="Arial" w:eastAsia="Calibri" w:hAnsi="Arial" w:cs="Arial"/>
                <w:sz w:val="20"/>
                <w:szCs w:val="20"/>
              </w:rPr>
            </w:pPr>
            <w:r w:rsidRPr="00F81FD8">
              <w:rPr>
                <w:rFonts w:ascii="Arial" w:eastAsia="Calibri" w:hAnsi="Arial" w:cs="Arial"/>
                <w:sz w:val="20"/>
                <w:szCs w:val="20"/>
              </w:rPr>
              <w:t xml:space="preserve">Predlaga se, da se višina </w:t>
            </w:r>
            <w:r>
              <w:rPr>
                <w:rFonts w:ascii="Arial" w:eastAsia="Calibri" w:hAnsi="Arial" w:cs="Arial"/>
                <w:sz w:val="20"/>
                <w:szCs w:val="20"/>
              </w:rPr>
              <w:t>davčne stopnje v navedenem razredu</w:t>
            </w:r>
            <w:r w:rsidRPr="00F81FD8">
              <w:rPr>
                <w:rFonts w:ascii="Arial" w:eastAsia="Calibri" w:hAnsi="Arial" w:cs="Arial"/>
                <w:sz w:val="20"/>
                <w:szCs w:val="20"/>
              </w:rPr>
              <w:t xml:space="preserve"> </w:t>
            </w:r>
            <w:r>
              <w:rPr>
                <w:rFonts w:ascii="Arial" w:eastAsia="Calibri" w:hAnsi="Arial" w:cs="Arial"/>
                <w:sz w:val="20"/>
                <w:szCs w:val="20"/>
              </w:rPr>
              <w:t>dvigne nazaj na stopnjo 50</w:t>
            </w:r>
            <w:r w:rsidR="006F4E34">
              <w:rPr>
                <w:rFonts w:ascii="Arial" w:eastAsia="Calibri" w:hAnsi="Arial" w:cs="Arial"/>
                <w:sz w:val="20"/>
                <w:szCs w:val="20"/>
              </w:rPr>
              <w:t> </w:t>
            </w:r>
            <w:r>
              <w:rPr>
                <w:rFonts w:ascii="Arial" w:eastAsia="Calibri" w:hAnsi="Arial" w:cs="Arial"/>
                <w:sz w:val="20"/>
                <w:szCs w:val="20"/>
              </w:rPr>
              <w:t>%.</w:t>
            </w:r>
          </w:p>
          <w:p w14:paraId="5D057348" w14:textId="77777777" w:rsidR="00AC40A1" w:rsidRPr="004513FD" w:rsidRDefault="00AC40A1" w:rsidP="00EC69CC">
            <w:pPr>
              <w:spacing w:after="0" w:line="276" w:lineRule="auto"/>
              <w:contextualSpacing/>
              <w:jc w:val="both"/>
              <w:rPr>
                <w:rFonts w:ascii="Arial" w:eastAsia="Calibri" w:hAnsi="Arial" w:cs="Arial"/>
                <w:sz w:val="20"/>
                <w:szCs w:val="20"/>
              </w:rPr>
            </w:pPr>
          </w:p>
          <w:p w14:paraId="6563751C" w14:textId="6ACD5276" w:rsidR="00515754" w:rsidRPr="008D5512" w:rsidRDefault="002633B0" w:rsidP="00515754">
            <w:pPr>
              <w:spacing w:after="0" w:line="276" w:lineRule="auto"/>
              <w:contextualSpacing/>
              <w:jc w:val="both"/>
              <w:rPr>
                <w:rFonts w:ascii="Arial" w:eastAsia="Times New Roman" w:hAnsi="Arial" w:cs="Arial"/>
                <w:i/>
                <w:iCs/>
                <w:sz w:val="20"/>
                <w:szCs w:val="20"/>
              </w:rPr>
            </w:pPr>
            <w:r>
              <w:rPr>
                <w:rFonts w:ascii="Arial" w:eastAsia="Times New Roman" w:hAnsi="Arial" w:cs="Arial"/>
                <w:i/>
                <w:iCs/>
                <w:sz w:val="20"/>
                <w:szCs w:val="20"/>
              </w:rPr>
              <w:t>b</w:t>
            </w:r>
            <w:r w:rsidR="008D5512" w:rsidRPr="008D5512">
              <w:rPr>
                <w:rFonts w:ascii="Arial" w:eastAsia="Times New Roman" w:hAnsi="Arial" w:cs="Arial"/>
                <w:i/>
                <w:iCs/>
                <w:sz w:val="20"/>
                <w:szCs w:val="20"/>
              </w:rPr>
              <w:t>) Plačilo za poslovno uspešnost</w:t>
            </w:r>
          </w:p>
          <w:p w14:paraId="1B1E7416" w14:textId="67DD3DA1" w:rsidR="003B7A8C" w:rsidRDefault="008D5512" w:rsidP="00515754">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Ugodnejša davčna obravnava plačil za poslovno uspešnost velja od davčnega leta 2017, prvotno v obliki davčno ugodnejše obravnave dela plače za poslovno uspešnost. Z ZDoh-2Z se je navedeni institut preoblikoval v davčno ugodnejšo obravnavo plačil za poslovno uspešnost, </w:t>
            </w:r>
            <w:r w:rsidR="006B7D5A">
              <w:rPr>
                <w:rFonts w:ascii="Arial" w:eastAsia="Calibri" w:hAnsi="Arial" w:cs="Arial"/>
                <w:sz w:val="20"/>
                <w:szCs w:val="20"/>
              </w:rPr>
              <w:t xml:space="preserve">ki so izplačani </w:t>
            </w:r>
            <w:r>
              <w:rPr>
                <w:rFonts w:ascii="Arial" w:eastAsia="Calibri" w:hAnsi="Arial" w:cs="Arial"/>
                <w:sz w:val="20"/>
                <w:szCs w:val="20"/>
              </w:rPr>
              <w:t xml:space="preserve">tako v denarju kot tudi v naravi, spremenila pa se je </w:t>
            </w:r>
            <w:r w:rsidRPr="004513FD">
              <w:rPr>
                <w:rFonts w:ascii="Arial" w:eastAsia="Calibri" w:hAnsi="Arial" w:cs="Arial"/>
                <w:sz w:val="20"/>
                <w:szCs w:val="20"/>
              </w:rPr>
              <w:t xml:space="preserve">tudi višina neobdavčenega dela, in sicer se </w:t>
            </w:r>
            <w:r w:rsidR="006F4E34">
              <w:rPr>
                <w:rFonts w:ascii="Arial" w:eastAsia="Calibri" w:hAnsi="Arial" w:cs="Arial"/>
                <w:sz w:val="20"/>
                <w:szCs w:val="20"/>
              </w:rPr>
              <w:t>na</w:t>
            </w:r>
            <w:r w:rsidRPr="004513FD">
              <w:rPr>
                <w:rFonts w:ascii="Arial" w:eastAsia="Calibri" w:hAnsi="Arial" w:cs="Arial"/>
                <w:sz w:val="20"/>
                <w:szCs w:val="20"/>
              </w:rPr>
              <w:t xml:space="preserve"> splošn</w:t>
            </w:r>
            <w:r w:rsidR="006F4E34">
              <w:rPr>
                <w:rFonts w:ascii="Arial" w:eastAsia="Calibri" w:hAnsi="Arial" w:cs="Arial"/>
                <w:sz w:val="20"/>
                <w:szCs w:val="20"/>
              </w:rPr>
              <w:t>o</w:t>
            </w:r>
            <w:r w:rsidRPr="004513FD">
              <w:rPr>
                <w:rFonts w:ascii="Arial" w:eastAsia="Calibri" w:hAnsi="Arial" w:cs="Arial"/>
                <w:sz w:val="20"/>
                <w:szCs w:val="20"/>
              </w:rPr>
              <w:t xml:space="preserve"> višina neobdavčenega dela ohran</w:t>
            </w:r>
            <w:r>
              <w:rPr>
                <w:rFonts w:ascii="Arial" w:eastAsia="Calibri" w:hAnsi="Arial" w:cs="Arial"/>
                <w:sz w:val="20"/>
                <w:szCs w:val="20"/>
              </w:rPr>
              <w:t>ila</w:t>
            </w:r>
            <w:r w:rsidRPr="004513FD">
              <w:rPr>
                <w:rFonts w:ascii="Arial" w:eastAsia="Calibri" w:hAnsi="Arial" w:cs="Arial"/>
                <w:sz w:val="20"/>
                <w:szCs w:val="20"/>
              </w:rPr>
              <w:t xml:space="preserve"> v višini 100</w:t>
            </w:r>
            <w:r w:rsidR="006F4E34">
              <w:rPr>
                <w:rFonts w:ascii="Arial" w:eastAsia="Calibri" w:hAnsi="Arial" w:cs="Arial"/>
                <w:sz w:val="20"/>
                <w:szCs w:val="20"/>
              </w:rPr>
              <w:t> </w:t>
            </w:r>
            <w:r w:rsidRPr="004513FD">
              <w:rPr>
                <w:rFonts w:ascii="Arial" w:eastAsia="Calibri" w:hAnsi="Arial" w:cs="Arial"/>
                <w:sz w:val="20"/>
                <w:szCs w:val="20"/>
              </w:rPr>
              <w:t>% povprečne mesečne plače zaposlenih v Sloveniji, doda</w:t>
            </w:r>
            <w:r>
              <w:rPr>
                <w:rFonts w:ascii="Arial" w:eastAsia="Calibri" w:hAnsi="Arial" w:cs="Arial"/>
                <w:sz w:val="20"/>
                <w:szCs w:val="20"/>
              </w:rPr>
              <w:t>l</w:t>
            </w:r>
            <w:r w:rsidRPr="004513FD">
              <w:rPr>
                <w:rFonts w:ascii="Arial" w:eastAsia="Calibri" w:hAnsi="Arial" w:cs="Arial"/>
                <w:sz w:val="20"/>
                <w:szCs w:val="20"/>
              </w:rPr>
              <w:t xml:space="preserve">a pa se možnost neobdavčenega dela za poslovno uspešnost do višine 100 % povprečne plače delavca, </w:t>
            </w:r>
            <w:r w:rsidRPr="004513FD">
              <w:rPr>
                <w:rFonts w:ascii="Arial" w:eastAsia="Calibri" w:hAnsi="Arial" w:cs="Arial"/>
                <w:sz w:val="20"/>
                <w:szCs w:val="20"/>
              </w:rPr>
              <w:lastRenderedPageBreak/>
              <w:t xml:space="preserve">vključno z nadomestili plače, za zadnjih 12 mesecev pri delodajalcu, če je to za zavezanca ugodneje. </w:t>
            </w:r>
            <w:r>
              <w:rPr>
                <w:rFonts w:ascii="Arial" w:eastAsia="Calibri" w:hAnsi="Arial" w:cs="Arial"/>
                <w:sz w:val="20"/>
                <w:szCs w:val="20"/>
              </w:rPr>
              <w:t xml:space="preserve">Ohranil se je pogoj, da je </w:t>
            </w:r>
            <w:r w:rsidRPr="004513FD">
              <w:rPr>
                <w:rFonts w:ascii="Arial" w:eastAsia="Calibri" w:hAnsi="Arial" w:cs="Arial"/>
                <w:sz w:val="20"/>
                <w:szCs w:val="20"/>
              </w:rPr>
              <w:t>pravica do izplačila za poslovno uspešnost opredelj</w:t>
            </w:r>
            <w:r>
              <w:rPr>
                <w:rFonts w:ascii="Arial" w:eastAsia="Calibri" w:hAnsi="Arial" w:cs="Arial"/>
                <w:sz w:val="20"/>
                <w:szCs w:val="20"/>
              </w:rPr>
              <w:t xml:space="preserve">ena </w:t>
            </w:r>
            <w:r w:rsidRPr="004513FD">
              <w:rPr>
                <w:rFonts w:ascii="Arial" w:eastAsia="Calibri" w:hAnsi="Arial" w:cs="Arial"/>
                <w:sz w:val="20"/>
                <w:szCs w:val="20"/>
              </w:rPr>
              <w:t>v kolektivni pogodbi oziroma splošnem aktu delodajalca</w:t>
            </w:r>
            <w:r>
              <w:rPr>
                <w:rFonts w:ascii="Arial" w:eastAsia="Calibri" w:hAnsi="Arial" w:cs="Arial"/>
                <w:sz w:val="20"/>
                <w:szCs w:val="20"/>
              </w:rPr>
              <w:t>.</w:t>
            </w:r>
          </w:p>
          <w:p w14:paraId="66247E5F" w14:textId="2110E80B" w:rsidR="0095421A" w:rsidRDefault="0095421A" w:rsidP="00515754">
            <w:pPr>
              <w:spacing w:after="0" w:line="276" w:lineRule="auto"/>
              <w:contextualSpacing/>
              <w:jc w:val="both"/>
              <w:rPr>
                <w:rFonts w:ascii="Arial" w:eastAsia="Calibri" w:hAnsi="Arial" w:cs="Arial"/>
                <w:sz w:val="20"/>
                <w:szCs w:val="20"/>
              </w:rPr>
            </w:pPr>
          </w:p>
          <w:p w14:paraId="20A2A632" w14:textId="062C34B9" w:rsidR="0095421A" w:rsidRDefault="0095421A" w:rsidP="00515754">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V letu 2020 je po podatkih odmere dohodnine Finančne uprave </w:t>
            </w:r>
            <w:r w:rsidRPr="0095421A">
              <w:rPr>
                <w:rFonts w:ascii="Arial" w:eastAsia="Calibri" w:hAnsi="Arial" w:cs="Arial"/>
                <w:sz w:val="20"/>
                <w:szCs w:val="20"/>
              </w:rPr>
              <w:t>Republike Slovenije</w:t>
            </w:r>
            <w:r>
              <w:rPr>
                <w:rFonts w:ascii="Arial" w:eastAsia="Calibri" w:hAnsi="Arial" w:cs="Arial"/>
                <w:sz w:val="20"/>
                <w:szCs w:val="20"/>
              </w:rPr>
              <w:t xml:space="preserve"> del plače iz poslovne uspešnosti prejelo 286.339 zavezancev.</w:t>
            </w:r>
            <w:r>
              <w:t xml:space="preserve"> </w:t>
            </w:r>
            <w:r w:rsidRPr="0095421A">
              <w:rPr>
                <w:rFonts w:ascii="Arial" w:eastAsia="Calibri" w:hAnsi="Arial" w:cs="Arial"/>
                <w:sz w:val="20"/>
                <w:szCs w:val="20"/>
              </w:rPr>
              <w:t xml:space="preserve">V povprečju je znašal ta dohodek 1.013 </w:t>
            </w:r>
            <w:r>
              <w:rPr>
                <w:rFonts w:ascii="Arial" w:eastAsia="Calibri" w:hAnsi="Arial" w:cs="Arial"/>
                <w:sz w:val="20"/>
                <w:szCs w:val="20"/>
              </w:rPr>
              <w:t>EUR</w:t>
            </w:r>
            <w:r w:rsidRPr="0095421A">
              <w:rPr>
                <w:rFonts w:ascii="Arial" w:eastAsia="Calibri" w:hAnsi="Arial" w:cs="Arial"/>
                <w:sz w:val="20"/>
                <w:szCs w:val="20"/>
              </w:rPr>
              <w:t xml:space="preserve"> na zavezanca. Od teh je 25.514 zavezancev oz</w:t>
            </w:r>
            <w:r w:rsidR="006F4E34">
              <w:rPr>
                <w:rFonts w:ascii="Arial" w:eastAsia="Calibri" w:hAnsi="Arial" w:cs="Arial"/>
                <w:sz w:val="20"/>
                <w:szCs w:val="20"/>
              </w:rPr>
              <w:t>iroma</w:t>
            </w:r>
            <w:r w:rsidRPr="0095421A">
              <w:rPr>
                <w:rFonts w:ascii="Arial" w:eastAsia="Calibri" w:hAnsi="Arial" w:cs="Arial"/>
                <w:sz w:val="20"/>
                <w:szCs w:val="20"/>
              </w:rPr>
              <w:t xml:space="preserve"> 10,6</w:t>
            </w:r>
            <w:r w:rsidR="000C4B49">
              <w:rPr>
                <w:rFonts w:ascii="Arial" w:eastAsia="Calibri" w:hAnsi="Arial" w:cs="Arial"/>
                <w:sz w:val="20"/>
                <w:szCs w:val="20"/>
              </w:rPr>
              <w:t> </w:t>
            </w:r>
            <w:r w:rsidRPr="0095421A">
              <w:rPr>
                <w:rFonts w:ascii="Arial" w:eastAsia="Calibri" w:hAnsi="Arial" w:cs="Arial"/>
                <w:sz w:val="20"/>
                <w:szCs w:val="20"/>
              </w:rPr>
              <w:t>% prejelo ta dohodek višji od povprečne plače, dohodek teh zavezancev iz tega vira je znašal nekaj več kot 96 mio</w:t>
            </w:r>
            <w:r w:rsidR="000C4B49">
              <w:rPr>
                <w:rFonts w:ascii="Arial" w:eastAsia="Calibri" w:hAnsi="Arial" w:cs="Arial"/>
                <w:sz w:val="20"/>
                <w:szCs w:val="20"/>
              </w:rPr>
              <w:t> </w:t>
            </w:r>
            <w:r>
              <w:rPr>
                <w:rFonts w:ascii="Arial" w:eastAsia="Calibri" w:hAnsi="Arial" w:cs="Arial"/>
                <w:sz w:val="20"/>
                <w:szCs w:val="20"/>
              </w:rPr>
              <w:t>EUR</w:t>
            </w:r>
            <w:r w:rsidRPr="0095421A">
              <w:rPr>
                <w:rFonts w:ascii="Arial" w:eastAsia="Calibri" w:hAnsi="Arial" w:cs="Arial"/>
                <w:sz w:val="20"/>
                <w:szCs w:val="20"/>
              </w:rPr>
              <w:t>, kar znaša v povprečju 3.768</w:t>
            </w:r>
            <w:r w:rsidR="000C4B49">
              <w:rPr>
                <w:rFonts w:ascii="Arial" w:eastAsia="Calibri" w:hAnsi="Arial" w:cs="Arial"/>
                <w:sz w:val="20"/>
                <w:szCs w:val="20"/>
              </w:rPr>
              <w:t> </w:t>
            </w:r>
            <w:r>
              <w:rPr>
                <w:rFonts w:ascii="Arial" w:eastAsia="Calibri" w:hAnsi="Arial" w:cs="Arial"/>
                <w:sz w:val="20"/>
                <w:szCs w:val="20"/>
              </w:rPr>
              <w:t>EUR</w:t>
            </w:r>
            <w:r w:rsidRPr="0095421A">
              <w:rPr>
                <w:rFonts w:ascii="Arial" w:eastAsia="Calibri" w:hAnsi="Arial" w:cs="Arial"/>
                <w:sz w:val="20"/>
                <w:szCs w:val="20"/>
              </w:rPr>
              <w:t xml:space="preserve"> na zavezanca.</w:t>
            </w:r>
          </w:p>
          <w:p w14:paraId="76AF44EC" w14:textId="30F9A127" w:rsidR="008D5512" w:rsidRDefault="008D5512" w:rsidP="00515754">
            <w:pPr>
              <w:spacing w:after="0" w:line="276" w:lineRule="auto"/>
              <w:contextualSpacing/>
              <w:jc w:val="both"/>
              <w:rPr>
                <w:rFonts w:ascii="Arial" w:eastAsia="Calibri" w:hAnsi="Arial" w:cs="Arial"/>
                <w:sz w:val="20"/>
                <w:szCs w:val="20"/>
              </w:rPr>
            </w:pPr>
          </w:p>
          <w:p w14:paraId="127CDB4E" w14:textId="3F6A4195" w:rsidR="008D5512" w:rsidRDefault="008D5512" w:rsidP="008D5512">
            <w:pPr>
              <w:spacing w:after="0" w:line="276" w:lineRule="auto"/>
              <w:contextualSpacing/>
              <w:jc w:val="both"/>
              <w:rPr>
                <w:rFonts w:ascii="Arial" w:eastAsia="Calibri" w:hAnsi="Arial" w:cs="Arial"/>
                <w:sz w:val="20"/>
                <w:szCs w:val="20"/>
              </w:rPr>
            </w:pPr>
            <w:r>
              <w:rPr>
                <w:rFonts w:ascii="Arial" w:eastAsia="Calibri" w:hAnsi="Arial" w:cs="Arial"/>
                <w:sz w:val="20"/>
                <w:szCs w:val="20"/>
              </w:rPr>
              <w:t>Predlaga se, da se davčno ugodnejša obravnava plačil za poslovno uspešnost</w:t>
            </w:r>
            <w:r w:rsidR="00784B9A">
              <w:rPr>
                <w:rFonts w:ascii="Arial" w:eastAsia="Calibri" w:hAnsi="Arial" w:cs="Arial"/>
                <w:sz w:val="20"/>
                <w:szCs w:val="20"/>
              </w:rPr>
              <w:t xml:space="preserve"> </w:t>
            </w:r>
            <w:r w:rsidR="00E33429">
              <w:rPr>
                <w:rFonts w:ascii="Arial" w:eastAsia="Calibri" w:hAnsi="Arial" w:cs="Arial"/>
                <w:sz w:val="20"/>
                <w:szCs w:val="20"/>
              </w:rPr>
              <w:t xml:space="preserve"> zaradi zagotavljanja </w:t>
            </w:r>
            <w:r w:rsidR="00173D0D">
              <w:rPr>
                <w:rFonts w:ascii="Arial" w:eastAsia="Calibri" w:hAnsi="Arial" w:cs="Arial"/>
                <w:sz w:val="20"/>
                <w:szCs w:val="20"/>
              </w:rPr>
              <w:t xml:space="preserve">ustavnega načela enakosti </w:t>
            </w:r>
            <w:r w:rsidR="005666C3">
              <w:rPr>
                <w:rFonts w:ascii="Arial" w:eastAsia="Calibri" w:hAnsi="Arial" w:cs="Arial"/>
                <w:sz w:val="20"/>
                <w:szCs w:val="20"/>
              </w:rPr>
              <w:t xml:space="preserve">pred zakonom </w:t>
            </w:r>
            <w:r w:rsidR="00173D0D">
              <w:rPr>
                <w:rFonts w:ascii="Arial" w:eastAsia="Calibri" w:hAnsi="Arial" w:cs="Arial"/>
                <w:sz w:val="20"/>
                <w:szCs w:val="20"/>
              </w:rPr>
              <w:t>in zaradi poenostavitve izvedbe (zaradi ugotavljanja individualne povprečne plače je ta ugodnost z vidika izvedljivosti postala izjemno zahtevna)</w:t>
            </w:r>
            <w:r>
              <w:rPr>
                <w:rFonts w:ascii="Arial" w:eastAsia="Calibri" w:hAnsi="Arial" w:cs="Arial"/>
                <w:sz w:val="20"/>
                <w:szCs w:val="20"/>
              </w:rPr>
              <w:t xml:space="preserve"> ponovno uredi na primerljiv način</w:t>
            </w:r>
            <w:r w:rsidR="00522DEF">
              <w:rPr>
                <w:rFonts w:ascii="Arial" w:eastAsia="Calibri" w:hAnsi="Arial" w:cs="Arial"/>
                <w:sz w:val="20"/>
                <w:szCs w:val="20"/>
              </w:rPr>
              <w:t>,</w:t>
            </w:r>
            <w:r>
              <w:rPr>
                <w:rFonts w:ascii="Arial" w:eastAsia="Calibri" w:hAnsi="Arial" w:cs="Arial"/>
                <w:sz w:val="20"/>
                <w:szCs w:val="20"/>
              </w:rPr>
              <w:t xml:space="preserve"> kot je bilo urejeno v davčnih letih </w:t>
            </w:r>
            <w:r w:rsidR="00784B9A">
              <w:rPr>
                <w:rFonts w:ascii="Arial" w:eastAsia="Calibri" w:hAnsi="Arial" w:cs="Arial"/>
                <w:sz w:val="20"/>
                <w:szCs w:val="20"/>
              </w:rPr>
              <w:t xml:space="preserve">od </w:t>
            </w:r>
            <w:r>
              <w:rPr>
                <w:rFonts w:ascii="Arial" w:eastAsia="Calibri" w:hAnsi="Arial" w:cs="Arial"/>
                <w:sz w:val="20"/>
                <w:szCs w:val="20"/>
              </w:rPr>
              <w:t>20</w:t>
            </w:r>
            <w:r w:rsidR="00784B9A">
              <w:rPr>
                <w:rFonts w:ascii="Arial" w:eastAsia="Calibri" w:hAnsi="Arial" w:cs="Arial"/>
                <w:sz w:val="20"/>
                <w:szCs w:val="20"/>
              </w:rPr>
              <w:t>17 do</w:t>
            </w:r>
            <w:r>
              <w:rPr>
                <w:rFonts w:ascii="Arial" w:eastAsia="Calibri" w:hAnsi="Arial" w:cs="Arial"/>
                <w:sz w:val="20"/>
                <w:szCs w:val="20"/>
              </w:rPr>
              <w:t xml:space="preserve"> 2021</w:t>
            </w:r>
            <w:r w:rsidR="00784B9A">
              <w:rPr>
                <w:rFonts w:ascii="Arial" w:eastAsia="Calibri" w:hAnsi="Arial" w:cs="Arial"/>
                <w:sz w:val="20"/>
                <w:szCs w:val="20"/>
              </w:rPr>
              <w:t xml:space="preserve">, </w:t>
            </w:r>
            <w:r w:rsidR="00061FDF">
              <w:rPr>
                <w:rFonts w:ascii="Arial" w:eastAsia="Calibri" w:hAnsi="Arial" w:cs="Arial"/>
                <w:sz w:val="20"/>
                <w:szCs w:val="20"/>
              </w:rPr>
              <w:t xml:space="preserve">s to razliko, da se predhoden pogoj, da se tovrstno izplačilo lahko izplača le enkrat v koledarskem letu nadomesti s pogojem, da se tovrstno plačilo lahko izplača največ dvakrat </w:t>
            </w:r>
            <w:r w:rsidR="00784B9A">
              <w:rPr>
                <w:rFonts w:ascii="Arial" w:eastAsia="Calibri" w:hAnsi="Arial" w:cs="Arial"/>
                <w:sz w:val="20"/>
                <w:szCs w:val="20"/>
              </w:rPr>
              <w:t>v koledarskem letu</w:t>
            </w:r>
            <w:r w:rsidR="00061FDF">
              <w:rPr>
                <w:rFonts w:ascii="Arial" w:eastAsia="Calibri" w:hAnsi="Arial" w:cs="Arial"/>
                <w:sz w:val="20"/>
                <w:szCs w:val="20"/>
              </w:rPr>
              <w:t>.</w:t>
            </w:r>
            <w:r w:rsidR="00784B9A">
              <w:rPr>
                <w:rFonts w:ascii="Arial" w:eastAsia="Calibri" w:hAnsi="Arial" w:cs="Arial"/>
                <w:sz w:val="20"/>
                <w:szCs w:val="20"/>
              </w:rPr>
              <w:t xml:space="preserve"> </w:t>
            </w:r>
            <w:r w:rsidR="00061FDF">
              <w:rPr>
                <w:rFonts w:ascii="Arial" w:eastAsia="Calibri" w:hAnsi="Arial" w:cs="Arial"/>
                <w:sz w:val="20"/>
                <w:szCs w:val="20"/>
              </w:rPr>
              <w:t>O</w:t>
            </w:r>
            <w:r w:rsidR="00784B9A">
              <w:rPr>
                <w:rFonts w:ascii="Arial" w:eastAsia="Calibri" w:hAnsi="Arial" w:cs="Arial"/>
                <w:sz w:val="20"/>
                <w:szCs w:val="20"/>
              </w:rPr>
              <w:t xml:space="preserve">dpravlja </w:t>
            </w:r>
            <w:r w:rsidR="00061FDF">
              <w:rPr>
                <w:rFonts w:ascii="Arial" w:eastAsia="Calibri" w:hAnsi="Arial" w:cs="Arial"/>
                <w:sz w:val="20"/>
                <w:szCs w:val="20"/>
              </w:rPr>
              <w:t xml:space="preserve">pa se </w:t>
            </w:r>
            <w:r w:rsidR="00784B9A">
              <w:rPr>
                <w:rFonts w:ascii="Arial" w:eastAsia="Calibri" w:hAnsi="Arial" w:cs="Arial"/>
                <w:sz w:val="20"/>
                <w:szCs w:val="20"/>
              </w:rPr>
              <w:t xml:space="preserve">možnost davčno ugodnejše obravnave </w:t>
            </w:r>
            <w:r w:rsidR="00AF3521">
              <w:rPr>
                <w:rFonts w:ascii="Arial" w:eastAsia="Calibri" w:hAnsi="Arial" w:cs="Arial"/>
                <w:sz w:val="20"/>
                <w:szCs w:val="20"/>
              </w:rPr>
              <w:t xml:space="preserve">dohodka iz tega naslova </w:t>
            </w:r>
            <w:r w:rsidR="00784B9A">
              <w:rPr>
                <w:rFonts w:ascii="Arial" w:eastAsia="Calibri" w:hAnsi="Arial" w:cs="Arial"/>
                <w:sz w:val="20"/>
                <w:szCs w:val="20"/>
              </w:rPr>
              <w:t>v višini 100</w:t>
            </w:r>
            <w:r w:rsidR="000C4B49">
              <w:rPr>
                <w:rFonts w:ascii="Arial" w:eastAsia="Calibri" w:hAnsi="Arial" w:cs="Arial"/>
                <w:sz w:val="20"/>
                <w:szCs w:val="20"/>
              </w:rPr>
              <w:t> </w:t>
            </w:r>
            <w:r w:rsidR="00784B9A">
              <w:rPr>
                <w:rFonts w:ascii="Arial" w:eastAsia="Calibri" w:hAnsi="Arial" w:cs="Arial"/>
                <w:sz w:val="20"/>
                <w:szCs w:val="20"/>
              </w:rPr>
              <w:t xml:space="preserve">% povprečne plače delavca in se ohranja splošna višina neobdavčenega dela, to je </w:t>
            </w:r>
            <w:r w:rsidR="00784B9A" w:rsidRPr="004513FD">
              <w:rPr>
                <w:rFonts w:ascii="Arial" w:eastAsia="Calibri" w:hAnsi="Arial" w:cs="Arial"/>
                <w:sz w:val="20"/>
                <w:szCs w:val="20"/>
              </w:rPr>
              <w:t>100</w:t>
            </w:r>
            <w:r w:rsidR="000C4B49">
              <w:rPr>
                <w:rFonts w:ascii="Arial" w:eastAsia="Calibri" w:hAnsi="Arial" w:cs="Arial"/>
                <w:sz w:val="20"/>
                <w:szCs w:val="20"/>
              </w:rPr>
              <w:t> </w:t>
            </w:r>
            <w:r w:rsidR="00784B9A" w:rsidRPr="004513FD">
              <w:rPr>
                <w:rFonts w:ascii="Arial" w:eastAsia="Calibri" w:hAnsi="Arial" w:cs="Arial"/>
                <w:sz w:val="20"/>
                <w:szCs w:val="20"/>
              </w:rPr>
              <w:t>% povprečne mesečne plače zaposlenih v Sloveniji</w:t>
            </w:r>
            <w:r>
              <w:rPr>
                <w:rFonts w:ascii="Arial" w:eastAsia="Calibri" w:hAnsi="Arial" w:cs="Arial"/>
                <w:sz w:val="20"/>
                <w:szCs w:val="20"/>
              </w:rPr>
              <w:t>.</w:t>
            </w:r>
            <w:r w:rsidR="00BA7114">
              <w:rPr>
                <w:rFonts w:ascii="Arial" w:eastAsia="Calibri" w:hAnsi="Arial" w:cs="Arial"/>
                <w:sz w:val="20"/>
                <w:szCs w:val="20"/>
              </w:rPr>
              <w:t xml:space="preserve"> Veljavna ureditev zaradi odsotnosti vsebinske opredelitve plačil za poslovno uspešnost v delovnopravni zakonodaji omogoča preveliko možnost prelivanja oziroma prikazovanja dohodkov iz dela (plače, dodatkov,</w:t>
            </w:r>
            <w:r w:rsidR="000C4B49">
              <w:rPr>
                <w:rFonts w:ascii="Arial" w:eastAsia="Calibri" w:hAnsi="Arial" w:cs="Arial"/>
                <w:sz w:val="20"/>
                <w:szCs w:val="20"/>
              </w:rPr>
              <w:t> </w:t>
            </w:r>
            <w:r w:rsidR="4D558C93">
              <w:rPr>
                <w:rFonts w:ascii="Arial" w:eastAsia="Calibri" w:hAnsi="Arial" w:cs="Arial"/>
                <w:sz w:val="20"/>
                <w:szCs w:val="20"/>
              </w:rPr>
              <w:t>.</w:t>
            </w:r>
            <w:r w:rsidR="00BA7114">
              <w:rPr>
                <w:rFonts w:ascii="Arial" w:eastAsia="Calibri" w:hAnsi="Arial" w:cs="Arial"/>
                <w:sz w:val="20"/>
                <w:szCs w:val="20"/>
              </w:rPr>
              <w:t>..) kot plačila za poslovno uspešnost</w:t>
            </w:r>
            <w:r w:rsidR="00273D46">
              <w:rPr>
                <w:rFonts w:ascii="Arial" w:eastAsia="Calibri" w:hAnsi="Arial" w:cs="Arial"/>
                <w:sz w:val="20"/>
                <w:szCs w:val="20"/>
              </w:rPr>
              <w:t xml:space="preserve"> in s tem tveganje za preveliko erozijo davčne osnove na daljši rok</w:t>
            </w:r>
            <w:r w:rsidR="00BA7114">
              <w:rPr>
                <w:rFonts w:ascii="Arial" w:eastAsia="Calibri" w:hAnsi="Arial" w:cs="Arial"/>
                <w:sz w:val="20"/>
                <w:szCs w:val="20"/>
              </w:rPr>
              <w:t>, zato je ključno, da se za davčne namene plačilo za poslovno uspešnost določneje opredeli.</w:t>
            </w:r>
          </w:p>
          <w:p w14:paraId="0CA6BFB3" w14:textId="74150034" w:rsidR="009C4313" w:rsidRDefault="009C4313" w:rsidP="008D5512">
            <w:pPr>
              <w:spacing w:after="0" w:line="276" w:lineRule="auto"/>
              <w:contextualSpacing/>
              <w:jc w:val="both"/>
              <w:rPr>
                <w:rFonts w:ascii="Arial" w:eastAsia="Calibri" w:hAnsi="Arial" w:cs="Arial"/>
                <w:sz w:val="20"/>
                <w:szCs w:val="20"/>
              </w:rPr>
            </w:pPr>
          </w:p>
          <w:p w14:paraId="6DD14DFB" w14:textId="52B766EA" w:rsidR="005666C3" w:rsidRPr="005666C3" w:rsidRDefault="009C4313" w:rsidP="008D5512">
            <w:pPr>
              <w:spacing w:after="0" w:line="276" w:lineRule="auto"/>
              <w:contextualSpacing/>
              <w:jc w:val="both"/>
              <w:rPr>
                <w:rFonts w:ascii="Arial" w:eastAsia="Calibri" w:hAnsi="Arial" w:cs="Arial"/>
                <w:i/>
                <w:iCs/>
                <w:sz w:val="20"/>
                <w:szCs w:val="20"/>
              </w:rPr>
            </w:pPr>
            <w:r w:rsidRPr="005666C3">
              <w:rPr>
                <w:rFonts w:ascii="Arial" w:eastAsia="Calibri" w:hAnsi="Arial" w:cs="Arial"/>
                <w:i/>
                <w:iCs/>
                <w:sz w:val="20"/>
                <w:szCs w:val="20"/>
              </w:rPr>
              <w:t>c)</w:t>
            </w:r>
            <w:r w:rsidR="001F3D49" w:rsidRPr="005666C3">
              <w:rPr>
                <w:rFonts w:ascii="Arial" w:eastAsia="Calibri" w:hAnsi="Arial" w:cs="Arial"/>
                <w:i/>
                <w:iCs/>
                <w:sz w:val="20"/>
                <w:szCs w:val="20"/>
              </w:rPr>
              <w:t xml:space="preserve"> </w:t>
            </w:r>
            <w:r w:rsidR="005666C3" w:rsidRPr="005666C3">
              <w:rPr>
                <w:rFonts w:ascii="Arial" w:eastAsia="Calibri" w:hAnsi="Arial" w:cs="Arial"/>
                <w:i/>
                <w:iCs/>
                <w:sz w:val="20"/>
                <w:szCs w:val="20"/>
              </w:rPr>
              <w:t xml:space="preserve">Nadomestilo za </w:t>
            </w:r>
            <w:r w:rsidR="005666C3">
              <w:rPr>
                <w:rFonts w:ascii="Arial" w:eastAsia="Calibri" w:hAnsi="Arial" w:cs="Arial"/>
                <w:i/>
                <w:iCs/>
                <w:sz w:val="20"/>
                <w:szCs w:val="20"/>
              </w:rPr>
              <w:t>uporabo lastnih sredstev pri delu na domu</w:t>
            </w:r>
          </w:p>
          <w:p w14:paraId="64B5C459" w14:textId="6A62D4A2" w:rsidR="009C4313" w:rsidRDefault="001F3D49" w:rsidP="008D5512">
            <w:pPr>
              <w:spacing w:after="0" w:line="276" w:lineRule="auto"/>
              <w:contextualSpacing/>
              <w:jc w:val="both"/>
              <w:rPr>
                <w:rFonts w:ascii="Arial" w:eastAsia="Calibri" w:hAnsi="Arial" w:cs="Arial"/>
                <w:sz w:val="20"/>
                <w:szCs w:val="20"/>
              </w:rPr>
            </w:pPr>
            <w:r>
              <w:rPr>
                <w:rFonts w:ascii="Arial" w:eastAsia="Calibri" w:hAnsi="Arial" w:cs="Arial"/>
                <w:sz w:val="20"/>
                <w:szCs w:val="20"/>
              </w:rPr>
              <w:t>V času izrednih razmer zaradi epidemije COVID-19 se je velik del delodajalcev, ki je lahko organiziral izvajanje delovnih procesov z delom na domu, odloči za tak način organiziranja dela. Tudi po koncu epidemije in odprave ukrepov za omejevanje epidemije se velik del delodajalcev odloča za hi</w:t>
            </w:r>
            <w:r w:rsidR="008141F0">
              <w:rPr>
                <w:rFonts w:ascii="Arial" w:eastAsia="Calibri" w:hAnsi="Arial" w:cs="Arial"/>
                <w:sz w:val="20"/>
                <w:szCs w:val="20"/>
              </w:rPr>
              <w:t>bridno izvajanje delovnih procesov, torej so delodajalci v večji meri pristopili k sklepanju pogodb o zaposlitvi za opravljanje dela na domu.</w:t>
            </w:r>
          </w:p>
          <w:p w14:paraId="0DB478C7" w14:textId="4371E819" w:rsidR="000529D7" w:rsidRDefault="000529D7" w:rsidP="008D5512">
            <w:pPr>
              <w:spacing w:after="0" w:line="276" w:lineRule="auto"/>
              <w:contextualSpacing/>
              <w:jc w:val="both"/>
              <w:rPr>
                <w:rFonts w:ascii="Arial" w:eastAsia="Calibri" w:hAnsi="Arial" w:cs="Arial"/>
                <w:sz w:val="20"/>
                <w:szCs w:val="20"/>
              </w:rPr>
            </w:pPr>
          </w:p>
          <w:p w14:paraId="51B03436" w14:textId="2CB81183" w:rsidR="000529D7" w:rsidRDefault="000529D7" w:rsidP="008D5512">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Po veljavni ureditvi </w:t>
            </w:r>
            <w:r w:rsidRPr="000529D7">
              <w:rPr>
                <w:rFonts w:ascii="Arial" w:eastAsia="Calibri" w:hAnsi="Arial" w:cs="Arial"/>
                <w:sz w:val="20"/>
                <w:szCs w:val="20"/>
              </w:rPr>
              <w:t>se nadomestilo za uporabo lastnih sredstev pri delu na domu v skladu s predpisi, ki urejajo delovna razmerja</w:t>
            </w:r>
            <w:r w:rsidR="00883C17">
              <w:rPr>
                <w:rFonts w:ascii="Arial" w:eastAsia="Calibri" w:hAnsi="Arial" w:cs="Arial"/>
                <w:sz w:val="20"/>
                <w:szCs w:val="20"/>
              </w:rPr>
              <w:t xml:space="preserve"> </w:t>
            </w:r>
            <w:r w:rsidR="00883C17" w:rsidRPr="000529D7">
              <w:rPr>
                <w:rFonts w:ascii="Arial" w:eastAsia="Calibri" w:hAnsi="Arial" w:cs="Arial"/>
                <w:sz w:val="20"/>
                <w:szCs w:val="20"/>
              </w:rPr>
              <w:t>–</w:t>
            </w:r>
            <w:r w:rsidR="00883C17">
              <w:rPr>
                <w:rFonts w:ascii="Arial" w:eastAsia="Calibri" w:hAnsi="Arial" w:cs="Arial"/>
                <w:sz w:val="20"/>
                <w:szCs w:val="20"/>
              </w:rPr>
              <w:t xml:space="preserve"> </w:t>
            </w:r>
            <w:r w:rsidRPr="000529D7">
              <w:rPr>
                <w:rFonts w:ascii="Arial" w:eastAsia="Calibri" w:hAnsi="Arial" w:cs="Arial"/>
                <w:sz w:val="20"/>
                <w:szCs w:val="20"/>
              </w:rPr>
              <w:t xml:space="preserve">pod pogojem, da je določeno s posebnimi predpisi ali na podlagi kolektivne pogodbe oziroma notranjega akta delodajalca, da gre za sredstva, ki so značilna, nujna in običajna za opravljanje določenega dela, </w:t>
            </w:r>
            <w:r w:rsidR="00B53EB6">
              <w:rPr>
                <w:rFonts w:ascii="Arial" w:eastAsia="Calibri" w:hAnsi="Arial" w:cs="Arial"/>
                <w:sz w:val="20"/>
                <w:szCs w:val="20"/>
              </w:rPr>
              <w:t>ter</w:t>
            </w:r>
            <w:r w:rsidRPr="000529D7">
              <w:rPr>
                <w:rFonts w:ascii="Arial" w:eastAsia="Calibri" w:hAnsi="Arial" w:cs="Arial"/>
                <w:sz w:val="20"/>
                <w:szCs w:val="20"/>
              </w:rPr>
              <w:t xml:space="preserve"> pod pogojem, da je delodajalec določil navedeno nadomestilo na podlagi izračuna realnih stroškov in zato ta predstavlja utemeljen in razumen znesek – ne všteva v davčno osnovo dohodka iz delovnega razmerja do višine 5</w:t>
            </w:r>
            <w:r w:rsidR="00B53EB6">
              <w:rPr>
                <w:rFonts w:ascii="Arial" w:eastAsia="Calibri" w:hAnsi="Arial" w:cs="Arial"/>
                <w:sz w:val="20"/>
                <w:szCs w:val="20"/>
              </w:rPr>
              <w:t> </w:t>
            </w:r>
            <w:r w:rsidRPr="000529D7">
              <w:rPr>
                <w:rFonts w:ascii="Arial" w:eastAsia="Calibri" w:hAnsi="Arial" w:cs="Arial"/>
                <w:sz w:val="20"/>
                <w:szCs w:val="20"/>
              </w:rPr>
              <w:t>% mesečne plače delojemalca, vendar ne več kot do višine 5</w:t>
            </w:r>
            <w:r w:rsidR="00B53EB6">
              <w:rPr>
                <w:rFonts w:ascii="Arial" w:eastAsia="Calibri" w:hAnsi="Arial" w:cs="Arial"/>
                <w:sz w:val="20"/>
                <w:szCs w:val="20"/>
              </w:rPr>
              <w:t> </w:t>
            </w:r>
            <w:r w:rsidRPr="000529D7">
              <w:rPr>
                <w:rFonts w:ascii="Arial" w:eastAsia="Calibri" w:hAnsi="Arial" w:cs="Arial"/>
                <w:sz w:val="20"/>
                <w:szCs w:val="20"/>
              </w:rPr>
              <w:t>% povprečne mesečne plače zaposlenih v Sloveniji. Dejanske stroške je mogoče uveljavljati na podlagi dokazil.</w:t>
            </w:r>
          </w:p>
          <w:p w14:paraId="7FB5C178" w14:textId="7ACC0862" w:rsidR="008141F0" w:rsidRDefault="008141F0" w:rsidP="008D5512">
            <w:pPr>
              <w:spacing w:after="0" w:line="276" w:lineRule="auto"/>
              <w:contextualSpacing/>
              <w:jc w:val="both"/>
              <w:rPr>
                <w:rFonts w:ascii="Arial" w:eastAsia="Calibri" w:hAnsi="Arial" w:cs="Arial"/>
                <w:sz w:val="20"/>
                <w:szCs w:val="20"/>
              </w:rPr>
            </w:pPr>
          </w:p>
          <w:p w14:paraId="717206DD" w14:textId="2141FC34" w:rsidR="00824EA3" w:rsidRDefault="008141F0" w:rsidP="00824EA3">
            <w:pPr>
              <w:spacing w:after="0" w:line="276" w:lineRule="auto"/>
              <w:contextualSpacing/>
              <w:jc w:val="both"/>
              <w:rPr>
                <w:rFonts w:ascii="Arial" w:eastAsia="Calibri" w:hAnsi="Arial" w:cs="Arial"/>
                <w:sz w:val="20"/>
                <w:szCs w:val="20"/>
              </w:rPr>
            </w:pPr>
            <w:r>
              <w:rPr>
                <w:rFonts w:ascii="Arial" w:eastAsia="Calibri" w:hAnsi="Arial" w:cs="Arial"/>
                <w:sz w:val="20"/>
                <w:szCs w:val="20"/>
              </w:rPr>
              <w:t>Reprezentativn</w:t>
            </w:r>
            <w:r w:rsidR="000529D7">
              <w:rPr>
                <w:rFonts w:ascii="Arial" w:eastAsia="Calibri" w:hAnsi="Arial" w:cs="Arial"/>
                <w:sz w:val="20"/>
                <w:szCs w:val="20"/>
              </w:rPr>
              <w:t>e</w:t>
            </w:r>
            <w:r>
              <w:rPr>
                <w:rFonts w:ascii="Arial" w:eastAsia="Calibri" w:hAnsi="Arial" w:cs="Arial"/>
                <w:sz w:val="20"/>
                <w:szCs w:val="20"/>
              </w:rPr>
              <w:t xml:space="preserve"> delodajalske in </w:t>
            </w:r>
            <w:proofErr w:type="spellStart"/>
            <w:r>
              <w:rPr>
                <w:rFonts w:ascii="Arial" w:eastAsia="Calibri" w:hAnsi="Arial" w:cs="Arial"/>
                <w:sz w:val="20"/>
                <w:szCs w:val="20"/>
              </w:rPr>
              <w:t>delojemalske</w:t>
            </w:r>
            <w:proofErr w:type="spellEnd"/>
            <w:r>
              <w:rPr>
                <w:rFonts w:ascii="Arial" w:eastAsia="Calibri" w:hAnsi="Arial" w:cs="Arial"/>
                <w:sz w:val="20"/>
                <w:szCs w:val="20"/>
              </w:rPr>
              <w:t xml:space="preserve"> organizacije so že v času izrednih razmer zaradi epidemije COVID-19 začele opozarjati, da ureditev davčne obravnave nadomestila za uporabo lastnih sredstev za delo na domu ni ustrezna. </w:t>
            </w:r>
            <w:r w:rsidR="00824EA3">
              <w:rPr>
                <w:rFonts w:ascii="Arial" w:eastAsia="Calibri" w:hAnsi="Arial" w:cs="Arial"/>
                <w:sz w:val="20"/>
                <w:szCs w:val="20"/>
              </w:rPr>
              <w:t>Opozarjajo, da je ureditev neživljenjska</w:t>
            </w:r>
            <w:r w:rsidR="00824EA3" w:rsidRPr="00824EA3">
              <w:rPr>
                <w:rFonts w:ascii="Arial" w:eastAsia="Calibri" w:hAnsi="Arial" w:cs="Arial"/>
                <w:sz w:val="20"/>
                <w:szCs w:val="20"/>
              </w:rPr>
              <w:t xml:space="preserve">, nepravična in neustrezna. </w:t>
            </w:r>
            <w:r w:rsidR="00824EA3">
              <w:rPr>
                <w:rFonts w:ascii="Arial" w:eastAsia="Calibri" w:hAnsi="Arial" w:cs="Arial"/>
                <w:sz w:val="20"/>
                <w:szCs w:val="20"/>
              </w:rPr>
              <w:t>Eden izmed pogojev</w:t>
            </w:r>
            <w:r w:rsidR="00824EA3" w:rsidRPr="00824EA3">
              <w:rPr>
                <w:rFonts w:ascii="Arial" w:eastAsia="Calibri" w:hAnsi="Arial" w:cs="Arial"/>
                <w:sz w:val="20"/>
                <w:szCs w:val="20"/>
              </w:rPr>
              <w:t>, pod katerimi je nadomestilo za uporabo lastnih sredstev pri delu na domu neobdavčeno</w:t>
            </w:r>
            <w:r w:rsidR="000529D7">
              <w:rPr>
                <w:rFonts w:ascii="Arial" w:eastAsia="Calibri" w:hAnsi="Arial" w:cs="Arial"/>
                <w:sz w:val="20"/>
                <w:szCs w:val="20"/>
              </w:rPr>
              <w:t xml:space="preserve">, namreč zahteva, da je nadomestilo določeno na podlagi izračuna realnih stroškov, kar praktično tudi </w:t>
            </w:r>
            <w:r w:rsidR="00824EA3" w:rsidRPr="00824EA3">
              <w:rPr>
                <w:rFonts w:ascii="Arial" w:eastAsia="Calibri" w:hAnsi="Arial" w:cs="Arial"/>
                <w:sz w:val="20"/>
                <w:szCs w:val="20"/>
              </w:rPr>
              <w:t>onemogoča pavšalno dogovarjanje o višini nadomestila</w:t>
            </w:r>
            <w:r w:rsidR="000529D7">
              <w:rPr>
                <w:rFonts w:ascii="Arial" w:eastAsia="Calibri" w:hAnsi="Arial" w:cs="Arial"/>
                <w:sz w:val="20"/>
                <w:szCs w:val="20"/>
              </w:rPr>
              <w:t xml:space="preserve">. Poleg tega se </w:t>
            </w:r>
            <w:r w:rsidR="00824EA3">
              <w:rPr>
                <w:rFonts w:ascii="Arial" w:eastAsia="Calibri" w:hAnsi="Arial" w:cs="Arial"/>
                <w:sz w:val="20"/>
                <w:szCs w:val="20"/>
              </w:rPr>
              <w:t xml:space="preserve">neobdavčeno višino nadomestila določa s </w:t>
            </w:r>
            <w:r w:rsidR="00824EA3" w:rsidRPr="00824EA3">
              <w:rPr>
                <w:rFonts w:ascii="Arial" w:eastAsia="Calibri" w:hAnsi="Arial" w:cs="Arial"/>
                <w:sz w:val="20"/>
                <w:szCs w:val="20"/>
              </w:rPr>
              <w:t>5</w:t>
            </w:r>
            <w:r w:rsidR="00B53EB6">
              <w:rPr>
                <w:rFonts w:ascii="Arial" w:eastAsia="Calibri" w:hAnsi="Arial" w:cs="Arial"/>
                <w:sz w:val="20"/>
                <w:szCs w:val="20"/>
              </w:rPr>
              <w:t> </w:t>
            </w:r>
            <w:r w:rsidR="00824EA3" w:rsidRPr="00824EA3">
              <w:rPr>
                <w:rFonts w:ascii="Arial" w:eastAsia="Calibri" w:hAnsi="Arial" w:cs="Arial"/>
                <w:sz w:val="20"/>
                <w:szCs w:val="20"/>
              </w:rPr>
              <w:t xml:space="preserve">% povprečne mesečne plače delavca, kar pomeni, da je </w:t>
            </w:r>
            <w:r w:rsidR="00B53EB6">
              <w:rPr>
                <w:rFonts w:ascii="Arial" w:eastAsia="Calibri" w:hAnsi="Arial" w:cs="Arial"/>
                <w:sz w:val="20"/>
                <w:szCs w:val="20"/>
              </w:rPr>
              <w:t>popolnoma</w:t>
            </w:r>
            <w:r w:rsidR="00824EA3" w:rsidRPr="00824EA3">
              <w:rPr>
                <w:rFonts w:ascii="Arial" w:eastAsia="Calibri" w:hAnsi="Arial" w:cs="Arial"/>
                <w:sz w:val="20"/>
                <w:szCs w:val="20"/>
              </w:rPr>
              <w:t xml:space="preserve"> neutemeljeno </w:t>
            </w:r>
            <w:r w:rsidR="00824EA3">
              <w:rPr>
                <w:rFonts w:ascii="Arial" w:eastAsia="Calibri" w:hAnsi="Arial" w:cs="Arial"/>
                <w:sz w:val="20"/>
                <w:szCs w:val="20"/>
              </w:rPr>
              <w:t xml:space="preserve">neobdavčena višina </w:t>
            </w:r>
            <w:r w:rsidR="00824EA3" w:rsidRPr="00824EA3">
              <w:rPr>
                <w:rFonts w:ascii="Arial" w:eastAsia="Calibri" w:hAnsi="Arial" w:cs="Arial"/>
                <w:sz w:val="20"/>
                <w:szCs w:val="20"/>
              </w:rPr>
              <w:t>nadomestil</w:t>
            </w:r>
            <w:r w:rsidR="00824EA3">
              <w:rPr>
                <w:rFonts w:ascii="Arial" w:eastAsia="Calibri" w:hAnsi="Arial" w:cs="Arial"/>
                <w:sz w:val="20"/>
                <w:szCs w:val="20"/>
              </w:rPr>
              <w:t>a</w:t>
            </w:r>
            <w:r w:rsidR="00824EA3" w:rsidRPr="00824EA3">
              <w:rPr>
                <w:rFonts w:ascii="Arial" w:eastAsia="Calibri" w:hAnsi="Arial" w:cs="Arial"/>
                <w:sz w:val="20"/>
                <w:szCs w:val="20"/>
              </w:rPr>
              <w:t xml:space="preserve"> </w:t>
            </w:r>
            <w:r w:rsidR="00824EA3">
              <w:rPr>
                <w:rFonts w:ascii="Arial" w:eastAsia="Calibri" w:hAnsi="Arial" w:cs="Arial"/>
                <w:sz w:val="20"/>
                <w:szCs w:val="20"/>
              </w:rPr>
              <w:t xml:space="preserve">določena </w:t>
            </w:r>
            <w:r w:rsidR="00824EA3" w:rsidRPr="00824EA3">
              <w:rPr>
                <w:rFonts w:ascii="Arial" w:eastAsia="Calibri" w:hAnsi="Arial" w:cs="Arial"/>
                <w:sz w:val="20"/>
                <w:szCs w:val="20"/>
              </w:rPr>
              <w:t xml:space="preserve">različno od posameznika do posameznika glede na njegovo plačo, </w:t>
            </w:r>
            <w:r w:rsidR="00B53EB6">
              <w:rPr>
                <w:rFonts w:ascii="Arial" w:eastAsia="Calibri" w:hAnsi="Arial" w:cs="Arial"/>
                <w:sz w:val="20"/>
                <w:szCs w:val="20"/>
              </w:rPr>
              <w:t xml:space="preserve">čeprav </w:t>
            </w:r>
            <w:r w:rsidR="00824EA3" w:rsidRPr="00824EA3">
              <w:rPr>
                <w:rFonts w:ascii="Arial" w:eastAsia="Calibri" w:hAnsi="Arial" w:cs="Arial"/>
                <w:sz w:val="20"/>
                <w:szCs w:val="20"/>
              </w:rPr>
              <w:t>morda v višini stroškov ni nikakršne razlike.</w:t>
            </w:r>
          </w:p>
          <w:p w14:paraId="779F3548" w14:textId="77777777" w:rsidR="00D548F8" w:rsidRDefault="00D548F8" w:rsidP="00824EA3">
            <w:pPr>
              <w:spacing w:after="0" w:line="276" w:lineRule="auto"/>
              <w:contextualSpacing/>
              <w:jc w:val="both"/>
              <w:rPr>
                <w:rFonts w:ascii="Arial" w:eastAsia="Calibri" w:hAnsi="Arial" w:cs="Arial"/>
                <w:sz w:val="20"/>
                <w:szCs w:val="20"/>
              </w:rPr>
            </w:pPr>
          </w:p>
          <w:p w14:paraId="139CC1AF" w14:textId="56579015" w:rsidR="00931FA0" w:rsidRDefault="00931FA0" w:rsidP="00824EA3">
            <w:pPr>
              <w:spacing w:after="0" w:line="276" w:lineRule="auto"/>
              <w:contextualSpacing/>
              <w:jc w:val="both"/>
              <w:rPr>
                <w:rFonts w:ascii="Arial" w:eastAsia="Calibri" w:hAnsi="Arial" w:cs="Arial"/>
                <w:sz w:val="20"/>
                <w:szCs w:val="20"/>
              </w:rPr>
            </w:pPr>
            <w:r>
              <w:rPr>
                <w:rFonts w:ascii="Arial" w:eastAsia="Calibri" w:hAnsi="Arial" w:cs="Arial"/>
                <w:sz w:val="20"/>
                <w:szCs w:val="20"/>
              </w:rPr>
              <w:t>Na podlagi podatkov Statističnega urada RS je razvidno, da je š</w:t>
            </w:r>
            <w:r w:rsidRPr="00931FA0">
              <w:rPr>
                <w:rFonts w:ascii="Arial" w:eastAsia="Calibri" w:hAnsi="Arial" w:cs="Arial"/>
                <w:sz w:val="20"/>
                <w:szCs w:val="20"/>
              </w:rPr>
              <w:t xml:space="preserve">tevilo zaposlenih, ki so svoje delo pogosto opravljali od doma, </w:t>
            </w:r>
            <w:r>
              <w:rPr>
                <w:rFonts w:ascii="Arial" w:eastAsia="Calibri" w:hAnsi="Arial" w:cs="Arial"/>
                <w:sz w:val="20"/>
                <w:szCs w:val="20"/>
              </w:rPr>
              <w:t xml:space="preserve">v letu 2021 </w:t>
            </w:r>
            <w:r w:rsidRPr="00931FA0">
              <w:rPr>
                <w:rFonts w:ascii="Arial" w:eastAsia="Calibri" w:hAnsi="Arial" w:cs="Arial"/>
                <w:sz w:val="20"/>
                <w:szCs w:val="20"/>
              </w:rPr>
              <w:t xml:space="preserve">naraslo za 24.000, kar je pomenilo 52-odstotno rast. Od doma je </w:t>
            </w:r>
            <w:r>
              <w:rPr>
                <w:rFonts w:ascii="Arial" w:eastAsia="Calibri" w:hAnsi="Arial" w:cs="Arial"/>
                <w:sz w:val="20"/>
                <w:szCs w:val="20"/>
              </w:rPr>
              <w:t xml:space="preserve">v tem letu tako </w:t>
            </w:r>
            <w:r w:rsidRPr="00931FA0">
              <w:rPr>
                <w:rFonts w:ascii="Arial" w:eastAsia="Calibri" w:hAnsi="Arial" w:cs="Arial"/>
                <w:sz w:val="20"/>
                <w:szCs w:val="20"/>
              </w:rPr>
              <w:t>pogosto delalo 9</w:t>
            </w:r>
            <w:r w:rsidR="00B53EB6">
              <w:rPr>
                <w:rFonts w:ascii="Arial" w:eastAsia="Calibri" w:hAnsi="Arial" w:cs="Arial"/>
                <w:sz w:val="20"/>
                <w:szCs w:val="20"/>
              </w:rPr>
              <w:t> </w:t>
            </w:r>
            <w:r w:rsidRPr="00931FA0">
              <w:rPr>
                <w:rFonts w:ascii="Arial" w:eastAsia="Calibri" w:hAnsi="Arial" w:cs="Arial"/>
                <w:sz w:val="20"/>
                <w:szCs w:val="20"/>
              </w:rPr>
              <w:t>% zaposlenih, 12</w:t>
            </w:r>
            <w:r w:rsidR="00B53EB6">
              <w:rPr>
                <w:rFonts w:ascii="Arial" w:eastAsia="Calibri" w:hAnsi="Arial" w:cs="Arial"/>
                <w:sz w:val="20"/>
                <w:szCs w:val="20"/>
              </w:rPr>
              <w:t> </w:t>
            </w:r>
            <w:r w:rsidRPr="00931FA0">
              <w:rPr>
                <w:rFonts w:ascii="Arial" w:eastAsia="Calibri" w:hAnsi="Arial" w:cs="Arial"/>
                <w:sz w:val="20"/>
                <w:szCs w:val="20"/>
              </w:rPr>
              <w:t>% pa občasno.</w:t>
            </w:r>
          </w:p>
          <w:p w14:paraId="5FD47C2D" w14:textId="77777777" w:rsidR="00931FA0" w:rsidRDefault="00931FA0" w:rsidP="00824EA3">
            <w:pPr>
              <w:spacing w:after="0" w:line="276" w:lineRule="auto"/>
              <w:contextualSpacing/>
              <w:jc w:val="both"/>
              <w:rPr>
                <w:rFonts w:ascii="Arial" w:eastAsia="Calibri" w:hAnsi="Arial" w:cs="Arial"/>
                <w:sz w:val="20"/>
                <w:szCs w:val="20"/>
              </w:rPr>
            </w:pPr>
          </w:p>
          <w:p w14:paraId="6C320834" w14:textId="783F66FE" w:rsidR="00760820" w:rsidRDefault="00760820" w:rsidP="00824EA3">
            <w:pPr>
              <w:spacing w:after="0" w:line="276" w:lineRule="auto"/>
              <w:contextualSpacing/>
              <w:jc w:val="both"/>
              <w:rPr>
                <w:rFonts w:ascii="Arial" w:eastAsia="Calibri" w:hAnsi="Arial" w:cs="Arial"/>
                <w:sz w:val="20"/>
                <w:szCs w:val="20"/>
              </w:rPr>
            </w:pPr>
            <w:r>
              <w:rPr>
                <w:rFonts w:ascii="Arial" w:eastAsia="Calibri" w:hAnsi="Arial" w:cs="Arial"/>
                <w:sz w:val="20"/>
                <w:szCs w:val="20"/>
              </w:rPr>
              <w:t>Predlaga se poenostavitev pogojev oziroma načina določanj</w:t>
            </w:r>
            <w:r w:rsidR="00883C17">
              <w:rPr>
                <w:rFonts w:ascii="Arial" w:eastAsia="Calibri" w:hAnsi="Arial" w:cs="Arial"/>
                <w:sz w:val="20"/>
                <w:szCs w:val="20"/>
              </w:rPr>
              <w:t>a</w:t>
            </w:r>
            <w:r>
              <w:rPr>
                <w:rFonts w:ascii="Arial" w:eastAsia="Calibri" w:hAnsi="Arial" w:cs="Arial"/>
                <w:sz w:val="20"/>
                <w:szCs w:val="20"/>
              </w:rPr>
              <w:t xml:space="preserve"> neobdavčene višine nadomestila za uporabo lastnih sredstev za delo na domu </w:t>
            </w:r>
            <w:r w:rsidR="00B53EB6">
              <w:rPr>
                <w:rFonts w:ascii="Arial" w:eastAsia="Calibri" w:hAnsi="Arial" w:cs="Arial"/>
                <w:sz w:val="20"/>
                <w:szCs w:val="20"/>
              </w:rPr>
              <w:t>in</w:t>
            </w:r>
            <w:r>
              <w:rPr>
                <w:rFonts w:ascii="Arial" w:eastAsia="Calibri" w:hAnsi="Arial" w:cs="Arial"/>
                <w:sz w:val="20"/>
                <w:szCs w:val="20"/>
              </w:rPr>
              <w:t xml:space="preserve"> pravičnejšo določitev te višine z vidika posameznega delavca.</w:t>
            </w:r>
          </w:p>
          <w:p w14:paraId="46C0AF04" w14:textId="7B83CAEA" w:rsidR="00100AAE" w:rsidRDefault="00100AAE" w:rsidP="00100AAE">
            <w:pPr>
              <w:spacing w:line="276" w:lineRule="auto"/>
              <w:contextualSpacing/>
              <w:jc w:val="both"/>
              <w:rPr>
                <w:rFonts w:ascii="Arial" w:eastAsia="Calibri" w:hAnsi="Arial" w:cs="Arial"/>
                <w:sz w:val="20"/>
                <w:szCs w:val="20"/>
              </w:rPr>
            </w:pPr>
          </w:p>
          <w:p w14:paraId="0A0C66DA" w14:textId="594E1FAD" w:rsidR="00100AAE" w:rsidRPr="00537ADE" w:rsidRDefault="008B373D" w:rsidP="00100AAE">
            <w:pPr>
              <w:spacing w:line="276" w:lineRule="auto"/>
              <w:contextualSpacing/>
              <w:jc w:val="both"/>
              <w:rPr>
                <w:rFonts w:ascii="Arial" w:eastAsia="Calibri" w:hAnsi="Arial" w:cs="Arial"/>
                <w:sz w:val="20"/>
                <w:szCs w:val="20"/>
              </w:rPr>
            </w:pPr>
            <w:r>
              <w:rPr>
                <w:rFonts w:ascii="Arial" w:eastAsia="Calibri" w:hAnsi="Arial" w:cs="Arial"/>
                <w:sz w:val="20"/>
                <w:szCs w:val="20"/>
              </w:rPr>
              <w:t>1.3</w:t>
            </w:r>
            <w:r w:rsidR="00100AAE" w:rsidRPr="00537ADE">
              <w:rPr>
                <w:rFonts w:ascii="Arial" w:eastAsia="Calibri" w:hAnsi="Arial" w:cs="Arial"/>
                <w:sz w:val="20"/>
                <w:szCs w:val="20"/>
              </w:rPr>
              <w:t xml:space="preserve"> </w:t>
            </w:r>
            <w:r w:rsidR="00073412" w:rsidRPr="00537ADE">
              <w:rPr>
                <w:rFonts w:ascii="Arial" w:eastAsia="Calibri" w:hAnsi="Arial" w:cs="Arial"/>
                <w:sz w:val="20"/>
                <w:szCs w:val="20"/>
              </w:rPr>
              <w:t>Ugotavljanje davčne osnove od dohodkov iz dejavnosti z upoštevanjem normiranih odhodkov</w:t>
            </w:r>
          </w:p>
          <w:p w14:paraId="39F423BA" w14:textId="5145A188" w:rsidR="00073412" w:rsidRPr="00073412" w:rsidRDefault="00073412" w:rsidP="00073412">
            <w:pPr>
              <w:spacing w:line="276" w:lineRule="auto"/>
              <w:contextualSpacing/>
              <w:jc w:val="both"/>
              <w:rPr>
                <w:rFonts w:ascii="Arial" w:eastAsia="Calibri" w:hAnsi="Arial" w:cs="Arial"/>
                <w:sz w:val="20"/>
                <w:szCs w:val="20"/>
              </w:rPr>
            </w:pPr>
            <w:r w:rsidRPr="00073412">
              <w:rPr>
                <w:rFonts w:ascii="Arial" w:eastAsia="Calibri" w:hAnsi="Arial" w:cs="Arial"/>
                <w:sz w:val="20"/>
                <w:szCs w:val="20"/>
              </w:rPr>
              <w:t>Poenostavljen način ugotavljanja davčne osnove od dohodkov iz dejavnosti</w:t>
            </w:r>
            <w:r w:rsidR="00EC29B9">
              <w:rPr>
                <w:rFonts w:ascii="Arial" w:eastAsia="Calibri" w:hAnsi="Arial" w:cs="Arial"/>
                <w:sz w:val="20"/>
                <w:szCs w:val="20"/>
              </w:rPr>
              <w:t>,</w:t>
            </w:r>
            <w:r w:rsidRPr="00073412">
              <w:rPr>
                <w:rFonts w:ascii="Arial" w:eastAsia="Calibri" w:hAnsi="Arial" w:cs="Arial"/>
                <w:sz w:val="20"/>
                <w:szCs w:val="20"/>
              </w:rPr>
              <w:t xml:space="preserve"> kot izjema od splošnega načina ugotavljanja davčne osnove na podlagi dejanskih prihodkov in odhodkov</w:t>
            </w:r>
            <w:r w:rsidR="00EC29B9">
              <w:rPr>
                <w:rFonts w:ascii="Arial" w:eastAsia="Calibri" w:hAnsi="Arial" w:cs="Arial"/>
                <w:sz w:val="20"/>
                <w:szCs w:val="20"/>
              </w:rPr>
              <w:t>,</w:t>
            </w:r>
            <w:r w:rsidRPr="00073412">
              <w:rPr>
                <w:rFonts w:ascii="Arial" w:eastAsia="Calibri" w:hAnsi="Arial" w:cs="Arial"/>
                <w:sz w:val="20"/>
                <w:szCs w:val="20"/>
              </w:rPr>
              <w:t xml:space="preserve"> je bil v Sloveniji uveden z Zakonom o spremembah in dopolnitvah Zakona o dohodnini (Uradni list RS, št.</w:t>
            </w:r>
            <w:r w:rsidR="00B53EB6">
              <w:rPr>
                <w:rFonts w:ascii="Arial" w:eastAsia="Calibri" w:hAnsi="Arial" w:cs="Arial"/>
                <w:sz w:val="20"/>
                <w:szCs w:val="20"/>
              </w:rPr>
              <w:t> </w:t>
            </w:r>
            <w:r w:rsidRPr="00073412">
              <w:rPr>
                <w:rFonts w:ascii="Arial" w:eastAsia="Calibri" w:hAnsi="Arial" w:cs="Arial"/>
                <w:sz w:val="20"/>
                <w:szCs w:val="20"/>
              </w:rPr>
              <w:t>34/91). Po tem zakonu so zavezanci, ki so opravljali določene poklice in druge dejavnosti, ugotavljali davčno osnovo z upoštevanjem normiranih odhodkov. V okviru davčne reforme leta 2004 se je z Zakonom o dohodnini (ZDoh-1) pri obdavčevanju dohodkov fizičnih oseb, ki opravljajo dejavnost, uvedla možnost ugotavljanja davčne osnove na podlagi normiranih odhodkov v višini 25</w:t>
            </w:r>
            <w:r w:rsidR="00B53EB6">
              <w:rPr>
                <w:rFonts w:ascii="Arial" w:eastAsia="Calibri" w:hAnsi="Arial" w:cs="Arial"/>
                <w:sz w:val="20"/>
                <w:szCs w:val="20"/>
              </w:rPr>
              <w:t> </w:t>
            </w:r>
            <w:r w:rsidRPr="00073412">
              <w:rPr>
                <w:rFonts w:ascii="Arial" w:eastAsia="Calibri" w:hAnsi="Arial" w:cs="Arial"/>
                <w:sz w:val="20"/>
                <w:szCs w:val="20"/>
              </w:rPr>
              <w:t>%. Zakon o spremembah in dopolnitvah Zakona o dohodnini (ZDoh-1D) je za dopolnilno dejavnost na kmetiji, za katero je bilo mogoče davčno osnovo ugotavljati na podlagi dejanskih prihodkov in normiranih odhodkov, povečal delež priznanih normiranih odhodkov s 25</w:t>
            </w:r>
            <w:r w:rsidR="00B53EB6">
              <w:rPr>
                <w:rFonts w:ascii="Arial" w:eastAsia="Calibri" w:hAnsi="Arial" w:cs="Arial"/>
                <w:sz w:val="20"/>
                <w:szCs w:val="20"/>
              </w:rPr>
              <w:t> </w:t>
            </w:r>
            <w:r w:rsidRPr="00073412">
              <w:rPr>
                <w:rFonts w:ascii="Arial" w:eastAsia="Calibri" w:hAnsi="Arial" w:cs="Arial"/>
                <w:sz w:val="20"/>
                <w:szCs w:val="20"/>
              </w:rPr>
              <w:t>% na 70</w:t>
            </w:r>
            <w:r w:rsidR="00B53EB6">
              <w:rPr>
                <w:rFonts w:ascii="Arial" w:eastAsia="Calibri" w:hAnsi="Arial" w:cs="Arial"/>
                <w:sz w:val="20"/>
                <w:szCs w:val="20"/>
              </w:rPr>
              <w:t> </w:t>
            </w:r>
            <w:r w:rsidRPr="00073412">
              <w:rPr>
                <w:rFonts w:ascii="Arial" w:eastAsia="Calibri" w:hAnsi="Arial" w:cs="Arial"/>
                <w:sz w:val="20"/>
                <w:szCs w:val="20"/>
              </w:rPr>
              <w:t xml:space="preserve">%. </w:t>
            </w:r>
          </w:p>
          <w:p w14:paraId="660B7295" w14:textId="77777777" w:rsidR="00073412" w:rsidRPr="00073412" w:rsidRDefault="00073412" w:rsidP="00073412">
            <w:pPr>
              <w:spacing w:line="276" w:lineRule="auto"/>
              <w:contextualSpacing/>
              <w:jc w:val="both"/>
              <w:rPr>
                <w:rFonts w:ascii="Arial" w:eastAsia="Calibri" w:hAnsi="Arial" w:cs="Arial"/>
                <w:sz w:val="20"/>
                <w:szCs w:val="20"/>
              </w:rPr>
            </w:pPr>
          </w:p>
          <w:p w14:paraId="60379A10" w14:textId="1C0D4405" w:rsidR="00073412" w:rsidRPr="00073412" w:rsidRDefault="00073412" w:rsidP="00073412">
            <w:pPr>
              <w:spacing w:line="276" w:lineRule="auto"/>
              <w:contextualSpacing/>
              <w:jc w:val="both"/>
              <w:rPr>
                <w:rFonts w:ascii="Arial" w:eastAsia="Calibri" w:hAnsi="Arial" w:cs="Arial"/>
                <w:sz w:val="20"/>
                <w:szCs w:val="20"/>
              </w:rPr>
            </w:pPr>
            <w:r w:rsidRPr="00073412">
              <w:rPr>
                <w:rFonts w:ascii="Arial" w:eastAsia="Calibri" w:hAnsi="Arial" w:cs="Arial"/>
                <w:sz w:val="20"/>
                <w:szCs w:val="20"/>
              </w:rPr>
              <w:t xml:space="preserve">Z uveljavitvijo ZDoh-2 je bila več zavezancem, ki ugotavljajo davčno osnovo na podlagi normiranih odhodkov (v nadaljnjem besedilu: </w:t>
            </w:r>
            <w:proofErr w:type="spellStart"/>
            <w:r w:rsidRPr="00073412">
              <w:rPr>
                <w:rFonts w:ascii="Arial" w:eastAsia="Calibri" w:hAnsi="Arial" w:cs="Arial"/>
                <w:sz w:val="20"/>
                <w:szCs w:val="20"/>
              </w:rPr>
              <w:t>normiranci</w:t>
            </w:r>
            <w:proofErr w:type="spellEnd"/>
            <w:r w:rsidRPr="00073412">
              <w:rPr>
                <w:rFonts w:ascii="Arial" w:eastAsia="Calibri" w:hAnsi="Arial" w:cs="Arial"/>
                <w:sz w:val="20"/>
                <w:szCs w:val="20"/>
              </w:rPr>
              <w:t>), dana možnost, da se odločijo za vstop v ta sistem. To je bila posledica ureditve v Zakonu o gospodarskih družbah (Uradni list RS, št.</w:t>
            </w:r>
            <w:r w:rsidR="00B53EB6">
              <w:rPr>
                <w:rFonts w:ascii="Arial" w:eastAsia="Calibri" w:hAnsi="Arial" w:cs="Arial"/>
                <w:sz w:val="20"/>
                <w:szCs w:val="20"/>
              </w:rPr>
              <w:t> </w:t>
            </w:r>
            <w:r w:rsidRPr="00073412">
              <w:rPr>
                <w:rFonts w:ascii="Arial" w:eastAsia="Calibri" w:hAnsi="Arial" w:cs="Arial"/>
                <w:sz w:val="20"/>
                <w:szCs w:val="20"/>
              </w:rPr>
              <w:t>42/06), ki je za določene samostojne podjetnike poenostavil obveznosti v zvezi z vodenjem poslovnih knjig. V prvotni sistem ugotavljanja davčne osnove z upoštevanjem normiranih odhodkov po ZDoh-2 so lahko vstopili zavezanci, ki jim ni bilo treba voditi poslovnih knjig in evidenc po drugih predpisih, njihovi prihodki iz dejavnosti v zadnjih zaporednih 12 mesecih, vključno z oktobrom tekočega leta, pa niso presegali 42.000</w:t>
            </w:r>
            <w:r w:rsidR="00B53EB6">
              <w:rPr>
                <w:rFonts w:ascii="Arial" w:eastAsia="Calibri" w:hAnsi="Arial" w:cs="Arial"/>
                <w:sz w:val="20"/>
                <w:szCs w:val="20"/>
              </w:rPr>
              <w:t> </w:t>
            </w:r>
            <w:r w:rsidR="00A22AC2">
              <w:rPr>
                <w:rFonts w:ascii="Arial" w:eastAsia="Calibri" w:hAnsi="Arial" w:cs="Arial"/>
                <w:sz w:val="20"/>
                <w:szCs w:val="20"/>
              </w:rPr>
              <w:t>EUR</w:t>
            </w:r>
            <w:r w:rsidRPr="00073412">
              <w:rPr>
                <w:rFonts w:ascii="Arial" w:eastAsia="Calibri" w:hAnsi="Arial" w:cs="Arial"/>
                <w:sz w:val="20"/>
                <w:szCs w:val="20"/>
              </w:rPr>
              <w:t xml:space="preserve"> in niso zaposlovali delavcev. Določeni so bili tudi primerljivi pogoji za osnovno kmetijsko in osnovno gozdarsko dejavnost. Zavezanci, ki so za dohodke iz dejavnosti ugotavljali davčno osnovo z upoštevanjem normiranih odhodkov, so morali voditi le evidenco izdanih knjigovodskih listin, evidenco osnovnih sredstev </w:t>
            </w:r>
            <w:r w:rsidR="00B53EB6">
              <w:rPr>
                <w:rFonts w:ascii="Arial" w:eastAsia="Calibri" w:hAnsi="Arial" w:cs="Arial"/>
                <w:sz w:val="20"/>
                <w:szCs w:val="20"/>
              </w:rPr>
              <w:t>ter</w:t>
            </w:r>
            <w:r w:rsidRPr="00073412">
              <w:rPr>
                <w:rFonts w:ascii="Arial" w:eastAsia="Calibri" w:hAnsi="Arial" w:cs="Arial"/>
                <w:sz w:val="20"/>
                <w:szCs w:val="20"/>
              </w:rPr>
              <w:t xml:space="preserve"> določene druge evidence, vezane na organizacijske in področne predpise. Znesek normiranih odhodkov je bil določen v višini 25</w:t>
            </w:r>
            <w:r w:rsidR="00B53EB6">
              <w:rPr>
                <w:rFonts w:ascii="Arial" w:eastAsia="Calibri" w:hAnsi="Arial" w:cs="Arial"/>
                <w:sz w:val="20"/>
                <w:szCs w:val="20"/>
              </w:rPr>
              <w:t> </w:t>
            </w:r>
            <w:r w:rsidRPr="00073412">
              <w:rPr>
                <w:rFonts w:ascii="Arial" w:eastAsia="Calibri" w:hAnsi="Arial" w:cs="Arial"/>
                <w:sz w:val="20"/>
                <w:szCs w:val="20"/>
              </w:rPr>
              <w:t>% prihodkov, za kmetijsko in gozdarsko dejavnost ter izdelavo in prodajo domače in umetnostne obrti pa v višini 70</w:t>
            </w:r>
            <w:r w:rsidR="00B53EB6">
              <w:rPr>
                <w:rFonts w:ascii="Arial" w:eastAsia="Calibri" w:hAnsi="Arial" w:cs="Arial"/>
                <w:sz w:val="20"/>
                <w:szCs w:val="20"/>
              </w:rPr>
              <w:t> </w:t>
            </w:r>
            <w:r w:rsidRPr="00073412">
              <w:rPr>
                <w:rFonts w:ascii="Arial" w:eastAsia="Calibri" w:hAnsi="Arial" w:cs="Arial"/>
                <w:sz w:val="20"/>
                <w:szCs w:val="20"/>
              </w:rPr>
              <w:t>% prihodkov. Z Zakonom o spremembah in dopolnitvah Energetskega zakona (Uradni list RS, št.</w:t>
            </w:r>
            <w:r w:rsidR="00B53EB6">
              <w:rPr>
                <w:rFonts w:ascii="Arial" w:eastAsia="Calibri" w:hAnsi="Arial" w:cs="Arial"/>
                <w:sz w:val="20"/>
                <w:szCs w:val="20"/>
              </w:rPr>
              <w:t> </w:t>
            </w:r>
            <w:r w:rsidRPr="00073412">
              <w:rPr>
                <w:rFonts w:ascii="Arial" w:eastAsia="Calibri" w:hAnsi="Arial" w:cs="Arial"/>
                <w:sz w:val="20"/>
                <w:szCs w:val="20"/>
              </w:rPr>
              <w:t>70/08) se je znesek normiranih odhodkov v višini 70</w:t>
            </w:r>
            <w:r w:rsidR="00B53EB6">
              <w:rPr>
                <w:rFonts w:ascii="Arial" w:eastAsia="Calibri" w:hAnsi="Arial" w:cs="Arial"/>
                <w:sz w:val="20"/>
                <w:szCs w:val="20"/>
              </w:rPr>
              <w:t> </w:t>
            </w:r>
            <w:r w:rsidRPr="00073412">
              <w:rPr>
                <w:rFonts w:ascii="Arial" w:eastAsia="Calibri" w:hAnsi="Arial" w:cs="Arial"/>
                <w:sz w:val="20"/>
                <w:szCs w:val="20"/>
              </w:rPr>
              <w:t>% prihodkov določil tudi za zavezance, ki so opravljali dejavnost proizvodnje električne energije v okviru malih elektrarn. Zavezancem, ki so se odločili za vstop v sistem ugotavljanja davčne osnove na podlagi normiranih odhodkov, so se upoštevali prihodki ob njihovem plačilu (načelo plačane realizacije), dodatno pa so se jim priznali kot zmanjšanje osnove še za njih plačani obvezni prispevki za socialno varnost.</w:t>
            </w:r>
          </w:p>
          <w:p w14:paraId="501E5325" w14:textId="77777777" w:rsidR="00073412" w:rsidRPr="00073412" w:rsidRDefault="00073412" w:rsidP="00073412">
            <w:pPr>
              <w:spacing w:line="276" w:lineRule="auto"/>
              <w:contextualSpacing/>
              <w:jc w:val="both"/>
              <w:rPr>
                <w:rFonts w:ascii="Arial" w:eastAsia="Calibri" w:hAnsi="Arial" w:cs="Arial"/>
                <w:sz w:val="20"/>
                <w:szCs w:val="20"/>
              </w:rPr>
            </w:pPr>
          </w:p>
          <w:p w14:paraId="36688B88" w14:textId="46D2206E" w:rsidR="00073412" w:rsidRPr="00073412" w:rsidRDefault="00073412" w:rsidP="00073412">
            <w:pPr>
              <w:spacing w:line="276" w:lineRule="auto"/>
              <w:contextualSpacing/>
              <w:jc w:val="both"/>
              <w:rPr>
                <w:rFonts w:ascii="Arial" w:eastAsia="Calibri" w:hAnsi="Arial" w:cs="Arial"/>
                <w:sz w:val="20"/>
                <w:szCs w:val="20"/>
              </w:rPr>
            </w:pPr>
            <w:r w:rsidRPr="00073412">
              <w:rPr>
                <w:rFonts w:ascii="Arial" w:eastAsia="Calibri" w:hAnsi="Arial" w:cs="Arial"/>
                <w:sz w:val="20"/>
                <w:szCs w:val="20"/>
              </w:rPr>
              <w:t>Z Zakonom o spremembah in dopolnitvah Zakona o dohodnini (ZDoh-2L) se je leta 2012 sistem ugotavljanja davčne osnove na podlagi normiranih odhodkov precej spremenil in v osnovi še vedno velja. Določil se je višji limit prihodkov iz opravljanja dejavnosti, ki je določen kot pogoj za vstop v sistem, in sicer v višini 50.000</w:t>
            </w:r>
            <w:r w:rsidR="00B53EB6">
              <w:rPr>
                <w:rFonts w:ascii="Arial" w:eastAsia="Calibri" w:hAnsi="Arial" w:cs="Arial"/>
                <w:sz w:val="20"/>
                <w:szCs w:val="20"/>
              </w:rPr>
              <w:t> </w:t>
            </w:r>
            <w:r w:rsidR="00A22AC2">
              <w:rPr>
                <w:rFonts w:ascii="Arial" w:eastAsia="Calibri" w:hAnsi="Arial" w:cs="Arial"/>
                <w:sz w:val="20"/>
                <w:szCs w:val="20"/>
              </w:rPr>
              <w:t>EUR</w:t>
            </w:r>
            <w:r w:rsidRPr="00073412">
              <w:rPr>
                <w:rFonts w:ascii="Arial" w:eastAsia="Calibri" w:hAnsi="Arial" w:cs="Arial"/>
                <w:sz w:val="20"/>
                <w:szCs w:val="20"/>
              </w:rPr>
              <w:t>, spremenila sta se obdobje, ki je relevantno za ugotavljanje izpolnjevanja prihodkovnega pogoja za vstop v sistem, in obstanek v njem, določila so se pravila, kaj se šteje za novo opravljanje dejavnosti, in merila, kaj se šteje v prihodke zavezanca oziroma oseb, katerih prihodki se upoštevajo pri presoji izpolnjevanja prihodkovnega pogoja. Dvignila se je višina normiranih odhodkov na 70</w:t>
            </w:r>
            <w:r w:rsidR="00B53EB6">
              <w:rPr>
                <w:rFonts w:ascii="Arial" w:eastAsia="Calibri" w:hAnsi="Arial" w:cs="Arial"/>
                <w:sz w:val="20"/>
                <w:szCs w:val="20"/>
              </w:rPr>
              <w:t> </w:t>
            </w:r>
            <w:r w:rsidRPr="00073412">
              <w:rPr>
                <w:rFonts w:ascii="Arial" w:eastAsia="Calibri" w:hAnsi="Arial" w:cs="Arial"/>
                <w:sz w:val="20"/>
                <w:szCs w:val="20"/>
              </w:rPr>
              <w:t xml:space="preserve">% davčno priznanih prihodkov za vse (brez izjem za določene dejavnosti), ukinila se je možnost uveljavljanja dejanskih stroškov obveznih prispevkov za socialno varnost. Za zavezance, ki se po lastni presoji vključujejo v sistem, se je uvedlo ugotavljanje prihodkov po načelu obračunane realizacije, namesto zahteve za vstop sta se uvedla priglasitev v sistem s </w:t>
            </w:r>
            <w:proofErr w:type="spellStart"/>
            <w:r w:rsidRPr="00073412">
              <w:rPr>
                <w:rFonts w:ascii="Arial" w:eastAsia="Calibri" w:hAnsi="Arial" w:cs="Arial"/>
                <w:sz w:val="20"/>
                <w:szCs w:val="20"/>
              </w:rPr>
              <w:t>prekluzivnim</w:t>
            </w:r>
            <w:proofErr w:type="spellEnd"/>
            <w:r w:rsidRPr="00073412">
              <w:rPr>
                <w:rFonts w:ascii="Arial" w:eastAsia="Calibri" w:hAnsi="Arial" w:cs="Arial"/>
                <w:sz w:val="20"/>
                <w:szCs w:val="20"/>
              </w:rPr>
              <w:t xml:space="preserve"> rokom (določeno z zakonom, ki ureja davčni postopek) in samodejno podaljševanje tega načina ugotavljanja davčne osnove, zavezanec davčni organ </w:t>
            </w:r>
            <w:r w:rsidR="00B53EB6">
              <w:rPr>
                <w:rFonts w:ascii="Arial" w:eastAsia="Calibri" w:hAnsi="Arial" w:cs="Arial"/>
                <w:sz w:val="20"/>
                <w:szCs w:val="20"/>
              </w:rPr>
              <w:t>le</w:t>
            </w:r>
            <w:r w:rsidRPr="00073412">
              <w:rPr>
                <w:rFonts w:ascii="Arial" w:eastAsia="Calibri" w:hAnsi="Arial" w:cs="Arial"/>
                <w:sz w:val="20"/>
                <w:szCs w:val="20"/>
              </w:rPr>
              <w:t xml:space="preserve"> obvesti o izstopu iz sistema. Predpisala se je tudi dolžnost ugotavljanja izpolnjevanja pogojev za uporabo tega sistema, in sicer če zavezanec dve zaporedni predhodni davčni leti ne izpolnjuje več pogojev, mora za tekoče davčno leto ugotavljati davčno osnovo na podlagi dejanskih prihodkov in dejanskih odhodkov. Uvedla se je </w:t>
            </w:r>
            <w:proofErr w:type="spellStart"/>
            <w:r w:rsidRPr="00073412">
              <w:rPr>
                <w:rFonts w:ascii="Arial" w:eastAsia="Calibri" w:hAnsi="Arial" w:cs="Arial"/>
                <w:sz w:val="20"/>
                <w:szCs w:val="20"/>
              </w:rPr>
              <w:t>cedularna</w:t>
            </w:r>
            <w:proofErr w:type="spellEnd"/>
            <w:r w:rsidRPr="00073412">
              <w:rPr>
                <w:rFonts w:ascii="Arial" w:eastAsia="Calibri" w:hAnsi="Arial" w:cs="Arial"/>
                <w:sz w:val="20"/>
                <w:szCs w:val="20"/>
              </w:rPr>
              <w:t xml:space="preserve"> obdavčitev dohodkov zavezancev, ki so se odločili za ugotavljanje davčne osnove od dohodka iz opravljanja dejavnosti na podlagi normiranih odhodkov, s tem se tako </w:t>
            </w:r>
            <w:r w:rsidRPr="00073412">
              <w:rPr>
                <w:rFonts w:ascii="Arial" w:eastAsia="Calibri" w:hAnsi="Arial" w:cs="Arial"/>
                <w:sz w:val="20"/>
                <w:szCs w:val="20"/>
              </w:rPr>
              <w:lastRenderedPageBreak/>
              <w:t>izračunan davek šteje za dokončnega in se ne poračunava na letni ravni v okviru izračunavanja letne dohodninske osnove. Spremenil se je tudi način izračunavanja davčne osnove, in sicer se izračunava v davčnem obračunu in ne več z odločbo davčnega organa na podlagi napovedi zavezanca oziroma kot plačnik davka v obračunu davčnega odtegljaja.</w:t>
            </w:r>
          </w:p>
          <w:p w14:paraId="63BDB91F" w14:textId="77777777" w:rsidR="00073412" w:rsidRPr="00073412" w:rsidRDefault="00073412" w:rsidP="00073412">
            <w:pPr>
              <w:spacing w:line="276" w:lineRule="auto"/>
              <w:contextualSpacing/>
              <w:jc w:val="both"/>
              <w:rPr>
                <w:rFonts w:ascii="Arial" w:eastAsia="Calibri" w:hAnsi="Arial" w:cs="Arial"/>
                <w:sz w:val="20"/>
                <w:szCs w:val="20"/>
              </w:rPr>
            </w:pPr>
          </w:p>
          <w:p w14:paraId="0073B681" w14:textId="238CBEF8" w:rsidR="00073412" w:rsidRDefault="00073412" w:rsidP="00073412">
            <w:pPr>
              <w:spacing w:line="276" w:lineRule="auto"/>
              <w:contextualSpacing/>
              <w:jc w:val="both"/>
              <w:rPr>
                <w:rFonts w:ascii="Arial" w:eastAsia="Calibri" w:hAnsi="Arial" w:cs="Arial"/>
                <w:sz w:val="20"/>
                <w:szCs w:val="20"/>
              </w:rPr>
            </w:pPr>
            <w:r w:rsidRPr="00073412">
              <w:rPr>
                <w:rFonts w:ascii="Arial" w:eastAsia="Calibri" w:hAnsi="Arial" w:cs="Arial"/>
                <w:sz w:val="20"/>
                <w:szCs w:val="20"/>
              </w:rPr>
              <w:t>Skupina poslank in poslancev je v prvi polovici leta 2014 Državnemu zboru RS predložila v obravnavo predlog Zakona o spremembah in dopolnitvi Zakona o dohodnini (ZDoh-2N), s katerim je predlagala nove spremembe na področju sistema ugotavljanja davčne osnove od dohodkov iz dejavnosti z upoštevanjem normiranih odhodkov, ki jih je Državni zbor RS sprejel kljub nasprotovanju Vlade RS. Prihodkovni prag za vstop v sistem normiranih odhodkov se je tako leta 2015 povišal s 50.000</w:t>
            </w:r>
            <w:r w:rsidR="00B53EB6">
              <w:rPr>
                <w:rFonts w:ascii="Arial" w:eastAsia="Calibri" w:hAnsi="Arial" w:cs="Arial"/>
                <w:sz w:val="20"/>
                <w:szCs w:val="20"/>
              </w:rPr>
              <w:t> </w:t>
            </w:r>
            <w:r w:rsidR="0078581E">
              <w:rPr>
                <w:rFonts w:ascii="Arial" w:eastAsia="Calibri" w:hAnsi="Arial" w:cs="Arial"/>
                <w:sz w:val="20"/>
                <w:szCs w:val="20"/>
              </w:rPr>
              <w:t>EUR</w:t>
            </w:r>
            <w:r w:rsidR="0078581E" w:rsidRPr="00073412">
              <w:rPr>
                <w:rFonts w:ascii="Arial" w:eastAsia="Calibri" w:hAnsi="Arial" w:cs="Arial"/>
                <w:sz w:val="20"/>
                <w:szCs w:val="20"/>
              </w:rPr>
              <w:t xml:space="preserve"> </w:t>
            </w:r>
            <w:r w:rsidRPr="00073412">
              <w:rPr>
                <w:rFonts w:ascii="Arial" w:eastAsia="Calibri" w:hAnsi="Arial" w:cs="Arial"/>
                <w:sz w:val="20"/>
                <w:szCs w:val="20"/>
              </w:rPr>
              <w:t>na 100.000</w:t>
            </w:r>
            <w:r w:rsidR="00B53EB6">
              <w:rPr>
                <w:rFonts w:ascii="Arial" w:eastAsia="Calibri" w:hAnsi="Arial" w:cs="Arial"/>
                <w:sz w:val="20"/>
                <w:szCs w:val="20"/>
              </w:rPr>
              <w:t> </w:t>
            </w:r>
            <w:r w:rsidR="0078581E">
              <w:rPr>
                <w:rFonts w:ascii="Arial" w:eastAsia="Calibri" w:hAnsi="Arial" w:cs="Arial"/>
                <w:sz w:val="20"/>
                <w:szCs w:val="20"/>
              </w:rPr>
              <w:t>EUR</w:t>
            </w:r>
            <w:r w:rsidR="0078581E" w:rsidRPr="00073412">
              <w:rPr>
                <w:rFonts w:ascii="Arial" w:eastAsia="Calibri" w:hAnsi="Arial" w:cs="Arial"/>
                <w:sz w:val="20"/>
                <w:szCs w:val="20"/>
              </w:rPr>
              <w:t xml:space="preserve"> </w:t>
            </w:r>
            <w:r w:rsidRPr="00073412">
              <w:rPr>
                <w:rFonts w:ascii="Arial" w:eastAsia="Calibri" w:hAnsi="Arial" w:cs="Arial"/>
                <w:sz w:val="20"/>
                <w:szCs w:val="20"/>
              </w:rPr>
              <w:t>prihodkov, ob pogoju pokojninskega in invalidskega zavarovanja vsaj ene osebe pri zavezancu za polni delovni čas neprekinjeno najmanj pet mesecev. Višina normiranih odhodkov pa se je povečala s 70</w:t>
            </w:r>
            <w:r w:rsidR="00B53EB6">
              <w:rPr>
                <w:rFonts w:ascii="Arial" w:eastAsia="Calibri" w:hAnsi="Arial" w:cs="Arial"/>
                <w:sz w:val="20"/>
                <w:szCs w:val="20"/>
              </w:rPr>
              <w:t> </w:t>
            </w:r>
            <w:r w:rsidRPr="00073412">
              <w:rPr>
                <w:rFonts w:ascii="Arial" w:eastAsia="Calibri" w:hAnsi="Arial" w:cs="Arial"/>
                <w:sz w:val="20"/>
                <w:szCs w:val="20"/>
              </w:rPr>
              <w:t>% na 80</w:t>
            </w:r>
            <w:r w:rsidR="00B53EB6">
              <w:rPr>
                <w:rFonts w:ascii="Arial" w:eastAsia="Calibri" w:hAnsi="Arial" w:cs="Arial"/>
                <w:sz w:val="20"/>
                <w:szCs w:val="20"/>
              </w:rPr>
              <w:t> </w:t>
            </w:r>
            <w:r w:rsidRPr="00073412">
              <w:rPr>
                <w:rFonts w:ascii="Arial" w:eastAsia="Calibri" w:hAnsi="Arial" w:cs="Arial"/>
                <w:sz w:val="20"/>
                <w:szCs w:val="20"/>
              </w:rPr>
              <w:t xml:space="preserve">% davčnih prihodkov. Predlog predlagatelja je temeljil na oceni, da ureditev, sprejeta leta 2012, ne zajema dovolj podjetnikov, ki jim je tudi prvotno namenjena zaradi administrativne razbremenitve njihovega poslovanja in zmanjšanja fiksnih stroškov vodenja poslovnih knjig. Prihodkovni prag je bil po mnenju predlagatelja prenizek, s čimer naj bi se izpuščal najbolj perspektiven del slovenskega gospodarstva, torej </w:t>
            </w:r>
            <w:proofErr w:type="spellStart"/>
            <w:r w:rsidRPr="00073412">
              <w:rPr>
                <w:rFonts w:ascii="Arial" w:eastAsia="Calibri" w:hAnsi="Arial" w:cs="Arial"/>
                <w:sz w:val="20"/>
                <w:szCs w:val="20"/>
              </w:rPr>
              <w:t>mikropodjetništvo</w:t>
            </w:r>
            <w:proofErr w:type="spellEnd"/>
            <w:r w:rsidRPr="00073412">
              <w:rPr>
                <w:rFonts w:ascii="Arial" w:eastAsia="Calibri" w:hAnsi="Arial" w:cs="Arial"/>
                <w:sz w:val="20"/>
                <w:szCs w:val="20"/>
              </w:rPr>
              <w:t xml:space="preserve">. Predlagatelj je ugotovil, da imajo, gledano po dejavnostih, od veljavne ureditve realne koristi le občasne svetovalne storitve, intelektualne storitve, predavanja, projektne storitve ipd., torej podjetniki z razmeroma majhnim obsegom poslovanja in nizkimi davčno priznanimi stroški. Nadalje je predlagatelj menil, da je glede na spremenjene razmere v gospodarstvu, ki se še vedno zaostrujejo, smiselno višino normiranih odhodkov povečati, saj administrativne obremenitve pri izpolnjevanju davčnih obveznosti pri poslovanju še </w:t>
            </w:r>
            <w:r w:rsidR="00B53EB6">
              <w:rPr>
                <w:rFonts w:ascii="Arial" w:eastAsia="Calibri" w:hAnsi="Arial" w:cs="Arial"/>
                <w:sz w:val="20"/>
                <w:szCs w:val="20"/>
              </w:rPr>
              <w:t>zlasti</w:t>
            </w:r>
            <w:r w:rsidRPr="00073412">
              <w:rPr>
                <w:rFonts w:ascii="Arial" w:eastAsia="Calibri" w:hAnsi="Arial" w:cs="Arial"/>
                <w:sz w:val="20"/>
                <w:szCs w:val="20"/>
              </w:rPr>
              <w:t xml:space="preserve"> omejuje male podjetnike, ki se namesto z osnovno dejavnostjo veliko časa ukvarjajo z birokracijo. </w:t>
            </w:r>
          </w:p>
          <w:p w14:paraId="2C8BB9C1" w14:textId="0761E693" w:rsidR="00042A4D" w:rsidRDefault="00042A4D" w:rsidP="00073412">
            <w:pPr>
              <w:spacing w:line="276" w:lineRule="auto"/>
              <w:contextualSpacing/>
              <w:jc w:val="both"/>
              <w:rPr>
                <w:rFonts w:ascii="Arial" w:eastAsia="Calibri" w:hAnsi="Arial" w:cs="Arial"/>
                <w:sz w:val="20"/>
                <w:szCs w:val="20"/>
              </w:rPr>
            </w:pPr>
          </w:p>
          <w:p w14:paraId="68FDFB3B" w14:textId="7C588A35" w:rsidR="00E14CFC" w:rsidRDefault="00042A4D" w:rsidP="003D2FF7">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V letu 2016 je analiza sistema pokazala, da </w:t>
            </w:r>
            <w:r w:rsidRPr="00042A4D">
              <w:rPr>
                <w:rFonts w:ascii="Arial" w:eastAsia="Calibri" w:hAnsi="Arial" w:cs="Arial"/>
                <w:sz w:val="20"/>
                <w:szCs w:val="20"/>
              </w:rPr>
              <w:t xml:space="preserve">nameni in cilji </w:t>
            </w:r>
            <w:r>
              <w:rPr>
                <w:rFonts w:ascii="Arial" w:eastAsia="Calibri" w:hAnsi="Arial" w:cs="Arial"/>
                <w:sz w:val="20"/>
                <w:szCs w:val="20"/>
              </w:rPr>
              <w:t xml:space="preserve">nadgradnje </w:t>
            </w:r>
            <w:r w:rsidRPr="00042A4D">
              <w:rPr>
                <w:rFonts w:ascii="Arial" w:eastAsia="Calibri" w:hAnsi="Arial" w:cs="Arial"/>
                <w:sz w:val="20"/>
                <w:szCs w:val="20"/>
              </w:rPr>
              <w:t>sistema normiranih odhodkov za fizične osebe, ki opravljajo dejavnost</w:t>
            </w:r>
            <w:r>
              <w:rPr>
                <w:rFonts w:ascii="Arial" w:eastAsia="Calibri" w:hAnsi="Arial" w:cs="Arial"/>
                <w:sz w:val="20"/>
                <w:szCs w:val="20"/>
              </w:rPr>
              <w:t xml:space="preserve"> </w:t>
            </w:r>
            <w:r w:rsidR="00B53EB6">
              <w:rPr>
                <w:rFonts w:ascii="Arial" w:eastAsia="Calibri" w:hAnsi="Arial" w:cs="Arial"/>
                <w:sz w:val="20"/>
                <w:szCs w:val="20"/>
              </w:rPr>
              <w:t>–</w:t>
            </w:r>
            <w:r>
              <w:rPr>
                <w:rFonts w:ascii="Arial" w:eastAsia="Calibri" w:hAnsi="Arial" w:cs="Arial"/>
                <w:sz w:val="20"/>
                <w:szCs w:val="20"/>
              </w:rPr>
              <w:t xml:space="preserve"> </w:t>
            </w:r>
            <w:r w:rsidRPr="00042A4D">
              <w:rPr>
                <w:rFonts w:ascii="Arial" w:eastAsia="Calibri" w:hAnsi="Arial" w:cs="Arial"/>
                <w:sz w:val="20"/>
                <w:szCs w:val="20"/>
              </w:rPr>
              <w:t>doseči dodatno administrativno razbremenitev malih poslovnih subjektov pri izpolnjevanju njihovih davčnih obveznosti ter povečanje njihove pravne varnosti v povezavi z večjo gotovostjo glede ugotavljanja davčne osnove</w:t>
            </w:r>
            <w:r>
              <w:rPr>
                <w:rFonts w:ascii="Arial" w:eastAsia="Calibri" w:hAnsi="Arial" w:cs="Arial"/>
                <w:sz w:val="20"/>
                <w:szCs w:val="20"/>
              </w:rPr>
              <w:t xml:space="preserve"> </w:t>
            </w:r>
            <w:r w:rsidR="00B53EB6">
              <w:rPr>
                <w:rFonts w:ascii="Arial" w:eastAsia="Calibri" w:hAnsi="Arial" w:cs="Arial"/>
                <w:sz w:val="20"/>
                <w:szCs w:val="20"/>
              </w:rPr>
              <w:t>–</w:t>
            </w:r>
            <w:r>
              <w:rPr>
                <w:rFonts w:ascii="Arial" w:eastAsia="Calibri" w:hAnsi="Arial" w:cs="Arial"/>
                <w:sz w:val="20"/>
                <w:szCs w:val="20"/>
              </w:rPr>
              <w:t xml:space="preserve"> </w:t>
            </w:r>
            <w:r w:rsidRPr="00042A4D">
              <w:rPr>
                <w:rFonts w:ascii="Arial" w:eastAsia="Calibri" w:hAnsi="Arial" w:cs="Arial"/>
                <w:sz w:val="20"/>
                <w:szCs w:val="20"/>
              </w:rPr>
              <w:t xml:space="preserve">niso bili povsem doseženi. </w:t>
            </w:r>
            <w:r w:rsidR="00914B70">
              <w:rPr>
                <w:rFonts w:ascii="Arial" w:eastAsia="Calibri" w:hAnsi="Arial" w:cs="Arial"/>
                <w:sz w:val="20"/>
                <w:szCs w:val="20"/>
              </w:rPr>
              <w:t>Izkazal</w:t>
            </w:r>
            <w:r w:rsidR="0078581E">
              <w:rPr>
                <w:rFonts w:ascii="Arial" w:eastAsia="Calibri" w:hAnsi="Arial" w:cs="Arial"/>
                <w:sz w:val="20"/>
                <w:szCs w:val="20"/>
              </w:rPr>
              <w:t>o</w:t>
            </w:r>
            <w:r w:rsidR="00914B70">
              <w:rPr>
                <w:rFonts w:ascii="Arial" w:eastAsia="Calibri" w:hAnsi="Arial" w:cs="Arial"/>
                <w:sz w:val="20"/>
                <w:szCs w:val="20"/>
              </w:rPr>
              <w:t xml:space="preserve"> se je, da se sistem v večji meri uporablja kot </w:t>
            </w:r>
            <w:r w:rsidR="00914B70" w:rsidRPr="00914B70">
              <w:rPr>
                <w:rFonts w:ascii="Arial" w:eastAsia="Calibri" w:hAnsi="Arial" w:cs="Arial"/>
                <w:sz w:val="20"/>
                <w:szCs w:val="20"/>
              </w:rPr>
              <w:t>instrumen</w:t>
            </w:r>
            <w:r w:rsidR="00914B70">
              <w:rPr>
                <w:rFonts w:ascii="Arial" w:eastAsia="Calibri" w:hAnsi="Arial" w:cs="Arial"/>
                <w:sz w:val="20"/>
                <w:szCs w:val="20"/>
              </w:rPr>
              <w:t>t</w:t>
            </w:r>
            <w:r w:rsidR="00914B70" w:rsidRPr="00914B70">
              <w:rPr>
                <w:rFonts w:ascii="Arial" w:eastAsia="Calibri" w:hAnsi="Arial" w:cs="Arial"/>
                <w:sz w:val="20"/>
                <w:szCs w:val="20"/>
              </w:rPr>
              <w:t xml:space="preserve"> zniževanja davčnih obveznosti.</w:t>
            </w:r>
            <w:r w:rsidR="00914B70">
              <w:rPr>
                <w:rFonts w:ascii="Arial" w:eastAsia="Calibri" w:hAnsi="Arial" w:cs="Arial"/>
                <w:sz w:val="20"/>
                <w:szCs w:val="20"/>
              </w:rPr>
              <w:t xml:space="preserve"> U</w:t>
            </w:r>
            <w:r w:rsidR="00914B70" w:rsidRPr="00914B70">
              <w:rPr>
                <w:rFonts w:ascii="Arial" w:eastAsia="Calibri" w:hAnsi="Arial" w:cs="Arial"/>
                <w:sz w:val="20"/>
                <w:szCs w:val="20"/>
              </w:rPr>
              <w:t xml:space="preserve">gotovljeno </w:t>
            </w:r>
            <w:r w:rsidR="00914B70">
              <w:rPr>
                <w:rFonts w:ascii="Arial" w:eastAsia="Calibri" w:hAnsi="Arial" w:cs="Arial"/>
                <w:sz w:val="20"/>
                <w:szCs w:val="20"/>
              </w:rPr>
              <w:t>je bilo tudi</w:t>
            </w:r>
            <w:r w:rsidR="00F17651">
              <w:rPr>
                <w:rFonts w:ascii="Arial" w:eastAsia="Calibri" w:hAnsi="Arial" w:cs="Arial"/>
                <w:sz w:val="20"/>
                <w:szCs w:val="20"/>
              </w:rPr>
              <w:t>, da</w:t>
            </w:r>
            <w:r w:rsidR="00E14CFC">
              <w:rPr>
                <w:rFonts w:ascii="Arial" w:eastAsia="Calibri" w:hAnsi="Arial" w:cs="Arial"/>
                <w:sz w:val="20"/>
                <w:szCs w:val="20"/>
              </w:rPr>
              <w:t>:</w:t>
            </w:r>
          </w:p>
          <w:p w14:paraId="1D3D0C9F" w14:textId="45614323" w:rsidR="00914B70" w:rsidRPr="006D2F92" w:rsidRDefault="00914B70" w:rsidP="00076F4A">
            <w:pPr>
              <w:pStyle w:val="Odstavekseznama"/>
              <w:numPr>
                <w:ilvl w:val="0"/>
                <w:numId w:val="26"/>
              </w:numPr>
              <w:spacing w:line="276" w:lineRule="auto"/>
              <w:contextualSpacing/>
              <w:jc w:val="both"/>
              <w:rPr>
                <w:rFonts w:ascii="Arial" w:eastAsia="Calibri" w:hAnsi="Arial" w:cs="Arial"/>
                <w:sz w:val="20"/>
                <w:szCs w:val="20"/>
              </w:rPr>
            </w:pPr>
            <w:r w:rsidRPr="00E71417">
              <w:rPr>
                <w:rFonts w:ascii="Arial" w:eastAsia="Calibri" w:hAnsi="Arial" w:cs="Arial"/>
                <w:sz w:val="20"/>
                <w:szCs w:val="20"/>
              </w:rPr>
              <w:t>je za zavezanca za odločitev za vstop v sistem normiranih odhodkov ključen njegov celokupen položaj, ne samo manjši stroški administriranja oziroma manjša davčna obveznost;</w:t>
            </w:r>
          </w:p>
          <w:p w14:paraId="4A19F106" w14:textId="1C44A56D" w:rsidR="00914B70" w:rsidRPr="005C7B68" w:rsidRDefault="00914B70" w:rsidP="00076F4A">
            <w:pPr>
              <w:pStyle w:val="Odstavekseznama"/>
              <w:numPr>
                <w:ilvl w:val="0"/>
                <w:numId w:val="26"/>
              </w:numPr>
              <w:spacing w:line="276" w:lineRule="auto"/>
              <w:contextualSpacing/>
              <w:jc w:val="both"/>
              <w:rPr>
                <w:rFonts w:ascii="Arial" w:eastAsia="Calibri" w:hAnsi="Arial" w:cs="Arial"/>
                <w:sz w:val="20"/>
                <w:szCs w:val="20"/>
              </w:rPr>
            </w:pPr>
            <w:r w:rsidRPr="005C7B68">
              <w:rPr>
                <w:rFonts w:ascii="Arial" w:eastAsia="Calibri" w:hAnsi="Arial" w:cs="Arial"/>
                <w:sz w:val="20"/>
                <w:szCs w:val="20"/>
              </w:rPr>
              <w:t xml:space="preserve">je sistem nesorazmerno ugodnejši predvsem za zavezance, ki opravljajo določene storitvene dejavnosti (majhni dejanski odhodki in manj zahtevno ter potrebno vodenje poslovnih knjig); </w:t>
            </w:r>
          </w:p>
          <w:p w14:paraId="60405509" w14:textId="2EC0E925" w:rsidR="00914B70" w:rsidRPr="005C7B68" w:rsidRDefault="00914B70" w:rsidP="00076F4A">
            <w:pPr>
              <w:pStyle w:val="Odstavekseznama"/>
              <w:numPr>
                <w:ilvl w:val="0"/>
                <w:numId w:val="26"/>
              </w:numPr>
              <w:spacing w:line="276" w:lineRule="auto"/>
              <w:contextualSpacing/>
              <w:jc w:val="both"/>
              <w:rPr>
                <w:rFonts w:ascii="Arial" w:eastAsia="Calibri" w:hAnsi="Arial" w:cs="Arial"/>
                <w:sz w:val="20"/>
                <w:szCs w:val="20"/>
              </w:rPr>
            </w:pPr>
            <w:r w:rsidRPr="005C7B68">
              <w:rPr>
                <w:rFonts w:ascii="Arial" w:eastAsia="Calibri" w:hAnsi="Arial" w:cs="Arial"/>
                <w:sz w:val="20"/>
                <w:szCs w:val="20"/>
              </w:rPr>
              <w:t xml:space="preserve">je sistem za zavezance za dohodnino z majhnim obsegom poslovanja, ki jim je opravljanje dejavnosti edini vir dohodka, </w:t>
            </w:r>
            <w:r w:rsidR="00B53EB6">
              <w:rPr>
                <w:rFonts w:ascii="Arial" w:eastAsia="Calibri" w:hAnsi="Arial" w:cs="Arial"/>
                <w:sz w:val="20"/>
                <w:szCs w:val="20"/>
              </w:rPr>
              <w:t>razmer</w:t>
            </w:r>
            <w:r w:rsidR="00F9769B">
              <w:rPr>
                <w:rFonts w:ascii="Arial" w:eastAsia="Calibri" w:hAnsi="Arial" w:cs="Arial"/>
                <w:sz w:val="20"/>
                <w:szCs w:val="20"/>
              </w:rPr>
              <w:t>o</w:t>
            </w:r>
            <w:r w:rsidR="00B53EB6">
              <w:rPr>
                <w:rFonts w:ascii="Arial" w:eastAsia="Calibri" w:hAnsi="Arial" w:cs="Arial"/>
                <w:sz w:val="20"/>
                <w:szCs w:val="20"/>
              </w:rPr>
              <w:t>ma</w:t>
            </w:r>
            <w:r w:rsidRPr="005C7B68">
              <w:rPr>
                <w:rFonts w:ascii="Arial" w:eastAsia="Calibri" w:hAnsi="Arial" w:cs="Arial"/>
                <w:sz w:val="20"/>
                <w:szCs w:val="20"/>
              </w:rPr>
              <w:t xml:space="preserve"> manj ugoden kot za zavezance z višjimi dohodki iz dejavnosti oziroma še z drugimi dohodki, ki se štejejo v sintetično obdavčitev;</w:t>
            </w:r>
          </w:p>
          <w:p w14:paraId="1F0B1CA7" w14:textId="3F597ED7" w:rsidR="00914B70" w:rsidRPr="005C7B68" w:rsidRDefault="00914B70" w:rsidP="00076F4A">
            <w:pPr>
              <w:pStyle w:val="Odstavekseznama"/>
              <w:numPr>
                <w:ilvl w:val="0"/>
                <w:numId w:val="26"/>
              </w:numPr>
              <w:spacing w:line="276" w:lineRule="auto"/>
              <w:contextualSpacing/>
              <w:jc w:val="both"/>
              <w:rPr>
                <w:rFonts w:ascii="Arial" w:eastAsia="Calibri" w:hAnsi="Arial" w:cs="Arial"/>
                <w:sz w:val="20"/>
                <w:szCs w:val="20"/>
              </w:rPr>
            </w:pPr>
            <w:r w:rsidRPr="005C7B68">
              <w:rPr>
                <w:rFonts w:ascii="Arial" w:eastAsia="Calibri" w:hAnsi="Arial" w:cs="Arial"/>
                <w:sz w:val="20"/>
                <w:szCs w:val="20"/>
              </w:rPr>
              <w:t>sistem pomeni eno izmed pomembnih spodbud za obsežen pojav nezakonitih praks na trgu dela (formalnopravno opravljanje dela prek samostojnega statusa ali pogodb civilnega prava, čeprav so prisotni vsi elementi delovnega razmerja)</w:t>
            </w:r>
            <w:r w:rsidR="00B57A8B">
              <w:rPr>
                <w:rFonts w:ascii="Arial" w:eastAsia="Calibri" w:hAnsi="Arial" w:cs="Arial"/>
                <w:sz w:val="20"/>
                <w:szCs w:val="20"/>
              </w:rPr>
              <w:t>.</w:t>
            </w:r>
          </w:p>
          <w:p w14:paraId="66AFE495" w14:textId="77777777" w:rsidR="00B57A8B" w:rsidRPr="005C7B68" w:rsidRDefault="00B57A8B" w:rsidP="00D82B93">
            <w:pPr>
              <w:pStyle w:val="Odstavekseznama"/>
              <w:spacing w:line="276" w:lineRule="auto"/>
              <w:ind w:left="720"/>
              <w:contextualSpacing/>
              <w:jc w:val="both"/>
              <w:rPr>
                <w:rFonts w:ascii="Arial" w:eastAsia="Calibri" w:hAnsi="Arial" w:cs="Arial"/>
                <w:sz w:val="20"/>
                <w:szCs w:val="20"/>
              </w:rPr>
            </w:pPr>
          </w:p>
          <w:p w14:paraId="384DE76E" w14:textId="51D7934C" w:rsidR="00042A4D" w:rsidRDefault="00855051" w:rsidP="00042A4D">
            <w:pPr>
              <w:spacing w:line="276" w:lineRule="auto"/>
              <w:contextualSpacing/>
              <w:jc w:val="both"/>
              <w:rPr>
                <w:rFonts w:ascii="Arial" w:eastAsia="Calibri" w:hAnsi="Arial" w:cs="Arial"/>
                <w:sz w:val="20"/>
                <w:szCs w:val="20"/>
              </w:rPr>
            </w:pPr>
            <w:r>
              <w:rPr>
                <w:rFonts w:ascii="Arial" w:eastAsia="Calibri" w:hAnsi="Arial" w:cs="Arial"/>
                <w:sz w:val="20"/>
                <w:szCs w:val="20"/>
              </w:rPr>
              <w:t xml:space="preserve">Zato se je z Zakon o spremembah in dopolnitvah </w:t>
            </w:r>
            <w:r w:rsidR="003E72AC">
              <w:rPr>
                <w:rFonts w:ascii="Arial" w:eastAsia="Calibri" w:hAnsi="Arial" w:cs="Arial"/>
                <w:sz w:val="20"/>
                <w:szCs w:val="20"/>
              </w:rPr>
              <w:t>Z</w:t>
            </w:r>
            <w:r>
              <w:rPr>
                <w:rFonts w:ascii="Arial" w:eastAsia="Calibri" w:hAnsi="Arial" w:cs="Arial"/>
                <w:sz w:val="20"/>
                <w:szCs w:val="20"/>
              </w:rPr>
              <w:t>akona o dohodnini (ZDoh-2</w:t>
            </w:r>
            <w:r w:rsidR="003E72AC">
              <w:rPr>
                <w:rFonts w:ascii="Arial" w:eastAsia="Calibri" w:hAnsi="Arial" w:cs="Arial"/>
                <w:sz w:val="20"/>
                <w:szCs w:val="20"/>
              </w:rPr>
              <w:t>S</w:t>
            </w:r>
            <w:r>
              <w:rPr>
                <w:rFonts w:ascii="Arial" w:eastAsia="Calibri" w:hAnsi="Arial" w:cs="Arial"/>
                <w:sz w:val="20"/>
                <w:szCs w:val="20"/>
              </w:rPr>
              <w:t>), ki se je začel uporabljat</w:t>
            </w:r>
            <w:r w:rsidR="00F17651">
              <w:rPr>
                <w:rFonts w:ascii="Arial" w:eastAsia="Calibri" w:hAnsi="Arial" w:cs="Arial"/>
                <w:sz w:val="20"/>
                <w:szCs w:val="20"/>
              </w:rPr>
              <w:t>i</w:t>
            </w:r>
            <w:r>
              <w:rPr>
                <w:rFonts w:ascii="Arial" w:eastAsia="Calibri" w:hAnsi="Arial" w:cs="Arial"/>
                <w:sz w:val="20"/>
                <w:szCs w:val="20"/>
              </w:rPr>
              <w:t xml:space="preserve"> z davčnim letom 2018, pristopilo k spremembam določenih elementov sistema s ciljem, da se ob </w:t>
            </w:r>
            <w:r w:rsidR="00042A4D" w:rsidRPr="00042A4D">
              <w:rPr>
                <w:rFonts w:ascii="Arial" w:eastAsia="Calibri" w:hAnsi="Arial" w:cs="Arial"/>
                <w:sz w:val="20"/>
                <w:szCs w:val="20"/>
              </w:rPr>
              <w:t>ohranitvi administrativne enostavnosti sistema bolj upošteva</w:t>
            </w:r>
            <w:r>
              <w:rPr>
                <w:rFonts w:ascii="Arial" w:eastAsia="Calibri" w:hAnsi="Arial" w:cs="Arial"/>
                <w:sz w:val="20"/>
                <w:szCs w:val="20"/>
              </w:rPr>
              <w:t xml:space="preserve"> </w:t>
            </w:r>
            <w:r w:rsidR="00042A4D" w:rsidRPr="00042A4D">
              <w:rPr>
                <w:rFonts w:ascii="Arial" w:eastAsia="Calibri" w:hAnsi="Arial" w:cs="Arial"/>
                <w:sz w:val="20"/>
                <w:szCs w:val="20"/>
              </w:rPr>
              <w:t>ekonomsko moč zavezanca</w:t>
            </w:r>
            <w:r w:rsidR="00B53EB6">
              <w:rPr>
                <w:rFonts w:ascii="Arial" w:eastAsia="Calibri" w:hAnsi="Arial" w:cs="Arial"/>
                <w:sz w:val="20"/>
                <w:szCs w:val="20"/>
              </w:rPr>
              <w:t>,</w:t>
            </w:r>
            <w:r w:rsidR="00042A4D" w:rsidRPr="00042A4D">
              <w:rPr>
                <w:rFonts w:ascii="Arial" w:eastAsia="Calibri" w:hAnsi="Arial" w:cs="Arial"/>
                <w:sz w:val="20"/>
                <w:szCs w:val="20"/>
              </w:rPr>
              <w:t xml:space="preserve"> in s tem pravičnost sistema, </w:t>
            </w:r>
            <w:r w:rsidR="00B53EB6">
              <w:rPr>
                <w:rFonts w:ascii="Arial" w:eastAsia="Calibri" w:hAnsi="Arial" w:cs="Arial"/>
                <w:sz w:val="20"/>
                <w:szCs w:val="20"/>
              </w:rPr>
              <w:t>ter</w:t>
            </w:r>
            <w:r>
              <w:rPr>
                <w:rFonts w:ascii="Arial" w:eastAsia="Calibri" w:hAnsi="Arial" w:cs="Arial"/>
                <w:sz w:val="20"/>
                <w:szCs w:val="20"/>
              </w:rPr>
              <w:t xml:space="preserve"> </w:t>
            </w:r>
            <w:r w:rsidR="00042A4D" w:rsidRPr="00042A4D">
              <w:rPr>
                <w:rFonts w:ascii="Arial" w:eastAsia="Calibri" w:hAnsi="Arial" w:cs="Arial"/>
                <w:sz w:val="20"/>
                <w:szCs w:val="20"/>
              </w:rPr>
              <w:t>zmanjša privlačnost sistema za uporabo kot instrumenta zniževanja davčnih obveznosti.</w:t>
            </w:r>
            <w:r w:rsidR="00CA2033">
              <w:rPr>
                <w:rFonts w:ascii="Arial" w:eastAsia="Calibri" w:hAnsi="Arial" w:cs="Arial"/>
                <w:sz w:val="20"/>
                <w:szCs w:val="20"/>
              </w:rPr>
              <w:t xml:space="preserve"> </w:t>
            </w:r>
            <w:r>
              <w:rPr>
                <w:rFonts w:ascii="Arial" w:eastAsia="Calibri" w:hAnsi="Arial" w:cs="Arial"/>
                <w:sz w:val="20"/>
                <w:szCs w:val="20"/>
              </w:rPr>
              <w:t xml:space="preserve">Tako je </w:t>
            </w:r>
            <w:r w:rsidR="00CA2033">
              <w:rPr>
                <w:rFonts w:ascii="Arial" w:eastAsia="Calibri" w:hAnsi="Arial" w:cs="Arial"/>
                <w:sz w:val="20"/>
                <w:szCs w:val="20"/>
              </w:rPr>
              <w:t xml:space="preserve">bilo </w:t>
            </w:r>
            <w:r>
              <w:rPr>
                <w:rFonts w:ascii="Arial" w:eastAsia="Calibri" w:hAnsi="Arial" w:cs="Arial"/>
                <w:sz w:val="20"/>
                <w:szCs w:val="20"/>
              </w:rPr>
              <w:t>uved</w:t>
            </w:r>
            <w:r w:rsidR="00CA2033">
              <w:rPr>
                <w:rFonts w:ascii="Arial" w:eastAsia="Calibri" w:hAnsi="Arial" w:cs="Arial"/>
                <w:sz w:val="20"/>
                <w:szCs w:val="20"/>
              </w:rPr>
              <w:t>eno</w:t>
            </w:r>
            <w:r>
              <w:rPr>
                <w:rFonts w:ascii="Arial" w:eastAsia="Calibri" w:hAnsi="Arial" w:cs="Arial"/>
                <w:sz w:val="20"/>
                <w:szCs w:val="20"/>
              </w:rPr>
              <w:t xml:space="preserve"> posebno pravilo glede upoštevanja prihodkov</w:t>
            </w:r>
            <w:r w:rsidR="003E72AC">
              <w:rPr>
                <w:rFonts w:ascii="Arial" w:eastAsia="Calibri" w:hAnsi="Arial" w:cs="Arial"/>
                <w:sz w:val="20"/>
                <w:szCs w:val="20"/>
              </w:rPr>
              <w:t xml:space="preserve"> iz dejavnosti povezanih oseb pri ugotavljanj</w:t>
            </w:r>
            <w:r w:rsidR="00F17651">
              <w:rPr>
                <w:rFonts w:ascii="Arial" w:eastAsia="Calibri" w:hAnsi="Arial" w:cs="Arial"/>
                <w:sz w:val="20"/>
                <w:szCs w:val="20"/>
              </w:rPr>
              <w:t>u</w:t>
            </w:r>
            <w:r w:rsidR="003E72AC">
              <w:rPr>
                <w:rFonts w:ascii="Arial" w:eastAsia="Calibri" w:hAnsi="Arial" w:cs="Arial"/>
                <w:sz w:val="20"/>
                <w:szCs w:val="20"/>
              </w:rPr>
              <w:t xml:space="preserve"> prihodkovnega praga za vstop v sistem normiranih odhodkov, </w:t>
            </w:r>
            <w:r w:rsidR="00042A4D" w:rsidRPr="00042A4D">
              <w:rPr>
                <w:rFonts w:ascii="Arial" w:eastAsia="Calibri" w:hAnsi="Arial" w:cs="Arial"/>
                <w:sz w:val="20"/>
                <w:szCs w:val="20"/>
              </w:rPr>
              <w:t>prenovi</w:t>
            </w:r>
            <w:r w:rsidR="003E72AC">
              <w:rPr>
                <w:rFonts w:ascii="Arial" w:eastAsia="Calibri" w:hAnsi="Arial" w:cs="Arial"/>
                <w:sz w:val="20"/>
                <w:szCs w:val="20"/>
              </w:rPr>
              <w:t>l</w:t>
            </w:r>
            <w:r w:rsidR="00B53EB6">
              <w:rPr>
                <w:rFonts w:ascii="Arial" w:eastAsia="Calibri" w:hAnsi="Arial" w:cs="Arial"/>
                <w:sz w:val="20"/>
                <w:szCs w:val="20"/>
              </w:rPr>
              <w:t xml:space="preserve"> se je</w:t>
            </w:r>
            <w:r w:rsidR="003E72AC">
              <w:rPr>
                <w:rFonts w:ascii="Arial" w:eastAsia="Calibri" w:hAnsi="Arial" w:cs="Arial"/>
                <w:sz w:val="20"/>
                <w:szCs w:val="20"/>
              </w:rPr>
              <w:t xml:space="preserve"> </w:t>
            </w:r>
            <w:r w:rsidR="00042A4D" w:rsidRPr="00042A4D">
              <w:rPr>
                <w:rFonts w:ascii="Arial" w:eastAsia="Calibri" w:hAnsi="Arial" w:cs="Arial"/>
                <w:sz w:val="20"/>
                <w:szCs w:val="20"/>
              </w:rPr>
              <w:t>pogoj za obvezen izstop iz sistema na način, da nastopi obvezen izstop iz sistema, ko zavezanec v dveh zaporednih preteklih letih dosega povprečje prihodkov, ki presega znesek 150.000</w:t>
            </w:r>
            <w:r w:rsidR="00B53EB6">
              <w:rPr>
                <w:rFonts w:ascii="Arial" w:eastAsia="Calibri" w:hAnsi="Arial" w:cs="Arial"/>
                <w:sz w:val="20"/>
                <w:szCs w:val="20"/>
              </w:rPr>
              <w:t> </w:t>
            </w:r>
            <w:r w:rsidR="00CA2033">
              <w:rPr>
                <w:rFonts w:ascii="Arial" w:eastAsia="Calibri" w:hAnsi="Arial" w:cs="Arial"/>
                <w:sz w:val="20"/>
                <w:szCs w:val="20"/>
              </w:rPr>
              <w:t>EUR</w:t>
            </w:r>
            <w:r w:rsidR="003E72AC">
              <w:rPr>
                <w:rFonts w:ascii="Arial" w:eastAsia="Calibri" w:hAnsi="Arial" w:cs="Arial"/>
                <w:sz w:val="20"/>
                <w:szCs w:val="20"/>
              </w:rPr>
              <w:t xml:space="preserve">, ter </w:t>
            </w:r>
            <w:r w:rsidR="00042A4D" w:rsidRPr="00042A4D">
              <w:rPr>
                <w:rFonts w:ascii="Arial" w:eastAsia="Calibri" w:hAnsi="Arial" w:cs="Arial"/>
                <w:sz w:val="20"/>
                <w:szCs w:val="20"/>
              </w:rPr>
              <w:t>višin</w:t>
            </w:r>
            <w:r w:rsidR="003E72AC">
              <w:rPr>
                <w:rFonts w:ascii="Arial" w:eastAsia="Calibri" w:hAnsi="Arial" w:cs="Arial"/>
                <w:sz w:val="20"/>
                <w:szCs w:val="20"/>
              </w:rPr>
              <w:t>o</w:t>
            </w:r>
            <w:r w:rsidR="00042A4D" w:rsidRPr="00042A4D">
              <w:rPr>
                <w:rFonts w:ascii="Arial" w:eastAsia="Calibri" w:hAnsi="Arial" w:cs="Arial"/>
                <w:sz w:val="20"/>
                <w:szCs w:val="20"/>
              </w:rPr>
              <w:t xml:space="preserve"> normiranih odhodkov omeji tudi z absolutno višino</w:t>
            </w:r>
            <w:r w:rsidR="003E72AC">
              <w:rPr>
                <w:rFonts w:ascii="Arial" w:eastAsia="Calibri" w:hAnsi="Arial" w:cs="Arial"/>
                <w:sz w:val="20"/>
                <w:szCs w:val="20"/>
              </w:rPr>
              <w:t xml:space="preserve">. </w:t>
            </w:r>
            <w:r w:rsidR="00042A4D" w:rsidRPr="00042A4D">
              <w:rPr>
                <w:rFonts w:ascii="Arial" w:eastAsia="Calibri" w:hAnsi="Arial" w:cs="Arial"/>
                <w:sz w:val="20"/>
                <w:szCs w:val="20"/>
              </w:rPr>
              <w:t xml:space="preserve"> </w:t>
            </w:r>
          </w:p>
          <w:p w14:paraId="6383F2AA" w14:textId="58014397" w:rsidR="003E72AC" w:rsidRDefault="003E72AC" w:rsidP="00042A4D">
            <w:pPr>
              <w:spacing w:line="276" w:lineRule="auto"/>
              <w:contextualSpacing/>
              <w:jc w:val="both"/>
              <w:rPr>
                <w:rFonts w:ascii="Arial" w:eastAsia="Calibri" w:hAnsi="Arial" w:cs="Arial"/>
                <w:sz w:val="20"/>
                <w:szCs w:val="20"/>
              </w:rPr>
            </w:pPr>
          </w:p>
          <w:p w14:paraId="438ADDE8" w14:textId="5413AB78" w:rsidR="003E72AC" w:rsidRPr="00073412" w:rsidRDefault="00B57365" w:rsidP="00042A4D">
            <w:pPr>
              <w:spacing w:line="276" w:lineRule="auto"/>
              <w:contextualSpacing/>
              <w:jc w:val="both"/>
              <w:rPr>
                <w:rFonts w:ascii="Arial" w:eastAsia="Calibri" w:hAnsi="Arial" w:cs="Arial"/>
                <w:sz w:val="20"/>
                <w:szCs w:val="20"/>
              </w:rPr>
            </w:pPr>
            <w:r>
              <w:rPr>
                <w:rFonts w:ascii="Arial" w:eastAsia="Calibri" w:hAnsi="Arial" w:cs="Arial"/>
                <w:sz w:val="20"/>
                <w:szCs w:val="20"/>
              </w:rPr>
              <w:t xml:space="preserve">Danes se kaže, da se z zadnjo prenovo določenih elementov sistema ni uspelo učinkovito </w:t>
            </w:r>
            <w:r w:rsidDel="00B53EB6">
              <w:rPr>
                <w:rFonts w:ascii="Arial" w:eastAsia="Calibri" w:hAnsi="Arial" w:cs="Arial"/>
                <w:sz w:val="20"/>
                <w:szCs w:val="20"/>
              </w:rPr>
              <w:t>nasloviti</w:t>
            </w:r>
            <w:r>
              <w:rPr>
                <w:rFonts w:ascii="Arial" w:eastAsia="Calibri" w:hAnsi="Arial" w:cs="Arial"/>
                <w:sz w:val="20"/>
                <w:szCs w:val="20"/>
              </w:rPr>
              <w:t xml:space="preserve"> pomanjkljivosti tega sistema, saj število zavezancev</w:t>
            </w:r>
            <w:r w:rsidR="008D2AA5">
              <w:rPr>
                <w:rFonts w:ascii="Arial" w:eastAsia="Calibri" w:hAnsi="Arial" w:cs="Arial"/>
                <w:sz w:val="20"/>
                <w:szCs w:val="20"/>
              </w:rPr>
              <w:t>,</w:t>
            </w:r>
            <w:r>
              <w:rPr>
                <w:rFonts w:ascii="Arial" w:eastAsia="Calibri" w:hAnsi="Arial" w:cs="Arial"/>
                <w:sz w:val="20"/>
                <w:szCs w:val="20"/>
              </w:rPr>
              <w:t xml:space="preserve"> vključenih v ta sistem</w:t>
            </w:r>
            <w:r w:rsidR="008D2AA5">
              <w:rPr>
                <w:rFonts w:ascii="Arial" w:eastAsia="Calibri" w:hAnsi="Arial" w:cs="Arial"/>
                <w:sz w:val="20"/>
                <w:szCs w:val="20"/>
              </w:rPr>
              <w:t>,</w:t>
            </w:r>
            <w:r>
              <w:rPr>
                <w:rFonts w:ascii="Arial" w:eastAsia="Calibri" w:hAnsi="Arial" w:cs="Arial"/>
                <w:sz w:val="20"/>
                <w:szCs w:val="20"/>
              </w:rPr>
              <w:t xml:space="preserve"> z letom v leto narašča, število </w:t>
            </w:r>
            <w:r>
              <w:rPr>
                <w:rFonts w:ascii="Arial" w:eastAsia="Calibri" w:hAnsi="Arial" w:cs="Arial"/>
                <w:sz w:val="20"/>
                <w:szCs w:val="20"/>
              </w:rPr>
              <w:lastRenderedPageBreak/>
              <w:t>zavezancev je že preseglo število zavezancev v osnovnem sistemu določanja davčne osnove od dohodka iz dejavnosti. Sistem ostaja instrument zniževanja davčne obveznosti in posledično spodbuja uporabo nezakonitih praks za izpolnjevanje pogojev za vstop v sistem, kar ni problematično samo z vidika obveznosti iz dohodnine</w:t>
            </w:r>
            <w:r w:rsidR="00CC4A52">
              <w:rPr>
                <w:rFonts w:ascii="Arial" w:eastAsia="Calibri" w:hAnsi="Arial" w:cs="Arial"/>
                <w:sz w:val="20"/>
                <w:szCs w:val="20"/>
              </w:rPr>
              <w:t xml:space="preserve"> (nesorazmerno odstopanja od obdavčevanja po ekonomski moči)</w:t>
            </w:r>
            <w:r>
              <w:rPr>
                <w:rFonts w:ascii="Arial" w:eastAsia="Calibri" w:hAnsi="Arial" w:cs="Arial"/>
                <w:sz w:val="20"/>
                <w:szCs w:val="20"/>
              </w:rPr>
              <w:t>, temveč tudi z vidika prispevanja v sisteme socialnih zavarovanj, koriščenja pravic iz javnih sredstev, nelojalne konkurence na trgu dela ter zagotavljanja zaščite subjektov, ki nastopajo na trgu dela</w:t>
            </w:r>
            <w:r w:rsidR="00CC4A52">
              <w:rPr>
                <w:rFonts w:ascii="Arial" w:eastAsia="Calibri" w:hAnsi="Arial" w:cs="Arial"/>
                <w:sz w:val="20"/>
                <w:szCs w:val="20"/>
              </w:rPr>
              <w:t xml:space="preserve"> v odvisnih razmerjih </w:t>
            </w:r>
            <w:r>
              <w:rPr>
                <w:rFonts w:ascii="Arial" w:eastAsia="Calibri" w:hAnsi="Arial" w:cs="Arial"/>
                <w:sz w:val="20"/>
                <w:szCs w:val="20"/>
              </w:rPr>
              <w:t>z vidika pravic iz dela in socialne varnosti za primer bolezni, nesreč</w:t>
            </w:r>
            <w:r w:rsidR="00CC4A52">
              <w:rPr>
                <w:rFonts w:ascii="Arial" w:eastAsia="Calibri" w:hAnsi="Arial" w:cs="Arial"/>
                <w:sz w:val="20"/>
                <w:szCs w:val="20"/>
              </w:rPr>
              <w:t>,</w:t>
            </w:r>
            <w:r>
              <w:rPr>
                <w:rFonts w:ascii="Arial" w:eastAsia="Calibri" w:hAnsi="Arial" w:cs="Arial"/>
                <w:sz w:val="20"/>
                <w:szCs w:val="20"/>
              </w:rPr>
              <w:t xml:space="preserve"> invalidnosti </w:t>
            </w:r>
            <w:r w:rsidR="00CC4A52">
              <w:rPr>
                <w:rFonts w:ascii="Arial" w:eastAsia="Calibri" w:hAnsi="Arial" w:cs="Arial"/>
                <w:sz w:val="20"/>
                <w:szCs w:val="20"/>
              </w:rPr>
              <w:t>ali starosti. Veljaven sistem se kaže kot ede</w:t>
            </w:r>
            <w:r w:rsidR="008D2AA5">
              <w:rPr>
                <w:rFonts w:ascii="Arial" w:eastAsia="Calibri" w:hAnsi="Arial" w:cs="Arial"/>
                <w:sz w:val="20"/>
                <w:szCs w:val="20"/>
              </w:rPr>
              <w:t>n</w:t>
            </w:r>
            <w:r w:rsidR="00CC4A52">
              <w:rPr>
                <w:rFonts w:ascii="Arial" w:eastAsia="Calibri" w:hAnsi="Arial" w:cs="Arial"/>
                <w:sz w:val="20"/>
                <w:szCs w:val="20"/>
              </w:rPr>
              <w:t xml:space="preserve"> pomembnih generatorjev </w:t>
            </w:r>
            <w:proofErr w:type="spellStart"/>
            <w:r w:rsidR="00CC4A52">
              <w:rPr>
                <w:rFonts w:ascii="Arial" w:eastAsia="Calibri" w:hAnsi="Arial" w:cs="Arial"/>
                <w:sz w:val="20"/>
                <w:szCs w:val="20"/>
              </w:rPr>
              <w:t>prekarnosti</w:t>
            </w:r>
            <w:proofErr w:type="spellEnd"/>
            <w:r w:rsidR="00CC4A52">
              <w:rPr>
                <w:rFonts w:ascii="Arial" w:eastAsia="Calibri" w:hAnsi="Arial" w:cs="Arial"/>
                <w:sz w:val="20"/>
                <w:szCs w:val="20"/>
              </w:rPr>
              <w:t xml:space="preserve"> na trgu dela.</w:t>
            </w:r>
          </w:p>
          <w:p w14:paraId="722D16FA" w14:textId="77777777" w:rsidR="00073412" w:rsidRPr="00073412" w:rsidRDefault="00073412" w:rsidP="00073412">
            <w:pPr>
              <w:spacing w:line="276" w:lineRule="auto"/>
              <w:contextualSpacing/>
              <w:jc w:val="both"/>
              <w:rPr>
                <w:rFonts w:ascii="Arial" w:eastAsia="Calibri" w:hAnsi="Arial" w:cs="Arial"/>
                <w:sz w:val="20"/>
                <w:szCs w:val="20"/>
              </w:rPr>
            </w:pPr>
          </w:p>
          <w:p w14:paraId="6B0A95CB" w14:textId="3A615347" w:rsidR="00073412" w:rsidRDefault="00073412" w:rsidP="00073412">
            <w:pPr>
              <w:spacing w:line="276" w:lineRule="auto"/>
              <w:contextualSpacing/>
              <w:jc w:val="both"/>
              <w:rPr>
                <w:rFonts w:ascii="Arial" w:eastAsia="Calibri" w:hAnsi="Arial" w:cs="Arial"/>
                <w:sz w:val="20"/>
                <w:szCs w:val="20"/>
              </w:rPr>
            </w:pPr>
            <w:r w:rsidRPr="00073412">
              <w:rPr>
                <w:rFonts w:ascii="Arial" w:eastAsia="Calibri" w:hAnsi="Arial" w:cs="Arial"/>
                <w:sz w:val="20"/>
                <w:szCs w:val="20"/>
              </w:rPr>
              <w:t xml:space="preserve">Obseg zlorab sistema normiranih odhodkov je tako velik, da je samo s poostrenimi nadzori obseg zlorab </w:t>
            </w:r>
            <w:r w:rsidR="008D2AA5" w:rsidRPr="00073412">
              <w:rPr>
                <w:rFonts w:ascii="Arial" w:eastAsia="Calibri" w:hAnsi="Arial" w:cs="Arial"/>
                <w:sz w:val="20"/>
                <w:szCs w:val="20"/>
              </w:rPr>
              <w:t xml:space="preserve">težko </w:t>
            </w:r>
            <w:r w:rsidRPr="00073412">
              <w:rPr>
                <w:rFonts w:ascii="Arial" w:eastAsia="Calibri" w:hAnsi="Arial" w:cs="Arial"/>
                <w:sz w:val="20"/>
                <w:szCs w:val="20"/>
              </w:rPr>
              <w:t>spraviti v sprejemljiv okvir. Pojavljajo se opozorila posameznih podjetij (npr. IT-sektor), da naj bi podjetja zaradi ugodnejše davčne obravnave zaposlovala razvojni</w:t>
            </w:r>
            <w:r w:rsidR="00BA5AC4">
              <w:rPr>
                <w:rFonts w:ascii="Arial" w:eastAsia="Calibri" w:hAnsi="Arial" w:cs="Arial"/>
                <w:sz w:val="20"/>
                <w:szCs w:val="20"/>
              </w:rPr>
              <w:t xml:space="preserve"> kader</w:t>
            </w:r>
            <w:r w:rsidRPr="00073412">
              <w:rPr>
                <w:rFonts w:ascii="Arial" w:eastAsia="Calibri" w:hAnsi="Arial" w:cs="Arial"/>
                <w:sz w:val="20"/>
                <w:szCs w:val="20"/>
              </w:rPr>
              <w:t xml:space="preserve"> prek statusa samostojnega podjetnika, kar postavlja podjetja, ki z delavcem sklenejo delovno razmerje, v nekonkurenčen položaj. </w:t>
            </w:r>
            <w:r w:rsidR="00CC4A52">
              <w:rPr>
                <w:rFonts w:ascii="Arial" w:eastAsia="Calibri" w:hAnsi="Arial" w:cs="Arial"/>
                <w:sz w:val="20"/>
                <w:szCs w:val="20"/>
              </w:rPr>
              <w:t>Sistem je tako ugoden, da predstavlja pomembno spodbudo k tovrstnemu nezakonitemu ravnanju, torej prikazovanju pravno-formalnega pravnega razmerja, ki ni skladno s pravno in ekonomsko vsebino razmerja (»</w:t>
            </w:r>
            <w:r w:rsidR="00C32A79">
              <w:rPr>
                <w:rFonts w:ascii="Arial" w:eastAsia="Calibri" w:hAnsi="Arial" w:cs="Arial"/>
                <w:sz w:val="20"/>
                <w:szCs w:val="20"/>
              </w:rPr>
              <w:t xml:space="preserve">fiktivna samozaposlitev«). Tovrstno ravnanje je problematično tako z vidika delavca, ki nima </w:t>
            </w:r>
            <w:r w:rsidR="00BA5AC4">
              <w:rPr>
                <w:rFonts w:ascii="Arial" w:eastAsia="Calibri" w:hAnsi="Arial" w:cs="Arial"/>
                <w:sz w:val="20"/>
                <w:szCs w:val="20"/>
              </w:rPr>
              <w:t xml:space="preserve">ustrezne </w:t>
            </w:r>
            <w:r w:rsidR="00C32A79">
              <w:rPr>
                <w:rFonts w:ascii="Arial" w:eastAsia="Calibri" w:hAnsi="Arial" w:cs="Arial"/>
                <w:sz w:val="20"/>
                <w:szCs w:val="20"/>
              </w:rPr>
              <w:t xml:space="preserve">delovnopravne zaščite, ima manjšo socialno varnost za primere nezmožnosti za delo </w:t>
            </w:r>
            <w:r w:rsidR="00C05FB0">
              <w:rPr>
                <w:rFonts w:ascii="Arial" w:eastAsia="Calibri" w:hAnsi="Arial" w:cs="Arial"/>
                <w:sz w:val="20"/>
                <w:szCs w:val="20"/>
              </w:rPr>
              <w:t>in</w:t>
            </w:r>
            <w:r w:rsidR="00C32A79">
              <w:rPr>
                <w:rFonts w:ascii="Arial" w:eastAsia="Calibri" w:hAnsi="Arial" w:cs="Arial"/>
                <w:sz w:val="20"/>
                <w:szCs w:val="20"/>
              </w:rPr>
              <w:t xml:space="preserve"> za čas upokojitve, kot tudi z vidika temeljnih načel socialnih zavarovanj (predvsem načela solidarnosti, katero se naj bi uresničevalo tudi na strani obveznosti prek dohodkovne zmožnosti zavarovanca in načela enake davčne obravnave zavezancev v približno enakih položajih</w:t>
            </w:r>
            <w:r w:rsidR="00BA5AC4">
              <w:rPr>
                <w:rFonts w:ascii="Arial" w:eastAsia="Calibri" w:hAnsi="Arial" w:cs="Arial"/>
                <w:sz w:val="20"/>
                <w:szCs w:val="20"/>
              </w:rPr>
              <w:t>)</w:t>
            </w:r>
            <w:r w:rsidR="00C32A79">
              <w:rPr>
                <w:rFonts w:ascii="Arial" w:eastAsia="Calibri" w:hAnsi="Arial" w:cs="Arial"/>
                <w:sz w:val="20"/>
                <w:szCs w:val="20"/>
              </w:rPr>
              <w:t>. Kot navedeno zgoraj</w:t>
            </w:r>
            <w:r w:rsidR="00D454B9">
              <w:rPr>
                <w:rFonts w:ascii="Arial" w:eastAsia="Calibri" w:hAnsi="Arial" w:cs="Arial"/>
                <w:sz w:val="20"/>
                <w:szCs w:val="20"/>
              </w:rPr>
              <w:t>,</w:t>
            </w:r>
            <w:r w:rsidR="00C32A79">
              <w:rPr>
                <w:rFonts w:ascii="Arial" w:eastAsia="Calibri" w:hAnsi="Arial" w:cs="Arial"/>
                <w:sz w:val="20"/>
                <w:szCs w:val="20"/>
              </w:rPr>
              <w:t xml:space="preserve"> je problematičen tudi z vidika pravične participacije oziroma razdelitve pravic iz javnih sredstev (otroški dodatki, plačila vrtce</w:t>
            </w:r>
            <w:r w:rsidR="00BC2D43">
              <w:rPr>
                <w:rFonts w:ascii="Arial" w:eastAsia="Calibri" w:hAnsi="Arial" w:cs="Arial"/>
                <w:sz w:val="20"/>
                <w:szCs w:val="20"/>
              </w:rPr>
              <w:t>v</w:t>
            </w:r>
            <w:r w:rsidR="00C32A79">
              <w:rPr>
                <w:rFonts w:ascii="Arial" w:eastAsia="Calibri" w:hAnsi="Arial" w:cs="Arial"/>
                <w:sz w:val="20"/>
                <w:szCs w:val="20"/>
              </w:rPr>
              <w:t>, štipendije, socialne pomoči,</w:t>
            </w:r>
            <w:r w:rsidR="00C05FB0">
              <w:rPr>
                <w:rFonts w:ascii="Arial" w:eastAsia="Calibri" w:hAnsi="Arial" w:cs="Arial"/>
                <w:sz w:val="20"/>
                <w:szCs w:val="20"/>
              </w:rPr>
              <w:t> </w:t>
            </w:r>
            <w:r w:rsidR="00C32A79">
              <w:rPr>
                <w:rFonts w:ascii="Arial" w:eastAsia="Calibri" w:hAnsi="Arial" w:cs="Arial"/>
                <w:sz w:val="20"/>
                <w:szCs w:val="20"/>
              </w:rPr>
              <w:t>…).</w:t>
            </w:r>
          </w:p>
          <w:p w14:paraId="76CF28A0" w14:textId="04567B23" w:rsidR="000A5C23" w:rsidRDefault="000A5C23" w:rsidP="00073412">
            <w:pPr>
              <w:spacing w:line="276" w:lineRule="auto"/>
              <w:contextualSpacing/>
              <w:jc w:val="both"/>
              <w:rPr>
                <w:rFonts w:ascii="Arial" w:eastAsia="Calibri" w:hAnsi="Arial" w:cs="Arial"/>
                <w:sz w:val="20"/>
                <w:szCs w:val="20"/>
              </w:rPr>
            </w:pPr>
          </w:p>
          <w:p w14:paraId="60A584BB" w14:textId="72111214" w:rsidR="000A5C23" w:rsidRPr="000A5C23" w:rsidRDefault="000A5C23" w:rsidP="000A5C23">
            <w:pPr>
              <w:spacing w:line="276" w:lineRule="auto"/>
              <w:contextualSpacing/>
              <w:jc w:val="both"/>
              <w:rPr>
                <w:rFonts w:ascii="Arial" w:eastAsia="Calibri" w:hAnsi="Arial" w:cs="Arial"/>
                <w:sz w:val="20"/>
                <w:szCs w:val="20"/>
              </w:rPr>
            </w:pPr>
            <w:r w:rsidRPr="000A5C23">
              <w:rPr>
                <w:rFonts w:ascii="Arial" w:eastAsia="Calibri" w:hAnsi="Arial" w:cs="Arial"/>
                <w:sz w:val="20"/>
                <w:szCs w:val="20"/>
              </w:rPr>
              <w:t>Za pomanjkljivo se je izkazalo tudi dejstvo, da se za fizične osebe, ki opravljajo dejavnost in se odločijo za vstop v sistem normiranih odhodkov, ne razpolaga s podatki iz letnih poročil, saj nimajo obveznosti izdelovanja letnih poročil za statistične, analitične namene in namene javne objave. To z naraščanjem števila tovrstnih zavezancev (</w:t>
            </w:r>
            <w:r w:rsidR="00C05FB0">
              <w:rPr>
                <w:rFonts w:ascii="Arial" w:eastAsia="Calibri" w:hAnsi="Arial" w:cs="Arial"/>
                <w:sz w:val="20"/>
                <w:szCs w:val="20"/>
              </w:rPr>
              <w:t>z</w:t>
            </w:r>
            <w:r w:rsidRPr="000A5C23">
              <w:rPr>
                <w:rFonts w:ascii="Arial" w:eastAsia="Calibri" w:hAnsi="Arial" w:cs="Arial"/>
                <w:sz w:val="20"/>
                <w:szCs w:val="20"/>
              </w:rPr>
              <w:t>daj že več kot polovica vseh fizičnih oseb, ki opravljajo dejavnost) postaja vse večji problem.</w:t>
            </w:r>
          </w:p>
          <w:p w14:paraId="48E1F0C5" w14:textId="77777777" w:rsidR="000A5C23" w:rsidRPr="000A5C23" w:rsidRDefault="000A5C23" w:rsidP="000A5C23">
            <w:pPr>
              <w:spacing w:line="276" w:lineRule="auto"/>
              <w:contextualSpacing/>
              <w:jc w:val="both"/>
              <w:rPr>
                <w:rFonts w:ascii="Arial" w:eastAsia="Calibri" w:hAnsi="Arial" w:cs="Arial"/>
                <w:sz w:val="20"/>
                <w:szCs w:val="20"/>
              </w:rPr>
            </w:pPr>
          </w:p>
          <w:p w14:paraId="1EDE928E" w14:textId="11A5FCD4" w:rsidR="000A5C23" w:rsidRPr="000A5C23" w:rsidRDefault="000A5C23" w:rsidP="000A5C23">
            <w:pPr>
              <w:spacing w:line="276" w:lineRule="auto"/>
              <w:contextualSpacing/>
              <w:jc w:val="both"/>
              <w:rPr>
                <w:rFonts w:ascii="Arial" w:eastAsia="Calibri" w:hAnsi="Arial" w:cs="Arial"/>
                <w:sz w:val="20"/>
                <w:szCs w:val="20"/>
              </w:rPr>
            </w:pPr>
            <w:r w:rsidRPr="000A5C23">
              <w:rPr>
                <w:rFonts w:ascii="Arial" w:eastAsia="Calibri" w:hAnsi="Arial" w:cs="Arial"/>
                <w:sz w:val="20"/>
                <w:szCs w:val="20"/>
              </w:rPr>
              <w:t>Z</w:t>
            </w:r>
            <w:r w:rsidRPr="000A5C23" w:rsidDel="00A778A4">
              <w:rPr>
                <w:rFonts w:ascii="Arial" w:eastAsia="Calibri" w:hAnsi="Arial" w:cs="Arial"/>
                <w:sz w:val="20"/>
                <w:szCs w:val="20"/>
              </w:rPr>
              <w:t xml:space="preserve"> namenom</w:t>
            </w:r>
            <w:r w:rsidRPr="000A5C23">
              <w:rPr>
                <w:rFonts w:ascii="Arial" w:eastAsia="Calibri" w:hAnsi="Arial" w:cs="Arial"/>
                <w:sz w:val="20"/>
                <w:szCs w:val="20"/>
              </w:rPr>
              <w:t xml:space="preserve"> zmanjšanja zgoraj navedenih učinkov </w:t>
            </w:r>
            <w:r w:rsidR="00A778A4">
              <w:rPr>
                <w:rFonts w:ascii="Arial" w:eastAsia="Calibri" w:hAnsi="Arial" w:cs="Arial"/>
                <w:sz w:val="20"/>
                <w:szCs w:val="20"/>
              </w:rPr>
              <w:t>in</w:t>
            </w:r>
            <w:r w:rsidRPr="000A5C23">
              <w:rPr>
                <w:rFonts w:ascii="Arial" w:eastAsia="Calibri" w:hAnsi="Arial" w:cs="Arial"/>
                <w:sz w:val="20"/>
                <w:szCs w:val="20"/>
              </w:rPr>
              <w:t xml:space="preserve"> neutemeljene, nesorazmern</w:t>
            </w:r>
            <w:r w:rsidR="00BA5AC4">
              <w:rPr>
                <w:rFonts w:ascii="Arial" w:eastAsia="Calibri" w:hAnsi="Arial" w:cs="Arial"/>
                <w:sz w:val="20"/>
                <w:szCs w:val="20"/>
              </w:rPr>
              <w:t>o</w:t>
            </w:r>
            <w:r w:rsidRPr="000A5C23">
              <w:rPr>
                <w:rFonts w:ascii="Arial" w:eastAsia="Calibri" w:hAnsi="Arial" w:cs="Arial"/>
                <w:sz w:val="20"/>
                <w:szCs w:val="20"/>
              </w:rPr>
              <w:t xml:space="preserve"> ugodne obravnave zavezancev v določenih dejavnosti se predlaga prenovitev sistema priznavanja normiranih odhodkov v delu pogojev za vstop v sistem in višini normiranih odhodkov. </w:t>
            </w:r>
          </w:p>
          <w:p w14:paraId="23A4DB31" w14:textId="0679B900" w:rsidR="00FB477D" w:rsidRDefault="00FB477D" w:rsidP="00073412">
            <w:pPr>
              <w:spacing w:line="276" w:lineRule="auto"/>
              <w:contextualSpacing/>
              <w:jc w:val="both"/>
              <w:rPr>
                <w:rFonts w:ascii="Arial" w:eastAsia="Calibri" w:hAnsi="Arial" w:cs="Arial"/>
                <w:sz w:val="20"/>
                <w:szCs w:val="20"/>
              </w:rPr>
            </w:pPr>
          </w:p>
          <w:p w14:paraId="102184EF" w14:textId="3D57323A" w:rsidR="00073412" w:rsidRPr="00073412" w:rsidRDefault="00070664" w:rsidP="00073412">
            <w:pPr>
              <w:spacing w:line="276" w:lineRule="auto"/>
              <w:contextualSpacing/>
              <w:jc w:val="both"/>
              <w:rPr>
                <w:rFonts w:ascii="Arial" w:eastAsia="Calibri" w:hAnsi="Arial" w:cs="Arial"/>
                <w:sz w:val="20"/>
                <w:szCs w:val="20"/>
              </w:rPr>
            </w:pPr>
            <w:r w:rsidRPr="00070664">
              <w:rPr>
                <w:rFonts w:ascii="Arial" w:eastAsia="Calibri" w:hAnsi="Arial" w:cs="Arial"/>
                <w:sz w:val="20"/>
                <w:szCs w:val="20"/>
              </w:rPr>
              <w:t>V letu 2021 je 129.513 zavezancev oddalo 130.412 obračunov akontacije dohodnine in dohodnine od dohodka iz dejavnosti. Med njimi je 70.275 zavezancev</w:t>
            </w:r>
            <w:r w:rsidR="66CC1E48" w:rsidRPr="00070664">
              <w:rPr>
                <w:rFonts w:ascii="Arial" w:eastAsia="Calibri" w:hAnsi="Arial" w:cs="Arial"/>
                <w:sz w:val="20"/>
                <w:szCs w:val="20"/>
              </w:rPr>
              <w:t xml:space="preserve"> </w:t>
            </w:r>
            <w:r w:rsidR="20B1C9ED" w:rsidRPr="00070664">
              <w:rPr>
                <w:rFonts w:ascii="Arial" w:eastAsia="Calibri" w:hAnsi="Arial" w:cs="Arial"/>
                <w:sz w:val="20"/>
                <w:szCs w:val="20"/>
              </w:rPr>
              <w:t>(</w:t>
            </w:r>
            <w:r w:rsidR="5635DC39" w:rsidRPr="00070664">
              <w:rPr>
                <w:rFonts w:ascii="Arial" w:eastAsia="Calibri" w:hAnsi="Arial" w:cs="Arial"/>
                <w:sz w:val="20"/>
                <w:szCs w:val="20"/>
              </w:rPr>
              <w:t>odda</w:t>
            </w:r>
            <w:r w:rsidR="34585A8D" w:rsidRPr="00070664">
              <w:rPr>
                <w:rFonts w:ascii="Arial" w:eastAsia="Calibri" w:hAnsi="Arial" w:cs="Arial"/>
                <w:sz w:val="20"/>
                <w:szCs w:val="20"/>
              </w:rPr>
              <w:t>nih</w:t>
            </w:r>
            <w:r w:rsidR="5635DC39" w:rsidRPr="00070664">
              <w:rPr>
                <w:rFonts w:ascii="Arial" w:eastAsia="Calibri" w:hAnsi="Arial" w:cs="Arial"/>
                <w:sz w:val="20"/>
                <w:szCs w:val="20"/>
              </w:rPr>
              <w:t xml:space="preserve"> </w:t>
            </w:r>
            <w:r w:rsidR="34585A8D" w:rsidRPr="00070664">
              <w:rPr>
                <w:rFonts w:ascii="Arial" w:eastAsia="Calibri" w:hAnsi="Arial" w:cs="Arial"/>
                <w:sz w:val="20"/>
                <w:szCs w:val="20"/>
              </w:rPr>
              <w:t>71.001 obračunov)</w:t>
            </w:r>
            <w:r w:rsidR="66CC1E48" w:rsidRPr="00070664">
              <w:rPr>
                <w:rFonts w:ascii="Arial" w:eastAsia="Calibri" w:hAnsi="Arial" w:cs="Arial"/>
                <w:sz w:val="20"/>
                <w:szCs w:val="20"/>
              </w:rPr>
              <w:t xml:space="preserve"> </w:t>
            </w:r>
            <w:r w:rsidRPr="00070664">
              <w:rPr>
                <w:rFonts w:ascii="Arial" w:eastAsia="Calibri" w:hAnsi="Arial" w:cs="Arial"/>
                <w:sz w:val="20"/>
                <w:szCs w:val="20"/>
              </w:rPr>
              <w:t xml:space="preserve">ugotavljalo davčno osnovo na podlagi normiranih odhodkov, njihova davčna obveznost </w:t>
            </w:r>
            <w:r w:rsidR="34585A8D" w:rsidRPr="00070664">
              <w:rPr>
                <w:rFonts w:ascii="Arial" w:eastAsia="Calibri" w:hAnsi="Arial" w:cs="Arial"/>
                <w:sz w:val="20"/>
                <w:szCs w:val="20"/>
              </w:rPr>
              <w:t xml:space="preserve">pa </w:t>
            </w:r>
            <w:r w:rsidRPr="00070664">
              <w:rPr>
                <w:rFonts w:ascii="Arial" w:eastAsia="Calibri" w:hAnsi="Arial" w:cs="Arial"/>
                <w:sz w:val="20"/>
                <w:szCs w:val="20"/>
              </w:rPr>
              <w:t>je znašala 83 mio</w:t>
            </w:r>
            <w:r w:rsidR="00A778A4">
              <w:rPr>
                <w:rFonts w:ascii="Arial" w:eastAsia="Calibri" w:hAnsi="Arial" w:cs="Arial"/>
                <w:sz w:val="20"/>
                <w:szCs w:val="20"/>
              </w:rPr>
              <w:t> </w:t>
            </w:r>
            <w:r>
              <w:rPr>
                <w:rFonts w:ascii="Arial" w:eastAsia="Calibri" w:hAnsi="Arial" w:cs="Arial"/>
                <w:sz w:val="20"/>
                <w:szCs w:val="20"/>
              </w:rPr>
              <w:t>EUR</w:t>
            </w:r>
            <w:r w:rsidRPr="00070664">
              <w:rPr>
                <w:rFonts w:ascii="Arial" w:eastAsia="Calibri" w:hAnsi="Arial" w:cs="Arial"/>
                <w:sz w:val="20"/>
                <w:szCs w:val="20"/>
              </w:rPr>
              <w:t xml:space="preserve">. Število zavezancev, ki ugotavljajo davčno osnovo na podlagi normiranih odhodkov, </w:t>
            </w:r>
            <w:r w:rsidR="00A778A4">
              <w:rPr>
                <w:rFonts w:ascii="Arial" w:eastAsia="Calibri" w:hAnsi="Arial" w:cs="Arial"/>
                <w:sz w:val="20"/>
                <w:szCs w:val="20"/>
              </w:rPr>
              <w:t>se povečuje</w:t>
            </w:r>
            <w:r w:rsidR="7DDAF6A2" w:rsidRPr="00070664">
              <w:rPr>
                <w:rFonts w:ascii="Arial" w:eastAsia="Calibri" w:hAnsi="Arial" w:cs="Arial"/>
                <w:sz w:val="20"/>
                <w:szCs w:val="20"/>
              </w:rPr>
              <w:t xml:space="preserve"> že vse od uveljavitve </w:t>
            </w:r>
            <w:r w:rsidR="00BA5AC4">
              <w:rPr>
                <w:rFonts w:ascii="Arial" w:eastAsia="Calibri" w:hAnsi="Arial" w:cs="Arial"/>
                <w:sz w:val="20"/>
                <w:szCs w:val="20"/>
              </w:rPr>
              <w:t xml:space="preserve">prenovljenega </w:t>
            </w:r>
            <w:r w:rsidR="7DDAF6A2" w:rsidRPr="00070664">
              <w:rPr>
                <w:rFonts w:ascii="Arial" w:eastAsia="Calibri" w:hAnsi="Arial" w:cs="Arial"/>
                <w:sz w:val="20"/>
                <w:szCs w:val="20"/>
              </w:rPr>
              <w:t xml:space="preserve">sistema v letu 2013. </w:t>
            </w:r>
            <w:r w:rsidR="335F08EF" w:rsidRPr="00070664">
              <w:rPr>
                <w:rFonts w:ascii="Arial" w:eastAsia="Calibri" w:hAnsi="Arial" w:cs="Arial"/>
                <w:sz w:val="20"/>
                <w:szCs w:val="20"/>
              </w:rPr>
              <w:t>V tem obdobju se je</w:t>
            </w:r>
            <w:r w:rsidR="00886F1E">
              <w:rPr>
                <w:rFonts w:ascii="Arial" w:eastAsia="Calibri" w:hAnsi="Arial" w:cs="Arial"/>
                <w:sz w:val="20"/>
                <w:szCs w:val="20"/>
              </w:rPr>
              <w:t xml:space="preserve"> </w:t>
            </w:r>
            <w:r w:rsidR="00AF2AE8">
              <w:rPr>
                <w:rFonts w:ascii="Arial" w:eastAsia="Calibri" w:hAnsi="Arial" w:cs="Arial"/>
                <w:sz w:val="20"/>
                <w:szCs w:val="20"/>
              </w:rPr>
              <w:t>njihovo</w:t>
            </w:r>
            <w:r w:rsidR="00886F1E">
              <w:rPr>
                <w:rFonts w:ascii="Arial" w:eastAsia="Calibri" w:hAnsi="Arial" w:cs="Arial"/>
                <w:sz w:val="20"/>
                <w:szCs w:val="20"/>
              </w:rPr>
              <w:t xml:space="preserve"> število</w:t>
            </w:r>
            <w:r w:rsidR="335F08EF" w:rsidRPr="00070664">
              <w:rPr>
                <w:rFonts w:ascii="Arial" w:eastAsia="Calibri" w:hAnsi="Arial" w:cs="Arial"/>
                <w:sz w:val="20"/>
                <w:szCs w:val="20"/>
              </w:rPr>
              <w:t xml:space="preserve"> popeterilo, s slabih 14.000 zavezancev na dobrih 71.000</w:t>
            </w:r>
            <w:r w:rsidRPr="00070664">
              <w:rPr>
                <w:rFonts w:ascii="Arial" w:eastAsia="Calibri" w:hAnsi="Arial" w:cs="Arial"/>
                <w:sz w:val="20"/>
                <w:szCs w:val="20"/>
              </w:rPr>
              <w:t>.</w:t>
            </w:r>
            <w:r w:rsidR="335F08EF" w:rsidRPr="00070664">
              <w:rPr>
                <w:rFonts w:ascii="Arial" w:eastAsia="Calibri" w:hAnsi="Arial" w:cs="Arial"/>
                <w:sz w:val="20"/>
                <w:szCs w:val="20"/>
              </w:rPr>
              <w:t xml:space="preserve"> Skupno </w:t>
            </w:r>
            <w:r w:rsidR="018B57E8" w:rsidRPr="00070664">
              <w:rPr>
                <w:rFonts w:ascii="Arial" w:eastAsia="Calibri" w:hAnsi="Arial" w:cs="Arial"/>
                <w:sz w:val="20"/>
                <w:szCs w:val="20"/>
              </w:rPr>
              <w:t xml:space="preserve">število zavezancev za davek od dohodka iz dejavnosti se je v tem obdobju povečalo zgolj za </w:t>
            </w:r>
            <w:r w:rsidR="78054A3C" w:rsidRPr="00D82B93">
              <w:rPr>
                <w:rFonts w:ascii="Arial" w:eastAsia="Calibri" w:hAnsi="Arial" w:cs="Arial"/>
                <w:sz w:val="20"/>
                <w:szCs w:val="20"/>
              </w:rPr>
              <w:t>30</w:t>
            </w:r>
            <w:r w:rsidR="00A778A4">
              <w:rPr>
                <w:rFonts w:ascii="Arial" w:eastAsia="Calibri" w:hAnsi="Arial" w:cs="Arial"/>
                <w:sz w:val="20"/>
                <w:szCs w:val="20"/>
              </w:rPr>
              <w:t> </w:t>
            </w:r>
            <w:r w:rsidR="78054A3C" w:rsidRPr="00D82B93">
              <w:rPr>
                <w:rFonts w:ascii="Arial" w:eastAsia="Calibri" w:hAnsi="Arial" w:cs="Arial"/>
                <w:sz w:val="20"/>
                <w:szCs w:val="20"/>
              </w:rPr>
              <w:t>%.</w:t>
            </w:r>
          </w:p>
          <w:p w14:paraId="03FCB579" w14:textId="77777777" w:rsidR="00070664" w:rsidRDefault="00070664" w:rsidP="00073412">
            <w:pPr>
              <w:spacing w:line="276" w:lineRule="auto"/>
              <w:contextualSpacing/>
              <w:jc w:val="both"/>
              <w:rPr>
                <w:rFonts w:ascii="Arial" w:eastAsia="Calibri" w:hAnsi="Arial" w:cs="Arial"/>
                <w:sz w:val="20"/>
                <w:szCs w:val="20"/>
              </w:rPr>
            </w:pPr>
          </w:p>
          <w:p w14:paraId="53010CF5" w14:textId="45DC42EE" w:rsidR="00070664" w:rsidRDefault="00070664" w:rsidP="00073412">
            <w:pPr>
              <w:spacing w:line="276" w:lineRule="auto"/>
              <w:contextualSpacing/>
              <w:jc w:val="both"/>
              <w:rPr>
                <w:rFonts w:ascii="Arial" w:eastAsia="Calibri" w:hAnsi="Arial" w:cs="Arial"/>
                <w:sz w:val="20"/>
                <w:szCs w:val="20"/>
              </w:rPr>
            </w:pPr>
            <w:r w:rsidRPr="00070664">
              <w:rPr>
                <w:rFonts w:ascii="Arial" w:eastAsia="Calibri" w:hAnsi="Arial" w:cs="Arial"/>
                <w:sz w:val="20"/>
                <w:szCs w:val="20"/>
              </w:rPr>
              <w:t>Pri zavezancih, ki ugotavljajo davčno osnovo na podlagi dejanskih prihodkov in normiranih odhodkov</w:t>
            </w:r>
            <w:r w:rsidR="008D2AA5">
              <w:rPr>
                <w:rFonts w:ascii="Arial" w:eastAsia="Calibri" w:hAnsi="Arial" w:cs="Arial"/>
                <w:sz w:val="20"/>
                <w:szCs w:val="20"/>
              </w:rPr>
              <w:t>,</w:t>
            </w:r>
            <w:r w:rsidRPr="00070664">
              <w:rPr>
                <w:rFonts w:ascii="Arial" w:eastAsia="Calibri" w:hAnsi="Arial" w:cs="Arial"/>
                <w:sz w:val="20"/>
                <w:szCs w:val="20"/>
              </w:rPr>
              <w:t xml:space="preserve"> močno izstopajo strokovne, znanstvene in tehnične dejavnosti, kjer je kar 28,7</w:t>
            </w:r>
            <w:r w:rsidR="00D200B8">
              <w:rPr>
                <w:rFonts w:ascii="Arial" w:eastAsia="Calibri" w:hAnsi="Arial" w:cs="Arial"/>
                <w:sz w:val="20"/>
                <w:szCs w:val="20"/>
              </w:rPr>
              <w:t> </w:t>
            </w:r>
            <w:r w:rsidRPr="00070664">
              <w:rPr>
                <w:rFonts w:ascii="Arial" w:eastAsia="Calibri" w:hAnsi="Arial" w:cs="Arial"/>
                <w:sz w:val="20"/>
                <w:szCs w:val="20"/>
              </w:rPr>
              <w:t xml:space="preserve">% (20.371) zavezancev, ki so v letu 2021 oddali obračune na podlagi normiranih odhodkov. </w:t>
            </w:r>
            <w:r w:rsidR="5F430507" w:rsidRPr="00070664">
              <w:rPr>
                <w:rFonts w:ascii="Arial" w:eastAsia="Calibri" w:hAnsi="Arial" w:cs="Arial"/>
                <w:sz w:val="20"/>
                <w:szCs w:val="20"/>
              </w:rPr>
              <w:t xml:space="preserve">V tej </w:t>
            </w:r>
            <w:r w:rsidR="00886F1E">
              <w:rPr>
                <w:rFonts w:ascii="Arial" w:eastAsia="Calibri" w:hAnsi="Arial" w:cs="Arial"/>
                <w:sz w:val="20"/>
                <w:szCs w:val="20"/>
              </w:rPr>
              <w:t>d</w:t>
            </w:r>
            <w:r w:rsidR="5F430507" w:rsidRPr="00070664">
              <w:rPr>
                <w:rFonts w:ascii="Arial" w:eastAsia="Calibri" w:hAnsi="Arial" w:cs="Arial"/>
                <w:sz w:val="20"/>
                <w:szCs w:val="20"/>
              </w:rPr>
              <w:t xml:space="preserve">ejavnosti je bilo </w:t>
            </w:r>
            <w:proofErr w:type="spellStart"/>
            <w:r w:rsidR="754FDCA3" w:rsidRPr="00070664">
              <w:rPr>
                <w:rFonts w:ascii="Arial" w:eastAsia="Calibri" w:hAnsi="Arial" w:cs="Arial"/>
                <w:sz w:val="20"/>
                <w:szCs w:val="20"/>
              </w:rPr>
              <w:t>normirancev</w:t>
            </w:r>
            <w:proofErr w:type="spellEnd"/>
            <w:r w:rsidR="754FDCA3" w:rsidRPr="00070664">
              <w:rPr>
                <w:rFonts w:ascii="Arial" w:eastAsia="Calibri" w:hAnsi="Arial" w:cs="Arial"/>
                <w:sz w:val="20"/>
                <w:szCs w:val="20"/>
              </w:rPr>
              <w:t xml:space="preserve"> 77</w:t>
            </w:r>
            <w:r w:rsidR="00D200B8">
              <w:rPr>
                <w:rFonts w:ascii="Arial" w:eastAsia="Calibri" w:hAnsi="Arial" w:cs="Arial"/>
                <w:sz w:val="20"/>
                <w:szCs w:val="20"/>
              </w:rPr>
              <w:t> </w:t>
            </w:r>
            <w:r w:rsidR="754FDCA3" w:rsidRPr="00070664">
              <w:rPr>
                <w:rFonts w:ascii="Arial" w:eastAsia="Calibri" w:hAnsi="Arial" w:cs="Arial"/>
                <w:sz w:val="20"/>
                <w:szCs w:val="20"/>
              </w:rPr>
              <w:t>% vseh zavezancev za davek od dohodka iz dejavnosti.</w:t>
            </w:r>
            <w:r w:rsidR="5F430507" w:rsidRPr="00070664">
              <w:rPr>
                <w:rFonts w:ascii="Arial" w:eastAsia="Calibri" w:hAnsi="Arial" w:cs="Arial"/>
                <w:sz w:val="20"/>
                <w:szCs w:val="20"/>
              </w:rPr>
              <w:t xml:space="preserve"> </w:t>
            </w:r>
            <w:r w:rsidRPr="00070664">
              <w:rPr>
                <w:rFonts w:ascii="Arial" w:eastAsia="Calibri" w:hAnsi="Arial" w:cs="Arial"/>
                <w:sz w:val="20"/>
                <w:szCs w:val="20"/>
              </w:rPr>
              <w:t>V informacijskih in komunikacijskih dejavnosti je bilo 9,2</w:t>
            </w:r>
            <w:r w:rsidR="00D200B8">
              <w:rPr>
                <w:rFonts w:ascii="Arial" w:eastAsia="Calibri" w:hAnsi="Arial" w:cs="Arial"/>
                <w:sz w:val="20"/>
                <w:szCs w:val="20"/>
              </w:rPr>
              <w:t> </w:t>
            </w:r>
            <w:r w:rsidRPr="00070664">
              <w:rPr>
                <w:rFonts w:ascii="Arial" w:eastAsia="Calibri" w:hAnsi="Arial" w:cs="Arial"/>
                <w:sz w:val="20"/>
                <w:szCs w:val="20"/>
              </w:rPr>
              <w:t xml:space="preserve">% </w:t>
            </w:r>
            <w:r w:rsidR="180B0557" w:rsidRPr="00D82B93">
              <w:rPr>
                <w:rFonts w:ascii="Arial" w:eastAsia="Calibri" w:hAnsi="Arial" w:cs="Arial"/>
                <w:sz w:val="20"/>
                <w:szCs w:val="20"/>
              </w:rPr>
              <w:t>(oz. 6.510)</w:t>
            </w:r>
            <w:r w:rsidR="5E047B32" w:rsidRPr="00D82B93">
              <w:rPr>
                <w:rFonts w:ascii="Arial" w:eastAsia="Calibri" w:hAnsi="Arial" w:cs="Arial"/>
                <w:sz w:val="20"/>
                <w:szCs w:val="20"/>
              </w:rPr>
              <w:t xml:space="preserve"> </w:t>
            </w:r>
            <w:r w:rsidRPr="00070664">
              <w:rPr>
                <w:rFonts w:ascii="Arial" w:eastAsia="Calibri" w:hAnsi="Arial" w:cs="Arial"/>
                <w:sz w:val="20"/>
                <w:szCs w:val="20"/>
              </w:rPr>
              <w:t>zavezancev glede na vse z normiranimi odhodki</w:t>
            </w:r>
            <w:r w:rsidR="541FD3B1" w:rsidRPr="00070664">
              <w:rPr>
                <w:rFonts w:ascii="Arial" w:eastAsia="Calibri" w:hAnsi="Arial" w:cs="Arial"/>
                <w:sz w:val="20"/>
                <w:szCs w:val="20"/>
              </w:rPr>
              <w:t xml:space="preserve"> (8</w:t>
            </w:r>
            <w:r w:rsidR="7612F0EA" w:rsidRPr="00070664">
              <w:rPr>
                <w:rFonts w:ascii="Arial" w:eastAsia="Calibri" w:hAnsi="Arial" w:cs="Arial"/>
                <w:sz w:val="20"/>
                <w:szCs w:val="20"/>
              </w:rPr>
              <w:t>4</w:t>
            </w:r>
            <w:r w:rsidR="00D200B8">
              <w:rPr>
                <w:rFonts w:ascii="Arial" w:eastAsia="Calibri" w:hAnsi="Arial" w:cs="Arial"/>
                <w:sz w:val="20"/>
                <w:szCs w:val="20"/>
              </w:rPr>
              <w:t> </w:t>
            </w:r>
            <w:r w:rsidR="7612F0EA" w:rsidRPr="00070664">
              <w:rPr>
                <w:rFonts w:ascii="Arial" w:eastAsia="Calibri" w:hAnsi="Arial" w:cs="Arial"/>
                <w:sz w:val="20"/>
                <w:szCs w:val="20"/>
              </w:rPr>
              <w:t>% vseh zavezancev za davek od dohodka iz dejavnosti)</w:t>
            </w:r>
            <w:r w:rsidRPr="00070664">
              <w:rPr>
                <w:rFonts w:ascii="Arial" w:eastAsia="Calibri" w:hAnsi="Arial" w:cs="Arial"/>
                <w:sz w:val="20"/>
                <w:szCs w:val="20"/>
              </w:rPr>
              <w:t xml:space="preserve">. Sledijo zavezanci v kulturnih, razvedrilnih in rekreacijskih dejavnostih, kjer je bilo 6.116 zavezancev, kar </w:t>
            </w:r>
            <w:r w:rsidR="00D200B8">
              <w:rPr>
                <w:rFonts w:ascii="Arial" w:eastAsia="Calibri" w:hAnsi="Arial" w:cs="Arial"/>
                <w:sz w:val="20"/>
                <w:szCs w:val="20"/>
              </w:rPr>
              <w:t xml:space="preserve">je </w:t>
            </w:r>
            <w:r w:rsidRPr="00070664">
              <w:rPr>
                <w:rFonts w:ascii="Arial" w:eastAsia="Calibri" w:hAnsi="Arial" w:cs="Arial"/>
                <w:sz w:val="20"/>
                <w:szCs w:val="20"/>
              </w:rPr>
              <w:t>8,6</w:t>
            </w:r>
            <w:r w:rsidR="00D200B8">
              <w:rPr>
                <w:rFonts w:ascii="Arial" w:eastAsia="Calibri" w:hAnsi="Arial" w:cs="Arial"/>
                <w:sz w:val="20"/>
                <w:szCs w:val="20"/>
              </w:rPr>
              <w:t> </w:t>
            </w:r>
            <w:r w:rsidRPr="00070664">
              <w:rPr>
                <w:rFonts w:ascii="Arial" w:eastAsia="Calibri" w:hAnsi="Arial" w:cs="Arial"/>
                <w:sz w:val="20"/>
                <w:szCs w:val="20"/>
              </w:rPr>
              <w:t>% vseh zavezancev, ki ugotavljajo davčno osnovo na podlagi dejanskih prihodkov in normiranih odhodkov</w:t>
            </w:r>
            <w:r w:rsidR="7C5E74C1" w:rsidRPr="00070664">
              <w:rPr>
                <w:rFonts w:ascii="Arial" w:eastAsia="Calibri" w:hAnsi="Arial" w:cs="Arial"/>
                <w:sz w:val="20"/>
                <w:szCs w:val="20"/>
              </w:rPr>
              <w:t xml:space="preserve"> (oz. </w:t>
            </w:r>
            <w:r w:rsidR="316CAF9D" w:rsidRPr="00070664">
              <w:rPr>
                <w:rFonts w:ascii="Arial" w:eastAsia="Calibri" w:hAnsi="Arial" w:cs="Arial"/>
                <w:sz w:val="20"/>
                <w:szCs w:val="20"/>
              </w:rPr>
              <w:t>76</w:t>
            </w:r>
            <w:r w:rsidR="00D200B8">
              <w:rPr>
                <w:rFonts w:ascii="Arial" w:eastAsia="Calibri" w:hAnsi="Arial" w:cs="Arial"/>
                <w:sz w:val="20"/>
                <w:szCs w:val="20"/>
              </w:rPr>
              <w:t> </w:t>
            </w:r>
            <w:r w:rsidR="316CAF9D" w:rsidRPr="00070664">
              <w:rPr>
                <w:rFonts w:ascii="Arial" w:eastAsia="Calibri" w:hAnsi="Arial" w:cs="Arial"/>
                <w:sz w:val="20"/>
                <w:szCs w:val="20"/>
              </w:rPr>
              <w:t>% vsek z</w:t>
            </w:r>
            <w:r w:rsidR="79AF601C" w:rsidRPr="00070664">
              <w:rPr>
                <w:rFonts w:ascii="Arial" w:eastAsia="Calibri" w:hAnsi="Arial" w:cs="Arial"/>
                <w:sz w:val="20"/>
                <w:szCs w:val="20"/>
              </w:rPr>
              <w:t>avezancev za davek od dohodka iz dejavnosti)</w:t>
            </w:r>
            <w:r w:rsidRPr="00070664">
              <w:rPr>
                <w:rFonts w:ascii="Arial" w:eastAsia="Calibri" w:hAnsi="Arial" w:cs="Arial"/>
                <w:sz w:val="20"/>
                <w:szCs w:val="20"/>
              </w:rPr>
              <w:t xml:space="preserve">. Z vidika statusno pravne oblike so med </w:t>
            </w:r>
            <w:proofErr w:type="spellStart"/>
            <w:r w:rsidRPr="00070664">
              <w:rPr>
                <w:rFonts w:ascii="Arial" w:eastAsia="Calibri" w:hAnsi="Arial" w:cs="Arial"/>
                <w:sz w:val="20"/>
                <w:szCs w:val="20"/>
              </w:rPr>
              <w:t>normiranci</w:t>
            </w:r>
            <w:proofErr w:type="spellEnd"/>
            <w:r w:rsidRPr="00070664">
              <w:rPr>
                <w:rFonts w:ascii="Arial" w:eastAsia="Calibri" w:hAnsi="Arial" w:cs="Arial"/>
                <w:sz w:val="20"/>
                <w:szCs w:val="20"/>
              </w:rPr>
              <w:t xml:space="preserve"> s 85,7</w:t>
            </w:r>
            <w:r w:rsidR="00D200B8">
              <w:rPr>
                <w:rFonts w:ascii="Arial" w:eastAsia="Calibri" w:hAnsi="Arial" w:cs="Arial"/>
                <w:sz w:val="20"/>
                <w:szCs w:val="20"/>
              </w:rPr>
              <w:t> </w:t>
            </w:r>
            <w:r w:rsidRPr="00070664">
              <w:rPr>
                <w:rFonts w:ascii="Arial" w:eastAsia="Calibri" w:hAnsi="Arial" w:cs="Arial"/>
                <w:sz w:val="20"/>
                <w:szCs w:val="20"/>
              </w:rPr>
              <w:t>% (60.841 zavezancev) prevladovali samostojni podjetniki posamezniki (</w:t>
            </w:r>
            <w:proofErr w:type="spellStart"/>
            <w:r w:rsidRPr="00070664">
              <w:rPr>
                <w:rFonts w:ascii="Arial" w:eastAsia="Calibri" w:hAnsi="Arial" w:cs="Arial"/>
                <w:sz w:val="20"/>
                <w:szCs w:val="20"/>
              </w:rPr>
              <w:t>s.p</w:t>
            </w:r>
            <w:proofErr w:type="spellEnd"/>
            <w:r w:rsidRPr="00070664">
              <w:rPr>
                <w:rFonts w:ascii="Arial" w:eastAsia="Calibri" w:hAnsi="Arial" w:cs="Arial"/>
                <w:sz w:val="20"/>
                <w:szCs w:val="20"/>
              </w:rPr>
              <w:t>.-ji). Sledili so jim nosilci dopolnilne dejavnosti na kmetiji (4,1</w:t>
            </w:r>
            <w:r w:rsidR="00D200B8">
              <w:rPr>
                <w:rFonts w:ascii="Arial" w:eastAsia="Calibri" w:hAnsi="Arial" w:cs="Arial"/>
                <w:sz w:val="20"/>
                <w:szCs w:val="20"/>
              </w:rPr>
              <w:t> </w:t>
            </w:r>
            <w:r w:rsidRPr="00070664">
              <w:rPr>
                <w:rFonts w:ascii="Arial" w:eastAsia="Calibri" w:hAnsi="Arial" w:cs="Arial"/>
                <w:sz w:val="20"/>
                <w:szCs w:val="20"/>
              </w:rPr>
              <w:t>%), registrirani sobodajalci (3,4</w:t>
            </w:r>
            <w:r w:rsidR="00D200B8">
              <w:rPr>
                <w:rFonts w:ascii="Arial" w:eastAsia="Calibri" w:hAnsi="Arial" w:cs="Arial"/>
                <w:sz w:val="20"/>
                <w:szCs w:val="20"/>
              </w:rPr>
              <w:t> </w:t>
            </w:r>
            <w:r w:rsidRPr="00070664">
              <w:rPr>
                <w:rFonts w:ascii="Arial" w:eastAsia="Calibri" w:hAnsi="Arial" w:cs="Arial"/>
                <w:sz w:val="20"/>
                <w:szCs w:val="20"/>
              </w:rPr>
              <w:t>%) in samostojni kulturni ustvarjalci (3,3</w:t>
            </w:r>
            <w:r w:rsidR="00D200B8">
              <w:rPr>
                <w:rFonts w:ascii="Arial" w:eastAsia="Calibri" w:hAnsi="Arial" w:cs="Arial"/>
                <w:sz w:val="20"/>
                <w:szCs w:val="20"/>
              </w:rPr>
              <w:t> </w:t>
            </w:r>
            <w:r w:rsidRPr="00070664">
              <w:rPr>
                <w:rFonts w:ascii="Arial" w:eastAsia="Calibri" w:hAnsi="Arial" w:cs="Arial"/>
                <w:sz w:val="20"/>
                <w:szCs w:val="20"/>
              </w:rPr>
              <w:t>%).</w:t>
            </w:r>
          </w:p>
          <w:p w14:paraId="2A1369C2" w14:textId="77777777" w:rsidR="008D2AA5" w:rsidRDefault="008D2AA5" w:rsidP="00073412">
            <w:pPr>
              <w:spacing w:line="276" w:lineRule="auto"/>
              <w:contextualSpacing/>
              <w:jc w:val="both"/>
              <w:rPr>
                <w:rFonts w:ascii="Arial" w:eastAsia="Calibri" w:hAnsi="Arial" w:cs="Arial"/>
                <w:sz w:val="20"/>
                <w:szCs w:val="20"/>
              </w:rPr>
            </w:pPr>
          </w:p>
          <w:p w14:paraId="3CD290ED" w14:textId="3E134985" w:rsidR="00070664" w:rsidRPr="00073412" w:rsidRDefault="00070664" w:rsidP="00073412">
            <w:pPr>
              <w:spacing w:line="276" w:lineRule="auto"/>
              <w:contextualSpacing/>
              <w:jc w:val="both"/>
              <w:rPr>
                <w:rFonts w:ascii="Arial" w:eastAsia="Calibri" w:hAnsi="Arial" w:cs="Arial"/>
                <w:sz w:val="20"/>
                <w:szCs w:val="20"/>
              </w:rPr>
            </w:pPr>
            <w:r w:rsidRPr="00070664">
              <w:rPr>
                <w:rFonts w:ascii="Arial" w:eastAsia="Calibri" w:hAnsi="Arial" w:cs="Arial"/>
                <w:sz w:val="20"/>
                <w:szCs w:val="20"/>
              </w:rPr>
              <w:t xml:space="preserve">Med zavezanci, ki ugotavljajo davčno osnovo na podlagi normiranih odhodkov, </w:t>
            </w:r>
            <w:r w:rsidR="00D200B8">
              <w:rPr>
                <w:rFonts w:ascii="Arial" w:eastAsia="Calibri" w:hAnsi="Arial" w:cs="Arial"/>
                <w:sz w:val="20"/>
                <w:szCs w:val="20"/>
              </w:rPr>
              <w:t xml:space="preserve">jih </w:t>
            </w:r>
            <w:r w:rsidRPr="00070664">
              <w:rPr>
                <w:rFonts w:ascii="Arial" w:eastAsia="Calibri" w:hAnsi="Arial" w:cs="Arial"/>
                <w:sz w:val="20"/>
                <w:szCs w:val="20"/>
              </w:rPr>
              <w:t>je bilo 5</w:t>
            </w:r>
            <w:r w:rsidR="00D200B8">
              <w:rPr>
                <w:rFonts w:ascii="Arial" w:eastAsia="Calibri" w:hAnsi="Arial" w:cs="Arial"/>
                <w:sz w:val="20"/>
                <w:szCs w:val="20"/>
              </w:rPr>
              <w:t> </w:t>
            </w:r>
            <w:r w:rsidRPr="00070664">
              <w:rPr>
                <w:rFonts w:ascii="Arial" w:eastAsia="Calibri" w:hAnsi="Arial" w:cs="Arial"/>
                <w:sz w:val="20"/>
                <w:szCs w:val="20"/>
              </w:rPr>
              <w:t>% brez prihodkov, s prihodki do 5.000</w:t>
            </w:r>
            <w:r w:rsidR="00D200B8">
              <w:rPr>
                <w:rFonts w:ascii="Arial" w:eastAsia="Calibri" w:hAnsi="Arial" w:cs="Arial"/>
                <w:sz w:val="20"/>
                <w:szCs w:val="20"/>
              </w:rPr>
              <w:t> </w:t>
            </w:r>
            <w:r>
              <w:rPr>
                <w:rFonts w:ascii="Arial" w:eastAsia="Calibri" w:hAnsi="Arial" w:cs="Arial"/>
                <w:sz w:val="20"/>
                <w:szCs w:val="20"/>
              </w:rPr>
              <w:t>EUR</w:t>
            </w:r>
            <w:r w:rsidR="008D2AA5">
              <w:rPr>
                <w:rFonts w:ascii="Arial" w:eastAsia="Calibri" w:hAnsi="Arial" w:cs="Arial"/>
                <w:sz w:val="20"/>
                <w:szCs w:val="20"/>
              </w:rPr>
              <w:t xml:space="preserve"> </w:t>
            </w:r>
            <w:r w:rsidRPr="00070664">
              <w:rPr>
                <w:rFonts w:ascii="Arial" w:eastAsia="Calibri" w:hAnsi="Arial" w:cs="Arial"/>
                <w:sz w:val="20"/>
                <w:szCs w:val="20"/>
              </w:rPr>
              <w:t>je bilo 17</w:t>
            </w:r>
            <w:r w:rsidR="00D200B8">
              <w:rPr>
                <w:rFonts w:ascii="Arial" w:eastAsia="Calibri" w:hAnsi="Arial" w:cs="Arial"/>
                <w:sz w:val="20"/>
                <w:szCs w:val="20"/>
              </w:rPr>
              <w:t> </w:t>
            </w:r>
            <w:r w:rsidRPr="00070664">
              <w:rPr>
                <w:rFonts w:ascii="Arial" w:eastAsia="Calibri" w:hAnsi="Arial" w:cs="Arial"/>
                <w:sz w:val="20"/>
                <w:szCs w:val="20"/>
              </w:rPr>
              <w:t>% zavezancev. Malo manj kot polovica (46</w:t>
            </w:r>
            <w:r w:rsidR="00D200B8">
              <w:rPr>
                <w:rFonts w:ascii="Arial" w:eastAsia="Calibri" w:hAnsi="Arial" w:cs="Arial"/>
                <w:sz w:val="20"/>
                <w:szCs w:val="20"/>
              </w:rPr>
              <w:t> </w:t>
            </w:r>
            <w:r w:rsidRPr="00070664">
              <w:rPr>
                <w:rFonts w:ascii="Arial" w:eastAsia="Calibri" w:hAnsi="Arial" w:cs="Arial"/>
                <w:sz w:val="20"/>
                <w:szCs w:val="20"/>
              </w:rPr>
              <w:t xml:space="preserve">%) </w:t>
            </w:r>
            <w:proofErr w:type="spellStart"/>
            <w:r w:rsidRPr="00070664">
              <w:rPr>
                <w:rFonts w:ascii="Arial" w:eastAsia="Calibri" w:hAnsi="Arial" w:cs="Arial"/>
                <w:sz w:val="20"/>
                <w:szCs w:val="20"/>
              </w:rPr>
              <w:t>normirancev</w:t>
            </w:r>
            <w:proofErr w:type="spellEnd"/>
            <w:r w:rsidRPr="00070664">
              <w:rPr>
                <w:rFonts w:ascii="Arial" w:eastAsia="Calibri" w:hAnsi="Arial" w:cs="Arial"/>
                <w:sz w:val="20"/>
                <w:szCs w:val="20"/>
              </w:rPr>
              <w:t xml:space="preserve"> je imela prihodke do 15.000</w:t>
            </w:r>
            <w:r w:rsidR="00D200B8">
              <w:rPr>
                <w:rFonts w:ascii="Arial" w:eastAsia="Calibri" w:hAnsi="Arial" w:cs="Arial"/>
                <w:sz w:val="20"/>
                <w:szCs w:val="20"/>
              </w:rPr>
              <w:t> </w:t>
            </w:r>
            <w:r>
              <w:rPr>
                <w:rFonts w:ascii="Arial" w:eastAsia="Calibri" w:hAnsi="Arial" w:cs="Arial"/>
                <w:sz w:val="20"/>
                <w:szCs w:val="20"/>
              </w:rPr>
              <w:t>EUR</w:t>
            </w:r>
            <w:r w:rsidRPr="00070664">
              <w:rPr>
                <w:rFonts w:ascii="Arial" w:eastAsia="Calibri" w:hAnsi="Arial" w:cs="Arial"/>
                <w:sz w:val="20"/>
                <w:szCs w:val="20"/>
              </w:rPr>
              <w:t xml:space="preserve">, a je njihov delež v celotnih prihodkih znašal </w:t>
            </w:r>
            <w:r w:rsidR="23B690F4" w:rsidRPr="00070664">
              <w:rPr>
                <w:rFonts w:ascii="Arial" w:eastAsia="Calibri" w:hAnsi="Arial" w:cs="Arial"/>
                <w:sz w:val="20"/>
                <w:szCs w:val="20"/>
              </w:rPr>
              <w:t xml:space="preserve">le </w:t>
            </w:r>
            <w:r w:rsidRPr="00070664">
              <w:rPr>
                <w:rFonts w:ascii="Arial" w:eastAsia="Calibri" w:hAnsi="Arial" w:cs="Arial"/>
                <w:sz w:val="20"/>
                <w:szCs w:val="20"/>
              </w:rPr>
              <w:t>11</w:t>
            </w:r>
            <w:r w:rsidR="00D200B8">
              <w:rPr>
                <w:rFonts w:ascii="Arial" w:eastAsia="Calibri" w:hAnsi="Arial" w:cs="Arial"/>
                <w:sz w:val="20"/>
                <w:szCs w:val="20"/>
              </w:rPr>
              <w:t> </w:t>
            </w:r>
            <w:r w:rsidRPr="00070664">
              <w:rPr>
                <w:rFonts w:ascii="Arial" w:eastAsia="Calibri" w:hAnsi="Arial" w:cs="Arial"/>
                <w:sz w:val="20"/>
                <w:szCs w:val="20"/>
              </w:rPr>
              <w:t>% in v celotni davčni obveznosti 9</w:t>
            </w:r>
            <w:r w:rsidR="00D200B8">
              <w:rPr>
                <w:rFonts w:ascii="Arial" w:eastAsia="Calibri" w:hAnsi="Arial" w:cs="Arial"/>
                <w:sz w:val="20"/>
                <w:szCs w:val="20"/>
              </w:rPr>
              <w:t> </w:t>
            </w:r>
            <w:r w:rsidRPr="00070664">
              <w:rPr>
                <w:rFonts w:ascii="Arial" w:eastAsia="Calibri" w:hAnsi="Arial" w:cs="Arial"/>
                <w:sz w:val="20"/>
                <w:szCs w:val="20"/>
              </w:rPr>
              <w:t>%. Le 2</w:t>
            </w:r>
            <w:r w:rsidR="00D200B8">
              <w:rPr>
                <w:rFonts w:ascii="Arial" w:eastAsia="Calibri" w:hAnsi="Arial" w:cs="Arial"/>
                <w:sz w:val="20"/>
                <w:szCs w:val="20"/>
              </w:rPr>
              <w:t> </w:t>
            </w:r>
            <w:r w:rsidRPr="00070664">
              <w:rPr>
                <w:rFonts w:ascii="Arial" w:eastAsia="Calibri" w:hAnsi="Arial" w:cs="Arial"/>
                <w:sz w:val="20"/>
                <w:szCs w:val="20"/>
              </w:rPr>
              <w:t>% zavezancev je imelo prihodke nad 100.00</w:t>
            </w:r>
            <w:r w:rsidR="00D200B8">
              <w:rPr>
                <w:rFonts w:ascii="Arial" w:eastAsia="Calibri" w:hAnsi="Arial" w:cs="Arial"/>
                <w:sz w:val="20"/>
                <w:szCs w:val="20"/>
              </w:rPr>
              <w:t> </w:t>
            </w:r>
            <w:r>
              <w:rPr>
                <w:rFonts w:ascii="Arial" w:eastAsia="Calibri" w:hAnsi="Arial" w:cs="Arial"/>
                <w:sz w:val="20"/>
                <w:szCs w:val="20"/>
              </w:rPr>
              <w:t>EUR</w:t>
            </w:r>
            <w:r w:rsidRPr="00070664">
              <w:rPr>
                <w:rFonts w:ascii="Arial" w:eastAsia="Calibri" w:hAnsi="Arial" w:cs="Arial"/>
                <w:sz w:val="20"/>
                <w:szCs w:val="20"/>
              </w:rPr>
              <w:t>, njihov delež v celotni davčni obveznosti pa je znašal skoraj 22</w:t>
            </w:r>
            <w:r w:rsidR="00D200B8">
              <w:rPr>
                <w:rFonts w:ascii="Arial" w:eastAsia="Calibri" w:hAnsi="Arial" w:cs="Arial"/>
                <w:sz w:val="20"/>
                <w:szCs w:val="20"/>
              </w:rPr>
              <w:t> </w:t>
            </w:r>
            <w:r w:rsidRPr="00070664">
              <w:rPr>
                <w:rFonts w:ascii="Arial" w:eastAsia="Calibri" w:hAnsi="Arial" w:cs="Arial"/>
                <w:sz w:val="20"/>
                <w:szCs w:val="20"/>
              </w:rPr>
              <w:t>%.</w:t>
            </w:r>
          </w:p>
          <w:p w14:paraId="73A816BA" w14:textId="77777777" w:rsidR="008D5512" w:rsidRDefault="008D5512" w:rsidP="00515754">
            <w:pPr>
              <w:spacing w:after="0" w:line="276" w:lineRule="auto"/>
              <w:contextualSpacing/>
              <w:jc w:val="both"/>
              <w:rPr>
                <w:rFonts w:ascii="Arial" w:eastAsia="Calibri" w:hAnsi="Arial" w:cs="Arial"/>
                <w:sz w:val="20"/>
                <w:szCs w:val="20"/>
              </w:rPr>
            </w:pPr>
          </w:p>
          <w:p w14:paraId="40A481C6" w14:textId="17EE9A8C" w:rsidR="00A559C2" w:rsidRDefault="00E026DE" w:rsidP="00515754">
            <w:pPr>
              <w:spacing w:after="0" w:line="276" w:lineRule="auto"/>
              <w:contextualSpacing/>
              <w:jc w:val="both"/>
              <w:rPr>
                <w:rFonts w:ascii="Arial" w:eastAsia="Calibri" w:hAnsi="Arial" w:cs="Arial"/>
                <w:sz w:val="20"/>
                <w:szCs w:val="20"/>
              </w:rPr>
            </w:pPr>
            <w:r>
              <w:rPr>
                <w:rFonts w:ascii="Arial" w:eastAsia="Calibri" w:hAnsi="Arial" w:cs="Arial"/>
                <w:sz w:val="20"/>
                <w:szCs w:val="20"/>
              </w:rPr>
              <w:t>1.</w:t>
            </w:r>
            <w:r w:rsidR="008B373D">
              <w:rPr>
                <w:rFonts w:ascii="Arial" w:eastAsia="Calibri" w:hAnsi="Arial" w:cs="Arial"/>
                <w:sz w:val="20"/>
                <w:szCs w:val="20"/>
              </w:rPr>
              <w:t>4</w:t>
            </w:r>
            <w:r>
              <w:rPr>
                <w:rFonts w:ascii="Arial" w:eastAsia="Calibri" w:hAnsi="Arial" w:cs="Arial"/>
                <w:sz w:val="20"/>
                <w:szCs w:val="20"/>
              </w:rPr>
              <w:t xml:space="preserve"> </w:t>
            </w:r>
            <w:r w:rsidR="00A559C2">
              <w:rPr>
                <w:rFonts w:ascii="Arial" w:eastAsia="Calibri" w:hAnsi="Arial" w:cs="Arial"/>
                <w:sz w:val="20"/>
                <w:szCs w:val="20"/>
              </w:rPr>
              <w:t>Dohodki iz oddajanja premoženja v najem</w:t>
            </w:r>
          </w:p>
          <w:p w14:paraId="78735977" w14:textId="1DCA6CC8" w:rsidR="00DF513E" w:rsidRDefault="00A559C2" w:rsidP="00DF513E">
            <w:pPr>
              <w:spacing w:after="0" w:line="276" w:lineRule="auto"/>
              <w:contextualSpacing/>
              <w:jc w:val="both"/>
              <w:rPr>
                <w:rFonts w:ascii="Arial" w:eastAsia="Calibri" w:hAnsi="Arial" w:cs="Arial"/>
                <w:sz w:val="20"/>
                <w:szCs w:val="20"/>
              </w:rPr>
            </w:pPr>
            <w:r>
              <w:rPr>
                <w:rFonts w:ascii="Arial" w:eastAsia="Calibri" w:hAnsi="Arial" w:cs="Arial"/>
                <w:sz w:val="20"/>
                <w:szCs w:val="20"/>
              </w:rPr>
              <w:t>Dohodki iz oddajanja premoženja v najem po poglavju</w:t>
            </w:r>
            <w:r w:rsidR="00D200B8">
              <w:rPr>
                <w:rFonts w:ascii="Arial" w:eastAsia="Calibri" w:hAnsi="Arial" w:cs="Arial"/>
                <w:sz w:val="20"/>
                <w:szCs w:val="20"/>
              </w:rPr>
              <w:t> </w:t>
            </w:r>
            <w:r>
              <w:rPr>
                <w:rFonts w:ascii="Arial" w:eastAsia="Calibri" w:hAnsi="Arial" w:cs="Arial"/>
                <w:sz w:val="20"/>
                <w:szCs w:val="20"/>
              </w:rPr>
              <w:t xml:space="preserve">III.5.1. ZDoh-2 se obdavčujejo </w:t>
            </w:r>
            <w:proofErr w:type="spellStart"/>
            <w:r>
              <w:rPr>
                <w:rFonts w:ascii="Arial" w:eastAsia="Calibri" w:hAnsi="Arial" w:cs="Arial"/>
                <w:sz w:val="20"/>
                <w:szCs w:val="20"/>
              </w:rPr>
              <w:t>cedularno</w:t>
            </w:r>
            <w:proofErr w:type="spellEnd"/>
            <w:r>
              <w:rPr>
                <w:rFonts w:ascii="Arial" w:eastAsia="Calibri" w:hAnsi="Arial" w:cs="Arial"/>
                <w:sz w:val="20"/>
                <w:szCs w:val="20"/>
              </w:rPr>
              <w:t>, po proporcionalni davčni stopnji</w:t>
            </w:r>
            <w:r w:rsidR="00902193">
              <w:rPr>
                <w:rFonts w:ascii="Arial" w:eastAsia="Calibri" w:hAnsi="Arial" w:cs="Arial"/>
                <w:sz w:val="20"/>
                <w:szCs w:val="20"/>
              </w:rPr>
              <w:t xml:space="preserve"> 15</w:t>
            </w:r>
            <w:r w:rsidR="00D200B8">
              <w:rPr>
                <w:rFonts w:ascii="Arial" w:eastAsia="Calibri" w:hAnsi="Arial" w:cs="Arial"/>
                <w:sz w:val="20"/>
                <w:szCs w:val="20"/>
              </w:rPr>
              <w:t> </w:t>
            </w:r>
            <w:r w:rsidR="00902193">
              <w:rPr>
                <w:rFonts w:ascii="Arial" w:eastAsia="Calibri" w:hAnsi="Arial" w:cs="Arial"/>
                <w:sz w:val="20"/>
                <w:szCs w:val="20"/>
              </w:rPr>
              <w:t>%</w:t>
            </w:r>
            <w:r>
              <w:rPr>
                <w:rFonts w:ascii="Arial" w:eastAsia="Calibri" w:hAnsi="Arial" w:cs="Arial"/>
                <w:sz w:val="20"/>
                <w:szCs w:val="20"/>
              </w:rPr>
              <w:t xml:space="preserve">. </w:t>
            </w:r>
            <w:r w:rsidR="00DF513E">
              <w:rPr>
                <w:rFonts w:ascii="Arial" w:eastAsia="Calibri" w:hAnsi="Arial" w:cs="Arial"/>
                <w:sz w:val="20"/>
                <w:szCs w:val="20"/>
              </w:rPr>
              <w:t>P</w:t>
            </w:r>
            <w:r w:rsidR="00DF513E" w:rsidRPr="00DF513E">
              <w:rPr>
                <w:rFonts w:ascii="Arial" w:eastAsia="Calibri" w:hAnsi="Arial" w:cs="Arial"/>
                <w:sz w:val="20"/>
                <w:szCs w:val="20"/>
              </w:rPr>
              <w:t xml:space="preserve">ri ugotavljanju davčne osnove od tovrstnega dohodka </w:t>
            </w:r>
            <w:r w:rsidR="00DF513E">
              <w:rPr>
                <w:rFonts w:ascii="Arial" w:eastAsia="Calibri" w:hAnsi="Arial" w:cs="Arial"/>
                <w:sz w:val="20"/>
                <w:szCs w:val="20"/>
              </w:rPr>
              <w:t xml:space="preserve">se </w:t>
            </w:r>
            <w:r w:rsidR="00DF513E" w:rsidRPr="00DF513E">
              <w:rPr>
                <w:rFonts w:ascii="Arial" w:eastAsia="Calibri" w:hAnsi="Arial" w:cs="Arial"/>
                <w:sz w:val="20"/>
                <w:szCs w:val="20"/>
              </w:rPr>
              <w:t>prizna</w:t>
            </w:r>
            <w:r w:rsidR="00DF513E">
              <w:rPr>
                <w:rFonts w:ascii="Arial" w:eastAsia="Calibri" w:hAnsi="Arial" w:cs="Arial"/>
                <w:sz w:val="20"/>
                <w:szCs w:val="20"/>
              </w:rPr>
              <w:t>jo</w:t>
            </w:r>
            <w:r w:rsidR="00DF513E" w:rsidRPr="00DF513E">
              <w:rPr>
                <w:rFonts w:ascii="Arial" w:eastAsia="Calibri" w:hAnsi="Arial" w:cs="Arial"/>
                <w:sz w:val="20"/>
                <w:szCs w:val="20"/>
              </w:rPr>
              <w:t xml:space="preserve"> normirani stroški v višini </w:t>
            </w:r>
            <w:r w:rsidR="00DF513E">
              <w:rPr>
                <w:rFonts w:ascii="Arial" w:eastAsia="Calibri" w:hAnsi="Arial" w:cs="Arial"/>
                <w:sz w:val="20"/>
                <w:szCs w:val="20"/>
              </w:rPr>
              <w:t>1</w:t>
            </w:r>
            <w:r w:rsidR="00DF513E" w:rsidRPr="00DF513E">
              <w:rPr>
                <w:rFonts w:ascii="Arial" w:eastAsia="Calibri" w:hAnsi="Arial" w:cs="Arial"/>
                <w:sz w:val="20"/>
                <w:szCs w:val="20"/>
              </w:rPr>
              <w:t>0%</w:t>
            </w:r>
            <w:r w:rsidR="00D200B8">
              <w:rPr>
                <w:rFonts w:ascii="Arial" w:eastAsia="Calibri" w:hAnsi="Arial" w:cs="Arial"/>
                <w:sz w:val="20"/>
                <w:szCs w:val="20"/>
              </w:rPr>
              <w:t> </w:t>
            </w:r>
            <w:r w:rsidR="00DF513E" w:rsidRPr="00DF513E">
              <w:rPr>
                <w:rFonts w:ascii="Arial" w:eastAsia="Calibri" w:hAnsi="Arial" w:cs="Arial"/>
                <w:sz w:val="20"/>
                <w:szCs w:val="20"/>
              </w:rPr>
              <w:t xml:space="preserve">od dohodka, zavezanec pa lahko </w:t>
            </w:r>
            <w:r w:rsidR="00DF39DB">
              <w:rPr>
                <w:rFonts w:ascii="Arial" w:eastAsia="Calibri" w:hAnsi="Arial" w:cs="Arial"/>
                <w:sz w:val="20"/>
                <w:szCs w:val="20"/>
              </w:rPr>
              <w:t>namesto normiranih stroškov</w:t>
            </w:r>
            <w:r w:rsidR="00DF513E" w:rsidRPr="00DF513E">
              <w:rPr>
                <w:rFonts w:ascii="Arial" w:eastAsia="Calibri" w:hAnsi="Arial" w:cs="Arial"/>
                <w:sz w:val="20"/>
                <w:szCs w:val="20"/>
              </w:rPr>
              <w:t xml:space="preserve"> uveljavlja tudi dejanske stroške vzdrževanja premoženja, ki ohranja uporabno vrednost premoženja, če jih v času oddajanja premoženja v najem za navedeno premoženje plač</w:t>
            </w:r>
            <w:r w:rsidR="00DF513E">
              <w:rPr>
                <w:rFonts w:ascii="Arial" w:eastAsia="Calibri" w:hAnsi="Arial" w:cs="Arial"/>
                <w:sz w:val="20"/>
                <w:szCs w:val="20"/>
              </w:rPr>
              <w:t>uje</w:t>
            </w:r>
            <w:r w:rsidR="00DF513E" w:rsidRPr="00DF513E">
              <w:rPr>
                <w:rFonts w:ascii="Arial" w:eastAsia="Calibri" w:hAnsi="Arial" w:cs="Arial"/>
                <w:sz w:val="20"/>
                <w:szCs w:val="20"/>
              </w:rPr>
              <w:t xml:space="preserve"> sam. Dejanski stroški vzdrževanja</w:t>
            </w:r>
            <w:r w:rsidR="00DF513E">
              <w:rPr>
                <w:rFonts w:ascii="Arial" w:eastAsia="Calibri" w:hAnsi="Arial" w:cs="Arial"/>
                <w:sz w:val="20"/>
                <w:szCs w:val="20"/>
              </w:rPr>
              <w:t xml:space="preserve"> </w:t>
            </w:r>
            <w:r w:rsidR="00DF513E" w:rsidRPr="00DF513E">
              <w:rPr>
                <w:rFonts w:ascii="Arial" w:eastAsia="Calibri" w:hAnsi="Arial" w:cs="Arial"/>
                <w:sz w:val="20"/>
                <w:szCs w:val="20"/>
              </w:rPr>
              <w:t>se prizna</w:t>
            </w:r>
            <w:r w:rsidR="00DF513E">
              <w:rPr>
                <w:rFonts w:ascii="Arial" w:eastAsia="Calibri" w:hAnsi="Arial" w:cs="Arial"/>
                <w:sz w:val="20"/>
                <w:szCs w:val="20"/>
              </w:rPr>
              <w:t>jo</w:t>
            </w:r>
            <w:r w:rsidR="00DF513E" w:rsidRPr="00DF513E">
              <w:rPr>
                <w:rFonts w:ascii="Arial" w:eastAsia="Calibri" w:hAnsi="Arial" w:cs="Arial"/>
                <w:sz w:val="20"/>
                <w:szCs w:val="20"/>
              </w:rPr>
              <w:t xml:space="preserve"> na podlagi računov.</w:t>
            </w:r>
          </w:p>
          <w:p w14:paraId="2C03ACC3" w14:textId="77777777" w:rsidR="00DF513E" w:rsidRDefault="00DF513E" w:rsidP="00DF513E">
            <w:pPr>
              <w:spacing w:after="0" w:line="276" w:lineRule="auto"/>
              <w:contextualSpacing/>
              <w:jc w:val="both"/>
              <w:rPr>
                <w:rFonts w:ascii="Arial" w:eastAsia="Calibri" w:hAnsi="Arial" w:cs="Arial"/>
                <w:sz w:val="20"/>
                <w:szCs w:val="20"/>
              </w:rPr>
            </w:pPr>
          </w:p>
          <w:p w14:paraId="3117030F" w14:textId="79BBF6E4" w:rsidR="00A559C2" w:rsidRDefault="00A559C2" w:rsidP="00DF513E">
            <w:pPr>
              <w:spacing w:after="0" w:line="276" w:lineRule="auto"/>
              <w:contextualSpacing/>
              <w:jc w:val="both"/>
              <w:rPr>
                <w:rFonts w:ascii="Arial" w:eastAsia="Calibri" w:hAnsi="Arial" w:cs="Arial"/>
                <w:sz w:val="20"/>
                <w:szCs w:val="20"/>
              </w:rPr>
            </w:pPr>
            <w:proofErr w:type="spellStart"/>
            <w:r w:rsidRPr="00A559C2">
              <w:rPr>
                <w:rFonts w:ascii="Arial" w:eastAsia="Calibri" w:hAnsi="Arial" w:cs="Arial"/>
                <w:sz w:val="20"/>
                <w:szCs w:val="20"/>
              </w:rPr>
              <w:t>Cedularna</w:t>
            </w:r>
            <w:proofErr w:type="spellEnd"/>
            <w:r w:rsidRPr="00A559C2">
              <w:rPr>
                <w:rFonts w:ascii="Arial" w:eastAsia="Calibri" w:hAnsi="Arial" w:cs="Arial"/>
                <w:sz w:val="20"/>
                <w:szCs w:val="20"/>
              </w:rPr>
              <w:t xml:space="preserve"> obdavčitev </w:t>
            </w:r>
            <w:r>
              <w:rPr>
                <w:rFonts w:ascii="Arial" w:eastAsia="Calibri" w:hAnsi="Arial" w:cs="Arial"/>
                <w:sz w:val="20"/>
                <w:szCs w:val="20"/>
              </w:rPr>
              <w:t xml:space="preserve">teh </w:t>
            </w:r>
            <w:r w:rsidRPr="00A559C2">
              <w:rPr>
                <w:rFonts w:ascii="Arial" w:eastAsia="Calibri" w:hAnsi="Arial" w:cs="Arial"/>
                <w:sz w:val="20"/>
                <w:szCs w:val="20"/>
              </w:rPr>
              <w:t xml:space="preserve">dohodkov je bila uvedena </w:t>
            </w:r>
            <w:r w:rsidR="00272708">
              <w:rPr>
                <w:rFonts w:ascii="Arial" w:eastAsia="Calibri" w:hAnsi="Arial" w:cs="Arial"/>
                <w:sz w:val="20"/>
                <w:szCs w:val="20"/>
              </w:rPr>
              <w:t>hkrati</w:t>
            </w:r>
            <w:r w:rsidRPr="00A559C2">
              <w:rPr>
                <w:rFonts w:ascii="Arial" w:eastAsia="Calibri" w:hAnsi="Arial" w:cs="Arial"/>
                <w:sz w:val="20"/>
                <w:szCs w:val="20"/>
              </w:rPr>
              <w:t xml:space="preserve"> z uvedbo ugotavljanja davčne osnove od dohodka iz dejavnosti z upoštevanjem dejanskih prihodkov in normiranih odhodkov v letu 2013. </w:t>
            </w:r>
            <w:r>
              <w:rPr>
                <w:rFonts w:ascii="Arial" w:eastAsia="Calibri" w:hAnsi="Arial" w:cs="Arial"/>
                <w:sz w:val="20"/>
                <w:szCs w:val="20"/>
              </w:rPr>
              <w:t>Pred tem so se dohodki po poglavju III.5.1. ZDoh-2 obdavčevali sintetično, po progresivni</w:t>
            </w:r>
            <w:r w:rsidR="00DF513E">
              <w:rPr>
                <w:rFonts w:ascii="Arial" w:eastAsia="Calibri" w:hAnsi="Arial" w:cs="Arial"/>
                <w:sz w:val="20"/>
                <w:szCs w:val="20"/>
              </w:rPr>
              <w:t xml:space="preserve"> davčni lestvici, pri čemer so se pri ugotavljanju davčne osnove od tovrstnega dohodka priznavali normirani </w:t>
            </w:r>
            <w:r w:rsidR="00DF513E" w:rsidRPr="00DF513E">
              <w:rPr>
                <w:rFonts w:ascii="Arial" w:eastAsia="Calibri" w:hAnsi="Arial" w:cs="Arial"/>
                <w:sz w:val="20"/>
                <w:szCs w:val="20"/>
              </w:rPr>
              <w:t>strošk</w:t>
            </w:r>
            <w:r w:rsidR="00DF513E">
              <w:rPr>
                <w:rFonts w:ascii="Arial" w:eastAsia="Calibri" w:hAnsi="Arial" w:cs="Arial"/>
                <w:sz w:val="20"/>
                <w:szCs w:val="20"/>
              </w:rPr>
              <w:t>i</w:t>
            </w:r>
            <w:r w:rsidR="00DF513E" w:rsidRPr="00DF513E">
              <w:rPr>
                <w:rFonts w:ascii="Arial" w:eastAsia="Calibri" w:hAnsi="Arial" w:cs="Arial"/>
                <w:sz w:val="20"/>
                <w:szCs w:val="20"/>
              </w:rPr>
              <w:t xml:space="preserve"> v višini 40</w:t>
            </w:r>
            <w:r w:rsidR="00272708">
              <w:rPr>
                <w:rFonts w:ascii="Arial" w:eastAsia="Calibri" w:hAnsi="Arial" w:cs="Arial"/>
                <w:sz w:val="20"/>
                <w:szCs w:val="20"/>
              </w:rPr>
              <w:t> </w:t>
            </w:r>
            <w:r w:rsidR="00DF513E" w:rsidRPr="00DF513E">
              <w:rPr>
                <w:rFonts w:ascii="Arial" w:eastAsia="Calibri" w:hAnsi="Arial" w:cs="Arial"/>
                <w:sz w:val="20"/>
                <w:szCs w:val="20"/>
              </w:rPr>
              <w:t>% od dohodka</w:t>
            </w:r>
            <w:r w:rsidR="00DF513E">
              <w:rPr>
                <w:rFonts w:ascii="Arial" w:eastAsia="Calibri" w:hAnsi="Arial" w:cs="Arial"/>
                <w:sz w:val="20"/>
                <w:szCs w:val="20"/>
              </w:rPr>
              <w:t xml:space="preserve">, zavezanec pa je lahko </w:t>
            </w:r>
            <w:r w:rsidR="00F00A93">
              <w:rPr>
                <w:rFonts w:ascii="Arial" w:eastAsia="Calibri" w:hAnsi="Arial" w:cs="Arial"/>
                <w:sz w:val="20"/>
                <w:szCs w:val="20"/>
              </w:rPr>
              <w:t xml:space="preserve">namesto normiranih stroškov </w:t>
            </w:r>
            <w:r w:rsidR="00DF513E">
              <w:rPr>
                <w:rFonts w:ascii="Arial" w:eastAsia="Calibri" w:hAnsi="Arial" w:cs="Arial"/>
                <w:sz w:val="20"/>
                <w:szCs w:val="20"/>
              </w:rPr>
              <w:t xml:space="preserve">uveljavljal tudi </w:t>
            </w:r>
            <w:r w:rsidR="00DF513E" w:rsidRPr="00DF513E">
              <w:rPr>
                <w:rFonts w:ascii="Arial" w:eastAsia="Calibri" w:hAnsi="Arial" w:cs="Arial"/>
                <w:sz w:val="20"/>
                <w:szCs w:val="20"/>
              </w:rPr>
              <w:t xml:space="preserve">dejanske stroške vzdrževanja premoženja, ki ohranja uporabno vrednost premoženja, če jih </w:t>
            </w:r>
            <w:r w:rsidR="00DF513E">
              <w:rPr>
                <w:rFonts w:ascii="Arial" w:eastAsia="Calibri" w:hAnsi="Arial" w:cs="Arial"/>
                <w:sz w:val="20"/>
                <w:szCs w:val="20"/>
              </w:rPr>
              <w:t xml:space="preserve">je </w:t>
            </w:r>
            <w:r w:rsidR="00DF513E" w:rsidRPr="00DF513E">
              <w:rPr>
                <w:rFonts w:ascii="Arial" w:eastAsia="Calibri" w:hAnsi="Arial" w:cs="Arial"/>
                <w:sz w:val="20"/>
                <w:szCs w:val="20"/>
              </w:rPr>
              <w:t>v času oddajanja premoženja v najem za navedeno premoženje plače</w:t>
            </w:r>
            <w:r w:rsidR="00DF513E">
              <w:rPr>
                <w:rFonts w:ascii="Arial" w:eastAsia="Calibri" w:hAnsi="Arial" w:cs="Arial"/>
                <w:sz w:val="20"/>
                <w:szCs w:val="20"/>
              </w:rPr>
              <w:t>val</w:t>
            </w:r>
            <w:r w:rsidR="00DF513E" w:rsidRPr="00DF513E">
              <w:rPr>
                <w:rFonts w:ascii="Arial" w:eastAsia="Calibri" w:hAnsi="Arial" w:cs="Arial"/>
                <w:sz w:val="20"/>
                <w:szCs w:val="20"/>
              </w:rPr>
              <w:t xml:space="preserve"> sam. Dejanski stroški vzdrževanja </w:t>
            </w:r>
            <w:r w:rsidR="00DF513E">
              <w:rPr>
                <w:rFonts w:ascii="Arial" w:eastAsia="Calibri" w:hAnsi="Arial" w:cs="Arial"/>
                <w:sz w:val="20"/>
                <w:szCs w:val="20"/>
              </w:rPr>
              <w:t>so se priznavali</w:t>
            </w:r>
            <w:r w:rsidR="00DF513E" w:rsidRPr="00DF513E">
              <w:rPr>
                <w:rFonts w:ascii="Arial" w:eastAsia="Calibri" w:hAnsi="Arial" w:cs="Arial"/>
                <w:sz w:val="20"/>
                <w:szCs w:val="20"/>
              </w:rPr>
              <w:t xml:space="preserve"> na podlagi računov.</w:t>
            </w:r>
          </w:p>
          <w:p w14:paraId="2E546894" w14:textId="77777777" w:rsidR="00A559C2" w:rsidRPr="00A559C2" w:rsidRDefault="00A559C2" w:rsidP="00A559C2">
            <w:pPr>
              <w:spacing w:after="0" w:line="276" w:lineRule="auto"/>
              <w:contextualSpacing/>
              <w:jc w:val="both"/>
              <w:rPr>
                <w:rFonts w:ascii="Arial" w:eastAsia="Calibri" w:hAnsi="Arial" w:cs="Arial"/>
                <w:sz w:val="20"/>
                <w:szCs w:val="20"/>
              </w:rPr>
            </w:pPr>
          </w:p>
          <w:p w14:paraId="4FFFF345" w14:textId="6A6EA609" w:rsidR="00A559C2" w:rsidRDefault="00A559C2" w:rsidP="00A559C2">
            <w:pPr>
              <w:spacing w:after="0" w:line="276" w:lineRule="auto"/>
              <w:contextualSpacing/>
              <w:jc w:val="both"/>
              <w:rPr>
                <w:rFonts w:ascii="Arial" w:eastAsia="Calibri" w:hAnsi="Arial" w:cs="Arial"/>
                <w:sz w:val="20"/>
                <w:szCs w:val="20"/>
              </w:rPr>
            </w:pPr>
            <w:r w:rsidRPr="00A559C2">
              <w:rPr>
                <w:rFonts w:ascii="Arial" w:eastAsia="Calibri" w:hAnsi="Arial" w:cs="Arial"/>
                <w:sz w:val="20"/>
                <w:szCs w:val="20"/>
              </w:rPr>
              <w:t xml:space="preserve">Cilj uvedbe </w:t>
            </w:r>
            <w:proofErr w:type="spellStart"/>
            <w:r w:rsidRPr="00A559C2">
              <w:rPr>
                <w:rFonts w:ascii="Arial" w:eastAsia="Calibri" w:hAnsi="Arial" w:cs="Arial"/>
                <w:sz w:val="20"/>
                <w:szCs w:val="20"/>
              </w:rPr>
              <w:t>cedularne</w:t>
            </w:r>
            <w:proofErr w:type="spellEnd"/>
            <w:r w:rsidRPr="00A559C2">
              <w:rPr>
                <w:rFonts w:ascii="Arial" w:eastAsia="Calibri" w:hAnsi="Arial" w:cs="Arial"/>
                <w:sz w:val="20"/>
                <w:szCs w:val="20"/>
              </w:rPr>
              <w:t xml:space="preserve"> obdavčitve je bil predvsem doseči pregledno in predvidljivo davčno obravnavo, namenjeno stimuliranju trga oddajanja nepremičnin v najem s strani posameznikov, ki imajo neuporabljene nepremičnine, ter spodbuditi k prostovoljnemu napovedovanju teh dohodkov tiste davčne zavezance, ki do zdaj teh dohodkov niso napovedovali. </w:t>
            </w:r>
            <w:r w:rsidR="00272708">
              <w:rPr>
                <w:rFonts w:ascii="Arial" w:eastAsia="Calibri" w:hAnsi="Arial" w:cs="Arial"/>
                <w:sz w:val="20"/>
                <w:szCs w:val="20"/>
              </w:rPr>
              <w:t>Hkrati</w:t>
            </w:r>
            <w:r w:rsidRPr="00A559C2">
              <w:rPr>
                <w:rFonts w:ascii="Arial" w:eastAsia="Calibri" w:hAnsi="Arial" w:cs="Arial"/>
                <w:sz w:val="20"/>
                <w:szCs w:val="20"/>
              </w:rPr>
              <w:t xml:space="preserve"> se je z uvedbo </w:t>
            </w:r>
            <w:proofErr w:type="spellStart"/>
            <w:r w:rsidRPr="00A559C2">
              <w:rPr>
                <w:rFonts w:ascii="Arial" w:eastAsia="Calibri" w:hAnsi="Arial" w:cs="Arial"/>
                <w:sz w:val="20"/>
                <w:szCs w:val="20"/>
              </w:rPr>
              <w:t>cedularnosti</w:t>
            </w:r>
            <w:proofErr w:type="spellEnd"/>
            <w:r w:rsidRPr="00A559C2">
              <w:rPr>
                <w:rFonts w:ascii="Arial" w:eastAsia="Calibri" w:hAnsi="Arial" w:cs="Arial"/>
                <w:sz w:val="20"/>
                <w:szCs w:val="20"/>
              </w:rPr>
              <w:t>, v povezavi z znižanjem višine priznanih normiranih stroškov s 40</w:t>
            </w:r>
            <w:r w:rsidR="00272708">
              <w:rPr>
                <w:rFonts w:ascii="Arial" w:eastAsia="Calibri" w:hAnsi="Arial" w:cs="Arial"/>
                <w:sz w:val="20"/>
                <w:szCs w:val="20"/>
              </w:rPr>
              <w:t> </w:t>
            </w:r>
            <w:r w:rsidRPr="00A559C2">
              <w:rPr>
                <w:rFonts w:ascii="Arial" w:eastAsia="Calibri" w:hAnsi="Arial" w:cs="Arial"/>
                <w:sz w:val="20"/>
                <w:szCs w:val="20"/>
              </w:rPr>
              <w:t>% na 10</w:t>
            </w:r>
            <w:r w:rsidR="00272708">
              <w:rPr>
                <w:rFonts w:ascii="Arial" w:eastAsia="Calibri" w:hAnsi="Arial" w:cs="Arial"/>
                <w:sz w:val="20"/>
                <w:szCs w:val="20"/>
              </w:rPr>
              <w:t> </w:t>
            </w:r>
            <w:r w:rsidRPr="00A559C2">
              <w:rPr>
                <w:rFonts w:ascii="Arial" w:eastAsia="Calibri" w:hAnsi="Arial" w:cs="Arial"/>
                <w:sz w:val="20"/>
                <w:szCs w:val="20"/>
              </w:rPr>
              <w:t>% od dohodka iz oddajanja premoženja v najem, želel</w:t>
            </w:r>
            <w:r w:rsidR="00272708">
              <w:rPr>
                <w:rFonts w:ascii="Arial" w:eastAsia="Calibri" w:hAnsi="Arial" w:cs="Arial"/>
                <w:sz w:val="20"/>
                <w:szCs w:val="20"/>
              </w:rPr>
              <w:t>a</w:t>
            </w:r>
            <w:r w:rsidRPr="00A559C2">
              <w:rPr>
                <w:rFonts w:ascii="Arial" w:eastAsia="Calibri" w:hAnsi="Arial" w:cs="Arial"/>
                <w:sz w:val="20"/>
                <w:szCs w:val="20"/>
              </w:rPr>
              <w:t xml:space="preserve"> okrepiti pomembnost uveljavljanja dejanskih stroškov (tj.</w:t>
            </w:r>
            <w:r w:rsidR="00272708">
              <w:rPr>
                <w:rFonts w:ascii="Arial" w:eastAsia="Calibri" w:hAnsi="Arial" w:cs="Arial"/>
                <w:sz w:val="20"/>
                <w:szCs w:val="20"/>
              </w:rPr>
              <w:t> </w:t>
            </w:r>
            <w:r w:rsidRPr="00A559C2">
              <w:rPr>
                <w:rFonts w:ascii="Arial" w:eastAsia="Calibri" w:hAnsi="Arial" w:cs="Arial"/>
                <w:sz w:val="20"/>
                <w:szCs w:val="20"/>
              </w:rPr>
              <w:t>dejanskih stroškov vzdrževanja premoženja, ki ohranja uporabno vrednost premoženja), ki jih za premoženj</w:t>
            </w:r>
            <w:r w:rsidR="00EF1FDF">
              <w:rPr>
                <w:rFonts w:ascii="Arial" w:eastAsia="Calibri" w:hAnsi="Arial" w:cs="Arial"/>
                <w:sz w:val="20"/>
                <w:szCs w:val="20"/>
              </w:rPr>
              <w:t>e</w:t>
            </w:r>
            <w:r w:rsidRPr="00A559C2">
              <w:rPr>
                <w:rFonts w:ascii="Arial" w:eastAsia="Calibri" w:hAnsi="Arial" w:cs="Arial"/>
                <w:sz w:val="20"/>
                <w:szCs w:val="20"/>
              </w:rPr>
              <w:t>, oddano v najem, plačuje zavezanec sam in se zavezancem priznavajo na podlagi računov. To naj bi najemodajalce dodatno spodbujalo, da od ponudnikov storitev, povezanih z vzdrževanjem premoženja, zahtevajo izdajo računa.</w:t>
            </w:r>
          </w:p>
          <w:p w14:paraId="6ED64E71" w14:textId="2E8C2EC7" w:rsidR="00A559C2" w:rsidRDefault="00A559C2" w:rsidP="00A559C2">
            <w:pPr>
              <w:spacing w:after="0" w:line="276" w:lineRule="auto"/>
              <w:contextualSpacing/>
              <w:jc w:val="both"/>
              <w:rPr>
                <w:rFonts w:ascii="Arial" w:eastAsia="Calibri" w:hAnsi="Arial" w:cs="Arial"/>
                <w:sz w:val="20"/>
                <w:szCs w:val="20"/>
              </w:rPr>
            </w:pPr>
          </w:p>
          <w:p w14:paraId="52EB4728" w14:textId="3F7DBB3A" w:rsidR="00A559C2" w:rsidRDefault="00A559C2" w:rsidP="00A559C2">
            <w:pPr>
              <w:spacing w:after="0" w:line="276" w:lineRule="auto"/>
              <w:contextualSpacing/>
              <w:jc w:val="both"/>
              <w:rPr>
                <w:rFonts w:ascii="Arial" w:eastAsia="Calibri" w:hAnsi="Arial" w:cs="Arial"/>
                <w:sz w:val="20"/>
                <w:szCs w:val="20"/>
              </w:rPr>
            </w:pPr>
            <w:r w:rsidRPr="00A559C2">
              <w:rPr>
                <w:rFonts w:ascii="Arial" w:eastAsia="Calibri" w:hAnsi="Arial" w:cs="Arial"/>
                <w:sz w:val="20"/>
                <w:szCs w:val="20"/>
              </w:rPr>
              <w:t>Višina normiranih stroškov je bila z novelo ZDoh-2V z letom 2020 dvignjena na 15</w:t>
            </w:r>
            <w:r w:rsidR="00C12F38">
              <w:rPr>
                <w:rFonts w:ascii="Arial" w:eastAsia="Calibri" w:hAnsi="Arial" w:cs="Arial"/>
                <w:sz w:val="20"/>
                <w:szCs w:val="20"/>
              </w:rPr>
              <w:t> </w:t>
            </w:r>
            <w:r w:rsidRPr="00A559C2">
              <w:rPr>
                <w:rFonts w:ascii="Arial" w:eastAsia="Calibri" w:hAnsi="Arial" w:cs="Arial"/>
                <w:sz w:val="20"/>
                <w:szCs w:val="20"/>
              </w:rPr>
              <w:t>%, sočasno z dvigom stopnje dohodnine od tovrstnih dohodkov na 27,5</w:t>
            </w:r>
            <w:r w:rsidR="00C12F38">
              <w:rPr>
                <w:rFonts w:ascii="Arial" w:eastAsia="Calibri" w:hAnsi="Arial" w:cs="Arial"/>
                <w:sz w:val="20"/>
                <w:szCs w:val="20"/>
              </w:rPr>
              <w:t> </w:t>
            </w:r>
            <w:r w:rsidRPr="00A559C2">
              <w:rPr>
                <w:rFonts w:ascii="Arial" w:eastAsia="Calibri" w:hAnsi="Arial" w:cs="Arial"/>
                <w:sz w:val="20"/>
                <w:szCs w:val="20"/>
              </w:rPr>
              <w:t xml:space="preserve">%, </w:t>
            </w:r>
            <w:r w:rsidR="00C12F38">
              <w:rPr>
                <w:rFonts w:ascii="Arial" w:eastAsia="Calibri" w:hAnsi="Arial" w:cs="Arial"/>
                <w:sz w:val="20"/>
                <w:szCs w:val="20"/>
              </w:rPr>
              <w:t>in</w:t>
            </w:r>
            <w:r w:rsidRPr="00A559C2">
              <w:rPr>
                <w:rFonts w:ascii="Arial" w:eastAsia="Calibri" w:hAnsi="Arial" w:cs="Arial"/>
                <w:sz w:val="20"/>
                <w:szCs w:val="20"/>
              </w:rPr>
              <w:t xml:space="preserve"> nato ponovno znižana z novelo ZDoh-2Z z letom 2022 na 10</w:t>
            </w:r>
            <w:r w:rsidR="00C12F38">
              <w:rPr>
                <w:rFonts w:ascii="Arial" w:eastAsia="Calibri" w:hAnsi="Arial" w:cs="Arial"/>
                <w:sz w:val="20"/>
                <w:szCs w:val="20"/>
              </w:rPr>
              <w:t> </w:t>
            </w:r>
            <w:r w:rsidRPr="00A559C2">
              <w:rPr>
                <w:rFonts w:ascii="Arial" w:eastAsia="Calibri" w:hAnsi="Arial" w:cs="Arial"/>
                <w:sz w:val="20"/>
                <w:szCs w:val="20"/>
              </w:rPr>
              <w:t>%, sočasno z znižanjem stopnje dohodnine od tovrstnih dohodkov na 15</w:t>
            </w:r>
            <w:r w:rsidR="00C12F38">
              <w:rPr>
                <w:rFonts w:ascii="Arial" w:eastAsia="Calibri" w:hAnsi="Arial" w:cs="Arial"/>
                <w:sz w:val="20"/>
                <w:szCs w:val="20"/>
              </w:rPr>
              <w:t> </w:t>
            </w:r>
            <w:r w:rsidRPr="00A559C2">
              <w:rPr>
                <w:rFonts w:ascii="Arial" w:eastAsia="Calibri" w:hAnsi="Arial" w:cs="Arial"/>
                <w:sz w:val="20"/>
                <w:szCs w:val="20"/>
              </w:rPr>
              <w:t>%.</w:t>
            </w:r>
          </w:p>
          <w:p w14:paraId="293EDFED" w14:textId="77777777" w:rsidR="00FE19F6" w:rsidRDefault="00FE19F6" w:rsidP="00A559C2">
            <w:pPr>
              <w:spacing w:after="0" w:line="276" w:lineRule="auto"/>
              <w:contextualSpacing/>
              <w:jc w:val="both"/>
              <w:rPr>
                <w:rFonts w:ascii="Arial" w:eastAsia="Calibri" w:hAnsi="Arial" w:cs="Arial"/>
                <w:sz w:val="20"/>
                <w:szCs w:val="20"/>
              </w:rPr>
            </w:pPr>
          </w:p>
          <w:p w14:paraId="72D0C2EB" w14:textId="4BE2169F" w:rsidR="00A559C2" w:rsidRDefault="00362D6E" w:rsidP="00A559C2">
            <w:pPr>
              <w:spacing w:after="0" w:line="276" w:lineRule="auto"/>
              <w:contextualSpacing/>
              <w:jc w:val="both"/>
              <w:rPr>
                <w:rFonts w:ascii="Arial" w:eastAsia="Calibri" w:hAnsi="Arial" w:cs="Arial"/>
                <w:sz w:val="20"/>
                <w:szCs w:val="20"/>
              </w:rPr>
            </w:pPr>
            <w:r w:rsidRPr="00362D6E">
              <w:rPr>
                <w:rFonts w:ascii="Arial" w:eastAsia="Calibri" w:hAnsi="Arial" w:cs="Arial"/>
                <w:sz w:val="20"/>
                <w:szCs w:val="20"/>
              </w:rPr>
              <w:t xml:space="preserve">Dohodek </w:t>
            </w:r>
            <w:r>
              <w:rPr>
                <w:rFonts w:ascii="Arial" w:eastAsia="Calibri" w:hAnsi="Arial" w:cs="Arial"/>
                <w:sz w:val="20"/>
                <w:szCs w:val="20"/>
              </w:rPr>
              <w:t>iz</w:t>
            </w:r>
            <w:r w:rsidRPr="00362D6E">
              <w:rPr>
                <w:rFonts w:ascii="Arial" w:eastAsia="Calibri" w:hAnsi="Arial" w:cs="Arial"/>
                <w:sz w:val="20"/>
                <w:szCs w:val="20"/>
              </w:rPr>
              <w:t xml:space="preserve"> oddajanja premoženja v najem je v letu 2020 znašal nekaj več kot 248 mio</w:t>
            </w:r>
            <w:r w:rsidR="00C12F38">
              <w:rPr>
                <w:rFonts w:ascii="Arial" w:eastAsia="Calibri" w:hAnsi="Arial" w:cs="Arial"/>
                <w:sz w:val="20"/>
                <w:szCs w:val="20"/>
              </w:rPr>
              <w:t> </w:t>
            </w:r>
            <w:r>
              <w:rPr>
                <w:rFonts w:ascii="Arial" w:eastAsia="Calibri" w:hAnsi="Arial" w:cs="Arial"/>
                <w:sz w:val="20"/>
                <w:szCs w:val="20"/>
              </w:rPr>
              <w:t>EUR</w:t>
            </w:r>
            <w:r w:rsidRPr="00362D6E">
              <w:rPr>
                <w:rFonts w:ascii="Arial" w:eastAsia="Calibri" w:hAnsi="Arial" w:cs="Arial"/>
                <w:sz w:val="20"/>
                <w:szCs w:val="20"/>
              </w:rPr>
              <w:t>, od katerega je bilo odmerjenega nekaj več kot 57 mio</w:t>
            </w:r>
            <w:r w:rsidR="00C12F38">
              <w:rPr>
                <w:rFonts w:ascii="Arial" w:eastAsia="Calibri" w:hAnsi="Arial" w:cs="Arial"/>
                <w:sz w:val="20"/>
                <w:szCs w:val="20"/>
              </w:rPr>
              <w:t> </w:t>
            </w:r>
            <w:r>
              <w:rPr>
                <w:rFonts w:ascii="Arial" w:eastAsia="Calibri" w:hAnsi="Arial" w:cs="Arial"/>
                <w:sz w:val="20"/>
                <w:szCs w:val="20"/>
              </w:rPr>
              <w:t>EUR</w:t>
            </w:r>
            <w:r w:rsidRPr="00362D6E">
              <w:rPr>
                <w:rFonts w:ascii="Arial" w:eastAsia="Calibri" w:hAnsi="Arial" w:cs="Arial"/>
                <w:sz w:val="20"/>
                <w:szCs w:val="20"/>
              </w:rPr>
              <w:t xml:space="preserve"> davka.</w:t>
            </w:r>
            <w:r>
              <w:t xml:space="preserve"> </w:t>
            </w:r>
            <w:r w:rsidRPr="00362D6E">
              <w:rPr>
                <w:rFonts w:ascii="Arial" w:eastAsia="Calibri" w:hAnsi="Arial" w:cs="Arial"/>
                <w:sz w:val="20"/>
                <w:szCs w:val="20"/>
              </w:rPr>
              <w:t>Delež dohodka je predstavljal nekaj manj kot 28</w:t>
            </w:r>
            <w:r w:rsidR="00C12F38">
              <w:rPr>
                <w:rFonts w:ascii="Arial" w:eastAsia="Calibri" w:hAnsi="Arial" w:cs="Arial"/>
                <w:sz w:val="20"/>
                <w:szCs w:val="20"/>
              </w:rPr>
              <w:t> </w:t>
            </w:r>
            <w:r w:rsidRPr="00362D6E">
              <w:rPr>
                <w:rFonts w:ascii="Arial" w:eastAsia="Calibri" w:hAnsi="Arial" w:cs="Arial"/>
                <w:sz w:val="20"/>
                <w:szCs w:val="20"/>
              </w:rPr>
              <w:t>% skupnih dohodkov, ki se ne vštevajo v letno davčno osnovo za odmero dohodnine</w:t>
            </w:r>
            <w:r>
              <w:rPr>
                <w:rFonts w:ascii="Arial" w:eastAsia="Calibri" w:hAnsi="Arial" w:cs="Arial"/>
                <w:sz w:val="20"/>
                <w:szCs w:val="20"/>
              </w:rPr>
              <w:t xml:space="preserve"> </w:t>
            </w:r>
            <w:r w:rsidRPr="00362D6E">
              <w:rPr>
                <w:rFonts w:ascii="Arial" w:eastAsia="Calibri" w:hAnsi="Arial" w:cs="Arial"/>
                <w:sz w:val="20"/>
                <w:szCs w:val="20"/>
              </w:rPr>
              <w:t xml:space="preserve">(dohodkov iz kapitala in oddajanja premoženja v najem) v letu 2020. Število zavezancev se je iz leta v leto povečevalo, saj je bilo v letu 2016 skupaj 94.096 zavezancev, medtem ko jih je bilo v letu </w:t>
            </w:r>
            <w:r>
              <w:rPr>
                <w:rFonts w:ascii="Arial" w:eastAsia="Calibri" w:hAnsi="Arial" w:cs="Arial"/>
                <w:sz w:val="20"/>
                <w:szCs w:val="20"/>
              </w:rPr>
              <w:t xml:space="preserve">2020 skupaj </w:t>
            </w:r>
            <w:r w:rsidRPr="00362D6E">
              <w:rPr>
                <w:rFonts w:ascii="Arial" w:eastAsia="Calibri" w:hAnsi="Arial" w:cs="Arial"/>
                <w:sz w:val="20"/>
                <w:szCs w:val="20"/>
              </w:rPr>
              <w:t>97.562 zavezancev (3,6</w:t>
            </w:r>
            <w:r w:rsidR="00C12F38">
              <w:rPr>
                <w:rFonts w:ascii="Arial" w:eastAsia="Calibri" w:hAnsi="Arial" w:cs="Arial"/>
                <w:sz w:val="20"/>
                <w:szCs w:val="20"/>
              </w:rPr>
              <w:t> </w:t>
            </w:r>
            <w:r w:rsidRPr="00362D6E">
              <w:rPr>
                <w:rFonts w:ascii="Arial" w:eastAsia="Calibri" w:hAnsi="Arial" w:cs="Arial"/>
                <w:sz w:val="20"/>
                <w:szCs w:val="20"/>
              </w:rPr>
              <w:t>% povečanje glede na leto 2016).</w:t>
            </w:r>
          </w:p>
          <w:p w14:paraId="1985ACB9" w14:textId="77777777" w:rsidR="00362D6E" w:rsidRDefault="00362D6E" w:rsidP="00A559C2">
            <w:pPr>
              <w:spacing w:after="0" w:line="276" w:lineRule="auto"/>
              <w:contextualSpacing/>
              <w:jc w:val="both"/>
              <w:rPr>
                <w:rFonts w:ascii="Arial" w:eastAsia="Calibri" w:hAnsi="Arial" w:cs="Arial"/>
                <w:sz w:val="20"/>
                <w:szCs w:val="20"/>
              </w:rPr>
            </w:pPr>
          </w:p>
          <w:p w14:paraId="26B3E8FF" w14:textId="15D35907" w:rsidR="00A559C2" w:rsidRDefault="00A559C2" w:rsidP="00A559C2">
            <w:pPr>
              <w:spacing w:after="0" w:line="276" w:lineRule="auto"/>
              <w:contextualSpacing/>
              <w:jc w:val="both"/>
              <w:rPr>
                <w:rFonts w:ascii="Arial" w:eastAsia="Calibri" w:hAnsi="Arial" w:cs="Arial"/>
                <w:sz w:val="20"/>
                <w:szCs w:val="20"/>
              </w:rPr>
            </w:pPr>
            <w:r w:rsidRPr="00A559C2">
              <w:rPr>
                <w:rFonts w:ascii="Arial" w:eastAsia="Calibri" w:hAnsi="Arial" w:cs="Arial"/>
                <w:sz w:val="20"/>
                <w:szCs w:val="20"/>
              </w:rPr>
              <w:t xml:space="preserve">Predlaga se, da se </w:t>
            </w:r>
            <w:r w:rsidR="00B0354B">
              <w:rPr>
                <w:rFonts w:ascii="Arial" w:eastAsia="Calibri" w:hAnsi="Arial" w:cs="Arial"/>
                <w:sz w:val="20"/>
                <w:szCs w:val="20"/>
              </w:rPr>
              <w:t>davčna</w:t>
            </w:r>
            <w:r w:rsidRPr="00A559C2">
              <w:rPr>
                <w:rFonts w:ascii="Arial" w:eastAsia="Calibri" w:hAnsi="Arial" w:cs="Arial"/>
                <w:sz w:val="20"/>
                <w:szCs w:val="20"/>
              </w:rPr>
              <w:t xml:space="preserve"> obravnava </w:t>
            </w:r>
            <w:r>
              <w:rPr>
                <w:rFonts w:ascii="Arial" w:eastAsia="Calibri" w:hAnsi="Arial" w:cs="Arial"/>
                <w:sz w:val="20"/>
                <w:szCs w:val="20"/>
              </w:rPr>
              <w:t xml:space="preserve">dohodkov </w:t>
            </w:r>
            <w:r w:rsidR="00B0354B">
              <w:rPr>
                <w:rFonts w:ascii="Arial" w:eastAsia="Calibri" w:hAnsi="Arial" w:cs="Arial"/>
                <w:sz w:val="20"/>
                <w:szCs w:val="20"/>
              </w:rPr>
              <w:t>po poglavju</w:t>
            </w:r>
            <w:r w:rsidR="00C12F38">
              <w:rPr>
                <w:rFonts w:ascii="Arial" w:eastAsia="Calibri" w:hAnsi="Arial" w:cs="Arial"/>
                <w:sz w:val="20"/>
                <w:szCs w:val="20"/>
              </w:rPr>
              <w:t> </w:t>
            </w:r>
            <w:r w:rsidR="00B0354B">
              <w:rPr>
                <w:rFonts w:ascii="Arial" w:eastAsia="Calibri" w:hAnsi="Arial" w:cs="Arial"/>
                <w:sz w:val="20"/>
                <w:szCs w:val="20"/>
              </w:rPr>
              <w:t>III.5.1. ZDoh-2</w:t>
            </w:r>
            <w:r w:rsidRPr="00A559C2">
              <w:rPr>
                <w:rFonts w:ascii="Arial" w:eastAsia="Calibri" w:hAnsi="Arial" w:cs="Arial"/>
                <w:sz w:val="20"/>
                <w:szCs w:val="20"/>
              </w:rPr>
              <w:t xml:space="preserve"> zaradi zavez iz koalicijske pogodbe</w:t>
            </w:r>
            <w:r w:rsidR="00B0354B">
              <w:rPr>
                <w:rFonts w:ascii="Arial" w:eastAsia="Calibri" w:hAnsi="Arial" w:cs="Arial"/>
                <w:sz w:val="20"/>
                <w:szCs w:val="20"/>
              </w:rPr>
              <w:t xml:space="preserve"> in </w:t>
            </w:r>
            <w:r w:rsidR="00B0354B" w:rsidRPr="00B0354B">
              <w:rPr>
                <w:rFonts w:ascii="Arial" w:eastAsia="Calibri" w:hAnsi="Arial" w:cs="Arial"/>
                <w:sz w:val="20"/>
                <w:szCs w:val="20"/>
              </w:rPr>
              <w:t>zaradi zagotavljanja ustavnega načela enakosti</w:t>
            </w:r>
            <w:r w:rsidR="00B0354B">
              <w:rPr>
                <w:rFonts w:ascii="Arial" w:eastAsia="Calibri" w:hAnsi="Arial" w:cs="Arial"/>
                <w:sz w:val="20"/>
                <w:szCs w:val="20"/>
              </w:rPr>
              <w:t xml:space="preserve"> </w:t>
            </w:r>
            <w:r w:rsidR="00B0354B" w:rsidRPr="00B0354B">
              <w:rPr>
                <w:rFonts w:ascii="Arial" w:eastAsia="Calibri" w:hAnsi="Arial" w:cs="Arial"/>
                <w:sz w:val="20"/>
                <w:szCs w:val="20"/>
              </w:rPr>
              <w:t>ponovno uredi na primerljiv način</w:t>
            </w:r>
            <w:r w:rsidR="00B0354B">
              <w:rPr>
                <w:rFonts w:ascii="Arial" w:eastAsia="Calibri" w:hAnsi="Arial" w:cs="Arial"/>
                <w:sz w:val="20"/>
                <w:szCs w:val="20"/>
              </w:rPr>
              <w:t>,</w:t>
            </w:r>
            <w:r w:rsidR="00B0354B" w:rsidRPr="00B0354B">
              <w:rPr>
                <w:rFonts w:ascii="Arial" w:eastAsia="Calibri" w:hAnsi="Arial" w:cs="Arial"/>
                <w:sz w:val="20"/>
                <w:szCs w:val="20"/>
              </w:rPr>
              <w:t xml:space="preserve"> kot je bilo urejeno v davčnih letih </w:t>
            </w:r>
            <w:r w:rsidR="00B0354B">
              <w:rPr>
                <w:rFonts w:ascii="Arial" w:eastAsia="Calibri" w:hAnsi="Arial" w:cs="Arial"/>
                <w:sz w:val="20"/>
                <w:szCs w:val="20"/>
              </w:rPr>
              <w:t>2020 in</w:t>
            </w:r>
            <w:r w:rsidR="00B0354B" w:rsidRPr="00B0354B">
              <w:rPr>
                <w:rFonts w:ascii="Arial" w:eastAsia="Calibri" w:hAnsi="Arial" w:cs="Arial"/>
                <w:sz w:val="20"/>
                <w:szCs w:val="20"/>
              </w:rPr>
              <w:t xml:space="preserve"> 2021</w:t>
            </w:r>
            <w:r w:rsidR="00B0354B">
              <w:rPr>
                <w:rFonts w:ascii="Arial" w:eastAsia="Calibri" w:hAnsi="Arial" w:cs="Arial"/>
                <w:sz w:val="20"/>
                <w:szCs w:val="20"/>
              </w:rPr>
              <w:t>.</w:t>
            </w:r>
          </w:p>
          <w:p w14:paraId="3D0E8DBF" w14:textId="77777777" w:rsidR="00A559C2" w:rsidRDefault="00A559C2" w:rsidP="00515754">
            <w:pPr>
              <w:spacing w:after="0" w:line="276" w:lineRule="auto"/>
              <w:contextualSpacing/>
              <w:jc w:val="both"/>
              <w:rPr>
                <w:rFonts w:ascii="Arial" w:eastAsia="Calibri" w:hAnsi="Arial" w:cs="Arial"/>
                <w:sz w:val="20"/>
                <w:szCs w:val="20"/>
              </w:rPr>
            </w:pPr>
          </w:p>
          <w:p w14:paraId="7BBFA627" w14:textId="71136C8F" w:rsidR="008D5512" w:rsidRDefault="00A559C2" w:rsidP="00515754">
            <w:pPr>
              <w:spacing w:after="0" w:line="276" w:lineRule="auto"/>
              <w:contextualSpacing/>
              <w:jc w:val="both"/>
              <w:rPr>
                <w:rFonts w:ascii="Arial" w:eastAsia="Calibri" w:hAnsi="Arial" w:cs="Arial"/>
                <w:sz w:val="20"/>
                <w:szCs w:val="20"/>
              </w:rPr>
            </w:pPr>
            <w:r>
              <w:rPr>
                <w:rFonts w:ascii="Arial" w:eastAsia="Calibri" w:hAnsi="Arial" w:cs="Arial"/>
                <w:sz w:val="20"/>
                <w:szCs w:val="20"/>
              </w:rPr>
              <w:t>1.</w:t>
            </w:r>
            <w:r w:rsidR="008B373D">
              <w:rPr>
                <w:rFonts w:ascii="Arial" w:eastAsia="Calibri" w:hAnsi="Arial" w:cs="Arial"/>
                <w:sz w:val="20"/>
                <w:szCs w:val="20"/>
              </w:rPr>
              <w:t>5</w:t>
            </w:r>
            <w:r>
              <w:rPr>
                <w:rFonts w:ascii="Arial" w:eastAsia="Calibri" w:hAnsi="Arial" w:cs="Arial"/>
                <w:sz w:val="20"/>
                <w:szCs w:val="20"/>
              </w:rPr>
              <w:t xml:space="preserve"> </w:t>
            </w:r>
            <w:r w:rsidR="00E026DE">
              <w:rPr>
                <w:rFonts w:ascii="Arial" w:eastAsia="Calibri" w:hAnsi="Arial" w:cs="Arial"/>
                <w:sz w:val="20"/>
                <w:szCs w:val="20"/>
              </w:rPr>
              <w:t>Dohodki iz kapitala</w:t>
            </w:r>
          </w:p>
          <w:p w14:paraId="190128AA" w14:textId="2DAA8A43" w:rsidR="00574071" w:rsidRPr="00A82131" w:rsidDel="00AB74FD" w:rsidRDefault="001C472F" w:rsidP="00AC40A1">
            <w:pPr>
              <w:spacing w:line="276" w:lineRule="auto"/>
              <w:contextualSpacing/>
              <w:jc w:val="both"/>
              <w:rPr>
                <w:rFonts w:ascii="Arial" w:eastAsia="Calibri" w:hAnsi="Arial" w:cs="Arial"/>
                <w:i/>
                <w:sz w:val="20"/>
                <w:szCs w:val="20"/>
              </w:rPr>
            </w:pPr>
            <w:r>
              <w:rPr>
                <w:rFonts w:ascii="Arial" w:eastAsia="Calibri" w:hAnsi="Arial" w:cs="Arial"/>
                <w:i/>
                <w:sz w:val="20"/>
                <w:szCs w:val="20"/>
              </w:rPr>
              <w:t xml:space="preserve">a) </w:t>
            </w:r>
            <w:r w:rsidR="00574071" w:rsidRPr="00A82131" w:rsidDel="00AB74FD">
              <w:rPr>
                <w:rFonts w:ascii="Arial" w:eastAsia="Calibri" w:hAnsi="Arial" w:cs="Arial"/>
                <w:i/>
                <w:sz w:val="20"/>
                <w:szCs w:val="20"/>
              </w:rPr>
              <w:t>Pridobivanje lastnih delnic ali deležev</w:t>
            </w:r>
          </w:p>
          <w:p w14:paraId="55C71793" w14:textId="680B2401" w:rsidR="00E63D2A" w:rsidRDefault="00E63D2A" w:rsidP="00574071">
            <w:pPr>
              <w:spacing w:after="0" w:line="276" w:lineRule="auto"/>
              <w:contextualSpacing/>
              <w:jc w:val="both"/>
              <w:rPr>
                <w:rFonts w:ascii="Arial" w:eastAsia="Calibri" w:hAnsi="Arial" w:cs="Arial"/>
                <w:sz w:val="20"/>
                <w:szCs w:val="20"/>
              </w:rPr>
            </w:pPr>
            <w:r>
              <w:rPr>
                <w:rFonts w:ascii="Arial" w:eastAsia="Calibri" w:hAnsi="Arial" w:cs="Arial"/>
                <w:sz w:val="20"/>
                <w:szCs w:val="20"/>
              </w:rPr>
              <w:t>Z davčnim letom 2022 se je prenehala uporabljati določba 6. točke četrtega odstavka 90.</w:t>
            </w:r>
            <w:r w:rsidR="00C12F38">
              <w:rPr>
                <w:rFonts w:ascii="Arial" w:eastAsia="Calibri" w:hAnsi="Arial" w:cs="Arial"/>
                <w:sz w:val="20"/>
                <w:szCs w:val="20"/>
              </w:rPr>
              <w:t> </w:t>
            </w:r>
            <w:r>
              <w:rPr>
                <w:rFonts w:ascii="Arial" w:eastAsia="Calibri" w:hAnsi="Arial" w:cs="Arial"/>
                <w:sz w:val="20"/>
                <w:szCs w:val="20"/>
              </w:rPr>
              <w:t>člena ZDoh-2, po kateri se je kot dividenda obdavčevala</w:t>
            </w:r>
            <w:r>
              <w:t xml:space="preserve"> </w:t>
            </w:r>
            <w:r w:rsidRPr="00E63D2A">
              <w:rPr>
                <w:rFonts w:ascii="Arial" w:eastAsia="Calibri" w:hAnsi="Arial" w:cs="Arial"/>
                <w:sz w:val="20"/>
                <w:szCs w:val="20"/>
              </w:rPr>
              <w:t xml:space="preserve">izplačana vrednost delnic ali deležev v primeru odsvojitve delnic </w:t>
            </w:r>
            <w:r w:rsidRPr="00E63D2A">
              <w:rPr>
                <w:rFonts w:ascii="Arial" w:eastAsia="Calibri" w:hAnsi="Arial" w:cs="Arial"/>
                <w:sz w:val="20"/>
                <w:szCs w:val="20"/>
              </w:rPr>
              <w:lastRenderedPageBreak/>
              <w:t>ali deležev v okviru pridobivanja lastnih delnic oziroma deležev družbe, razen v primeru, ko družba pridobiva lastne delnice na organiziranem trgu.</w:t>
            </w:r>
          </w:p>
          <w:p w14:paraId="49439531" w14:textId="77777777" w:rsidR="00E63D2A" w:rsidRDefault="00E63D2A" w:rsidP="00574071">
            <w:pPr>
              <w:spacing w:after="0" w:line="276" w:lineRule="auto"/>
              <w:contextualSpacing/>
              <w:jc w:val="both"/>
              <w:rPr>
                <w:rFonts w:ascii="Arial" w:eastAsia="Calibri" w:hAnsi="Arial" w:cs="Arial"/>
                <w:sz w:val="20"/>
                <w:szCs w:val="20"/>
              </w:rPr>
            </w:pPr>
          </w:p>
          <w:p w14:paraId="739AB080" w14:textId="59884AE5" w:rsidR="00574071" w:rsidRPr="00574071" w:rsidRDefault="00F925DA" w:rsidP="00574071">
            <w:pPr>
              <w:spacing w:after="0" w:line="276" w:lineRule="auto"/>
              <w:contextualSpacing/>
              <w:jc w:val="both"/>
              <w:rPr>
                <w:rFonts w:ascii="Arial" w:eastAsia="Calibri" w:hAnsi="Arial" w:cs="Arial"/>
                <w:sz w:val="20"/>
                <w:szCs w:val="20"/>
              </w:rPr>
            </w:pPr>
            <w:r>
              <w:rPr>
                <w:rFonts w:ascii="Arial" w:eastAsia="Calibri" w:hAnsi="Arial" w:cs="Arial"/>
                <w:sz w:val="20"/>
                <w:szCs w:val="20"/>
              </w:rPr>
              <w:t>Obdavčevanje</w:t>
            </w:r>
            <w:r w:rsidR="00E63D2A">
              <w:rPr>
                <w:rFonts w:ascii="Arial" w:eastAsia="Calibri" w:hAnsi="Arial" w:cs="Arial"/>
                <w:sz w:val="20"/>
                <w:szCs w:val="20"/>
              </w:rPr>
              <w:t xml:space="preserve"> dohodka delničarjev oziroma družbenikov, doseženega v okviru</w:t>
            </w:r>
            <w:r w:rsidR="00574071" w:rsidRPr="00574071">
              <w:rPr>
                <w:rFonts w:ascii="Arial" w:eastAsia="Calibri" w:hAnsi="Arial" w:cs="Arial"/>
                <w:sz w:val="20"/>
                <w:szCs w:val="20"/>
              </w:rPr>
              <w:t xml:space="preserve"> pridobivanja lastnih delnic ali deležev</w:t>
            </w:r>
            <w:r w:rsidR="00E63D2A">
              <w:rPr>
                <w:rFonts w:ascii="Arial" w:eastAsia="Calibri" w:hAnsi="Arial" w:cs="Arial"/>
                <w:sz w:val="20"/>
                <w:szCs w:val="20"/>
              </w:rPr>
              <w:t xml:space="preserve"> družbe,</w:t>
            </w:r>
            <w:r w:rsidR="00574071" w:rsidRPr="00574071">
              <w:rPr>
                <w:rFonts w:ascii="Arial" w:eastAsia="Calibri" w:hAnsi="Arial" w:cs="Arial"/>
                <w:sz w:val="20"/>
                <w:szCs w:val="20"/>
              </w:rPr>
              <w:t xml:space="preserve"> se je v davčnih zakonih prvič posebej uredilo z ZDoh-1 in </w:t>
            </w:r>
            <w:r w:rsidR="00EF1FDF">
              <w:rPr>
                <w:rFonts w:ascii="Arial" w:eastAsia="Calibri" w:hAnsi="Arial" w:cs="Arial"/>
                <w:sz w:val="20"/>
                <w:szCs w:val="20"/>
              </w:rPr>
              <w:t xml:space="preserve">Zakonom o davku od dohodkov pravnih oseb – ZDDPO-1 (v nadaljnjem besedilu: </w:t>
            </w:r>
            <w:r w:rsidR="00574071" w:rsidRPr="00574071">
              <w:rPr>
                <w:rFonts w:ascii="Arial" w:eastAsia="Calibri" w:hAnsi="Arial" w:cs="Arial"/>
                <w:sz w:val="20"/>
                <w:szCs w:val="20"/>
              </w:rPr>
              <w:t>ZDDPO-1</w:t>
            </w:r>
            <w:r w:rsidR="00EF1FDF">
              <w:rPr>
                <w:rFonts w:ascii="Arial" w:eastAsia="Calibri" w:hAnsi="Arial" w:cs="Arial"/>
                <w:sz w:val="20"/>
                <w:szCs w:val="20"/>
              </w:rPr>
              <w:t>)</w:t>
            </w:r>
            <w:r w:rsidR="00574071" w:rsidRPr="00574071">
              <w:rPr>
                <w:rFonts w:ascii="Arial" w:eastAsia="Calibri" w:hAnsi="Arial" w:cs="Arial"/>
                <w:sz w:val="20"/>
                <w:szCs w:val="20"/>
              </w:rPr>
              <w:t>, ki sta se začela na splošno uporabljati</w:t>
            </w:r>
            <w:r w:rsidR="00D454B9">
              <w:rPr>
                <w:rFonts w:ascii="Arial" w:eastAsia="Calibri" w:hAnsi="Arial" w:cs="Arial"/>
                <w:sz w:val="20"/>
                <w:szCs w:val="20"/>
              </w:rPr>
              <w:t xml:space="preserve"> </w:t>
            </w:r>
            <w:r w:rsidR="009B785A">
              <w:rPr>
                <w:rFonts w:ascii="Arial" w:eastAsia="Calibri" w:hAnsi="Arial" w:cs="Arial"/>
                <w:sz w:val="20"/>
                <w:szCs w:val="20"/>
              </w:rPr>
              <w:t>s</w:t>
            </w:r>
            <w:r w:rsidR="00574071" w:rsidRPr="00574071">
              <w:rPr>
                <w:rFonts w:ascii="Arial" w:eastAsia="Calibri" w:hAnsi="Arial" w:cs="Arial"/>
                <w:sz w:val="20"/>
                <w:szCs w:val="20"/>
              </w:rPr>
              <w:t xml:space="preserve"> 1.</w:t>
            </w:r>
            <w:r w:rsidR="00C12F38">
              <w:rPr>
                <w:rFonts w:ascii="Arial" w:eastAsia="Calibri" w:hAnsi="Arial" w:cs="Arial"/>
                <w:sz w:val="20"/>
                <w:szCs w:val="20"/>
              </w:rPr>
              <w:t> </w:t>
            </w:r>
            <w:r w:rsidR="00574071" w:rsidRPr="00574071">
              <w:rPr>
                <w:rFonts w:ascii="Arial" w:eastAsia="Calibri" w:hAnsi="Arial" w:cs="Arial"/>
                <w:sz w:val="20"/>
                <w:szCs w:val="20"/>
              </w:rPr>
              <w:t>1.</w:t>
            </w:r>
            <w:r w:rsidR="00C12F38">
              <w:rPr>
                <w:rFonts w:ascii="Arial" w:eastAsia="Calibri" w:hAnsi="Arial" w:cs="Arial"/>
                <w:sz w:val="20"/>
                <w:szCs w:val="20"/>
              </w:rPr>
              <w:t> </w:t>
            </w:r>
            <w:r w:rsidR="00574071" w:rsidRPr="00574071">
              <w:rPr>
                <w:rFonts w:ascii="Arial" w:eastAsia="Calibri" w:hAnsi="Arial" w:cs="Arial"/>
                <w:sz w:val="20"/>
                <w:szCs w:val="20"/>
              </w:rPr>
              <w:t>2005.</w:t>
            </w:r>
            <w:r w:rsidR="00E63D2A">
              <w:rPr>
                <w:rFonts w:ascii="Arial" w:eastAsia="Calibri" w:hAnsi="Arial" w:cs="Arial"/>
                <w:sz w:val="20"/>
                <w:szCs w:val="20"/>
              </w:rPr>
              <w:t xml:space="preserve"> Po</w:t>
            </w:r>
            <w:r w:rsidR="00574071" w:rsidRPr="00574071">
              <w:rPr>
                <w:rFonts w:ascii="Arial" w:eastAsia="Calibri" w:hAnsi="Arial" w:cs="Arial"/>
                <w:sz w:val="20"/>
                <w:szCs w:val="20"/>
              </w:rPr>
              <w:t xml:space="preserve"> 6. točki petega odstavka 79.</w:t>
            </w:r>
            <w:r w:rsidR="00C12F38">
              <w:rPr>
                <w:rFonts w:ascii="Arial" w:eastAsia="Calibri" w:hAnsi="Arial" w:cs="Arial"/>
                <w:sz w:val="20"/>
                <w:szCs w:val="20"/>
              </w:rPr>
              <w:t> </w:t>
            </w:r>
            <w:r w:rsidR="00574071" w:rsidRPr="00574071">
              <w:rPr>
                <w:rFonts w:ascii="Arial" w:eastAsia="Calibri" w:hAnsi="Arial" w:cs="Arial"/>
                <w:sz w:val="20"/>
                <w:szCs w:val="20"/>
              </w:rPr>
              <w:t xml:space="preserve">člena ZDoh-1 </w:t>
            </w:r>
            <w:r w:rsidR="00E63D2A">
              <w:rPr>
                <w:rFonts w:ascii="Arial" w:eastAsia="Calibri" w:hAnsi="Arial" w:cs="Arial"/>
                <w:sz w:val="20"/>
                <w:szCs w:val="20"/>
              </w:rPr>
              <w:t>s</w:t>
            </w:r>
            <w:r w:rsidR="00D454B9">
              <w:rPr>
                <w:rFonts w:ascii="Arial" w:eastAsia="Calibri" w:hAnsi="Arial" w:cs="Arial"/>
                <w:sz w:val="20"/>
                <w:szCs w:val="20"/>
              </w:rPr>
              <w:t>e</w:t>
            </w:r>
            <w:r w:rsidR="00574071" w:rsidRPr="00574071">
              <w:rPr>
                <w:rFonts w:ascii="Arial" w:eastAsia="Calibri" w:hAnsi="Arial" w:cs="Arial"/>
                <w:sz w:val="20"/>
                <w:szCs w:val="20"/>
              </w:rPr>
              <w:t xml:space="preserve"> </w:t>
            </w:r>
            <w:r w:rsidR="00E63D2A">
              <w:rPr>
                <w:rFonts w:ascii="Arial" w:eastAsia="Calibri" w:hAnsi="Arial" w:cs="Arial"/>
                <w:sz w:val="20"/>
                <w:szCs w:val="20"/>
              </w:rPr>
              <w:t>j</w:t>
            </w:r>
            <w:r w:rsidR="00574071" w:rsidRPr="00574071">
              <w:rPr>
                <w:rFonts w:ascii="Arial" w:eastAsia="Calibri" w:hAnsi="Arial" w:cs="Arial"/>
                <w:sz w:val="20"/>
                <w:szCs w:val="20"/>
              </w:rPr>
              <w:t>e za dividendam podob</w:t>
            </w:r>
            <w:r w:rsidR="00E63D2A">
              <w:rPr>
                <w:rFonts w:ascii="Arial" w:eastAsia="Calibri" w:hAnsi="Arial" w:cs="Arial"/>
                <w:sz w:val="20"/>
                <w:szCs w:val="20"/>
              </w:rPr>
              <w:t>e</w:t>
            </w:r>
            <w:r w:rsidR="00574071" w:rsidRPr="00574071">
              <w:rPr>
                <w:rFonts w:ascii="Arial" w:eastAsia="Calibri" w:hAnsi="Arial" w:cs="Arial"/>
                <w:sz w:val="20"/>
                <w:szCs w:val="20"/>
              </w:rPr>
              <w:t>n dohod</w:t>
            </w:r>
            <w:r w:rsidR="00E63D2A">
              <w:rPr>
                <w:rFonts w:ascii="Arial" w:eastAsia="Calibri" w:hAnsi="Arial" w:cs="Arial"/>
                <w:sz w:val="20"/>
                <w:szCs w:val="20"/>
              </w:rPr>
              <w:t>e</w:t>
            </w:r>
            <w:r w:rsidR="00574071" w:rsidRPr="00574071">
              <w:rPr>
                <w:rFonts w:ascii="Arial" w:eastAsia="Calibri" w:hAnsi="Arial" w:cs="Arial"/>
                <w:sz w:val="20"/>
                <w:szCs w:val="20"/>
              </w:rPr>
              <w:t xml:space="preserve">k </w:t>
            </w:r>
            <w:r w:rsidR="00E63D2A">
              <w:rPr>
                <w:rFonts w:ascii="Arial" w:eastAsia="Calibri" w:hAnsi="Arial" w:cs="Arial"/>
                <w:sz w:val="20"/>
                <w:szCs w:val="20"/>
              </w:rPr>
              <w:t>štela</w:t>
            </w:r>
            <w:r w:rsidR="00574071" w:rsidRPr="00574071">
              <w:rPr>
                <w:rFonts w:ascii="Arial" w:eastAsia="Calibri" w:hAnsi="Arial" w:cs="Arial"/>
                <w:sz w:val="20"/>
                <w:szCs w:val="20"/>
              </w:rPr>
              <w:t xml:space="preserve"> tudi izplačana vrednost delnic ali deležev v primeru odsvojitve delnic ali deležev v okviru pridobivanja lastnih delnic oziroma deležev družbe, razen  ko družba pridobiva lastne delnice preko borze. Omenjen</w:t>
            </w:r>
            <w:r w:rsidR="00E63D2A">
              <w:rPr>
                <w:rFonts w:ascii="Arial" w:eastAsia="Calibri" w:hAnsi="Arial" w:cs="Arial"/>
                <w:sz w:val="20"/>
                <w:szCs w:val="20"/>
              </w:rPr>
              <w:t>a</w:t>
            </w:r>
            <w:r w:rsidR="00574071" w:rsidRPr="00574071">
              <w:rPr>
                <w:rFonts w:ascii="Arial" w:eastAsia="Calibri" w:hAnsi="Arial" w:cs="Arial"/>
                <w:sz w:val="20"/>
                <w:szCs w:val="20"/>
              </w:rPr>
              <w:t xml:space="preserve"> rešit</w:t>
            </w:r>
            <w:r w:rsidR="00E63D2A">
              <w:rPr>
                <w:rFonts w:ascii="Arial" w:eastAsia="Calibri" w:hAnsi="Arial" w:cs="Arial"/>
                <w:sz w:val="20"/>
                <w:szCs w:val="20"/>
              </w:rPr>
              <w:t>e</w:t>
            </w:r>
            <w:r w:rsidR="00574071" w:rsidRPr="00574071">
              <w:rPr>
                <w:rFonts w:ascii="Arial" w:eastAsia="Calibri" w:hAnsi="Arial" w:cs="Arial"/>
                <w:sz w:val="20"/>
                <w:szCs w:val="20"/>
              </w:rPr>
              <w:t>v</w:t>
            </w:r>
            <w:r w:rsidR="00E63D2A">
              <w:rPr>
                <w:rFonts w:ascii="Arial" w:eastAsia="Calibri" w:hAnsi="Arial" w:cs="Arial"/>
                <w:sz w:val="20"/>
                <w:szCs w:val="20"/>
              </w:rPr>
              <w:t xml:space="preserve"> je</w:t>
            </w:r>
            <w:r w:rsidR="00574071" w:rsidRPr="00574071">
              <w:rPr>
                <w:rFonts w:ascii="Arial" w:eastAsia="Calibri" w:hAnsi="Arial" w:cs="Arial"/>
                <w:sz w:val="20"/>
                <w:szCs w:val="20"/>
              </w:rPr>
              <w:t xml:space="preserve"> veljal</w:t>
            </w:r>
            <w:r w:rsidR="00E63D2A">
              <w:rPr>
                <w:rFonts w:ascii="Arial" w:eastAsia="Calibri" w:hAnsi="Arial" w:cs="Arial"/>
                <w:sz w:val="20"/>
                <w:szCs w:val="20"/>
              </w:rPr>
              <w:t>a</w:t>
            </w:r>
            <w:r w:rsidR="00574071" w:rsidRPr="00574071">
              <w:rPr>
                <w:rFonts w:ascii="Arial" w:eastAsia="Calibri" w:hAnsi="Arial" w:cs="Arial"/>
                <w:sz w:val="20"/>
                <w:szCs w:val="20"/>
              </w:rPr>
              <w:t xml:space="preserve"> v letih 2005 in 2006. </w:t>
            </w:r>
            <w:r w:rsidR="00264326" w:rsidRPr="00264326">
              <w:rPr>
                <w:rFonts w:ascii="Arial" w:eastAsia="Calibri" w:hAnsi="Arial" w:cs="Arial"/>
                <w:sz w:val="20"/>
                <w:szCs w:val="20"/>
              </w:rPr>
              <w:t xml:space="preserve">Podobno </w:t>
            </w:r>
            <w:r w:rsidR="00574071" w:rsidRPr="00574071">
              <w:rPr>
                <w:rFonts w:ascii="Arial" w:eastAsia="Calibri" w:hAnsi="Arial" w:cs="Arial"/>
                <w:sz w:val="20"/>
                <w:szCs w:val="20"/>
              </w:rPr>
              <w:t xml:space="preserve">je bilo </w:t>
            </w:r>
            <w:r w:rsidR="00264326" w:rsidRPr="00264326">
              <w:rPr>
                <w:rFonts w:ascii="Arial" w:eastAsia="Calibri" w:hAnsi="Arial" w:cs="Arial"/>
                <w:sz w:val="20"/>
                <w:szCs w:val="20"/>
              </w:rPr>
              <w:t>v 7. točki 72.</w:t>
            </w:r>
            <w:r w:rsidR="007C15F1">
              <w:rPr>
                <w:rFonts w:ascii="Arial" w:eastAsia="Calibri" w:hAnsi="Arial" w:cs="Arial"/>
                <w:sz w:val="20"/>
                <w:szCs w:val="20"/>
              </w:rPr>
              <w:t> </w:t>
            </w:r>
            <w:r w:rsidR="00264326" w:rsidRPr="00264326">
              <w:rPr>
                <w:rFonts w:ascii="Arial" w:eastAsia="Calibri" w:hAnsi="Arial" w:cs="Arial"/>
                <w:sz w:val="20"/>
                <w:szCs w:val="20"/>
              </w:rPr>
              <w:t xml:space="preserve">člena ZDDPO-1 </w:t>
            </w:r>
            <w:r w:rsidR="00574071" w:rsidRPr="00574071">
              <w:rPr>
                <w:rFonts w:ascii="Arial" w:eastAsia="Calibri" w:hAnsi="Arial" w:cs="Arial"/>
                <w:sz w:val="20"/>
                <w:szCs w:val="20"/>
              </w:rPr>
              <w:t>določeno, da se za dividendam podobne dohodke šteje tudi izplačana vrednost delnic ali deležev v primeru odsvojitve delnic ali deležev v okviru pridobivanja lastnih delnic oziroma deležev družbe, razen ko družba pridobiva lastne delnice prek borze</w:t>
            </w:r>
            <w:r w:rsidR="00264326" w:rsidRPr="00264326">
              <w:rPr>
                <w:rFonts w:ascii="Arial" w:eastAsia="Calibri" w:hAnsi="Arial" w:cs="Arial"/>
                <w:sz w:val="20"/>
                <w:szCs w:val="20"/>
              </w:rPr>
              <w:t>, zmanjšana za nominalno vrednost delnic.</w:t>
            </w:r>
          </w:p>
          <w:p w14:paraId="10721EB5" w14:textId="77777777" w:rsidR="00574071" w:rsidRPr="00574071" w:rsidRDefault="00574071" w:rsidP="00574071">
            <w:pPr>
              <w:spacing w:after="0" w:line="276" w:lineRule="auto"/>
              <w:contextualSpacing/>
              <w:jc w:val="both"/>
              <w:rPr>
                <w:rFonts w:ascii="Arial" w:eastAsia="Calibri" w:hAnsi="Arial" w:cs="Arial"/>
                <w:sz w:val="20"/>
                <w:szCs w:val="20"/>
              </w:rPr>
            </w:pPr>
          </w:p>
          <w:p w14:paraId="755D698E" w14:textId="49716D1E" w:rsidR="00264326" w:rsidRDefault="00264326" w:rsidP="00574071">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S sprejetjem ZDoh-2 in </w:t>
            </w:r>
            <w:r w:rsidR="00EF1FDF">
              <w:rPr>
                <w:rFonts w:ascii="Arial" w:eastAsia="Calibri" w:hAnsi="Arial" w:cs="Arial"/>
                <w:sz w:val="20"/>
                <w:szCs w:val="20"/>
              </w:rPr>
              <w:t xml:space="preserve">Zakona o davku od dohodkov pravnih oseb – ZDDPO-2  (v nadaljnjem besedilu: </w:t>
            </w:r>
            <w:r>
              <w:rPr>
                <w:rFonts w:ascii="Arial" w:eastAsia="Calibri" w:hAnsi="Arial" w:cs="Arial"/>
                <w:sz w:val="20"/>
                <w:szCs w:val="20"/>
              </w:rPr>
              <w:t>ZDDPO-2</w:t>
            </w:r>
            <w:r w:rsidR="00EF1FDF">
              <w:rPr>
                <w:rFonts w:ascii="Arial" w:eastAsia="Calibri" w:hAnsi="Arial" w:cs="Arial"/>
                <w:sz w:val="20"/>
                <w:szCs w:val="20"/>
              </w:rPr>
              <w:t>)</w:t>
            </w:r>
            <w:r w:rsidR="00F925DA">
              <w:rPr>
                <w:rFonts w:ascii="Arial" w:eastAsia="Calibri" w:hAnsi="Arial" w:cs="Arial"/>
                <w:sz w:val="20"/>
                <w:szCs w:val="20"/>
              </w:rPr>
              <w:t xml:space="preserve">, ki sta se na splošno začela uporabljati s 1. </w:t>
            </w:r>
            <w:r w:rsidR="00EF1FDF">
              <w:rPr>
                <w:rFonts w:ascii="Arial" w:eastAsia="Calibri" w:hAnsi="Arial" w:cs="Arial"/>
                <w:sz w:val="20"/>
                <w:szCs w:val="20"/>
              </w:rPr>
              <w:t>januarjem</w:t>
            </w:r>
            <w:r w:rsidR="00F925DA">
              <w:rPr>
                <w:rFonts w:ascii="Arial" w:eastAsia="Calibri" w:hAnsi="Arial" w:cs="Arial"/>
                <w:sz w:val="20"/>
                <w:szCs w:val="20"/>
              </w:rPr>
              <w:t xml:space="preserve"> 2007,</w:t>
            </w:r>
            <w:r>
              <w:rPr>
                <w:rFonts w:ascii="Arial" w:eastAsia="Calibri" w:hAnsi="Arial" w:cs="Arial"/>
                <w:sz w:val="20"/>
                <w:szCs w:val="20"/>
              </w:rPr>
              <w:t xml:space="preserve"> so se povečale razlike </w:t>
            </w:r>
            <w:r w:rsidRPr="00264326">
              <w:rPr>
                <w:rFonts w:ascii="Arial" w:eastAsia="Calibri" w:hAnsi="Arial" w:cs="Arial"/>
                <w:sz w:val="20"/>
                <w:szCs w:val="20"/>
              </w:rPr>
              <w:t xml:space="preserve">v opredelitvi dohodka v obliki dividend po </w:t>
            </w:r>
            <w:r>
              <w:rPr>
                <w:rFonts w:ascii="Arial" w:eastAsia="Calibri" w:hAnsi="Arial" w:cs="Arial"/>
                <w:sz w:val="20"/>
                <w:szCs w:val="20"/>
              </w:rPr>
              <w:t>obeh zakonih</w:t>
            </w:r>
            <w:r w:rsidRPr="00264326">
              <w:rPr>
                <w:rFonts w:ascii="Arial" w:eastAsia="Calibri" w:hAnsi="Arial" w:cs="Arial"/>
                <w:sz w:val="20"/>
                <w:szCs w:val="20"/>
              </w:rPr>
              <w:t>.</w:t>
            </w:r>
            <w:r>
              <w:rPr>
                <w:rFonts w:ascii="Arial" w:eastAsia="Calibri" w:hAnsi="Arial" w:cs="Arial"/>
                <w:sz w:val="20"/>
                <w:szCs w:val="20"/>
              </w:rPr>
              <w:t xml:space="preserve"> </w:t>
            </w:r>
            <w:r w:rsidR="00F925DA">
              <w:rPr>
                <w:rFonts w:ascii="Arial" w:eastAsia="Calibri" w:hAnsi="Arial" w:cs="Arial"/>
                <w:sz w:val="20"/>
                <w:szCs w:val="20"/>
              </w:rPr>
              <w:t>Z ZDoh-2 je bila o</w:t>
            </w:r>
            <w:r>
              <w:rPr>
                <w:rFonts w:ascii="Arial" w:eastAsia="Calibri" w:hAnsi="Arial" w:cs="Arial"/>
                <w:sz w:val="20"/>
                <w:szCs w:val="20"/>
              </w:rPr>
              <w:t>predelitev</w:t>
            </w:r>
            <w:r w:rsidR="00B960F1">
              <w:rPr>
                <w:rFonts w:ascii="Arial" w:eastAsia="Calibri" w:hAnsi="Arial" w:cs="Arial"/>
                <w:sz w:val="20"/>
                <w:szCs w:val="20"/>
              </w:rPr>
              <w:t xml:space="preserve"> dohodka v obliki</w:t>
            </w:r>
            <w:r>
              <w:rPr>
                <w:rFonts w:ascii="Arial" w:eastAsia="Calibri" w:hAnsi="Arial" w:cs="Arial"/>
                <w:sz w:val="20"/>
                <w:szCs w:val="20"/>
              </w:rPr>
              <w:t xml:space="preserve"> dividend zožena </w:t>
            </w:r>
            <w:r w:rsidRPr="00264326">
              <w:rPr>
                <w:rFonts w:ascii="Arial" w:eastAsia="Calibri" w:hAnsi="Arial" w:cs="Arial"/>
                <w:sz w:val="20"/>
                <w:szCs w:val="20"/>
              </w:rPr>
              <w:t xml:space="preserve">(med drugim so bila iz opredelitve črtana </w:t>
            </w:r>
            <w:r w:rsidR="00B960F1">
              <w:rPr>
                <w:rFonts w:ascii="Arial" w:eastAsia="Calibri" w:hAnsi="Arial" w:cs="Arial"/>
                <w:sz w:val="20"/>
                <w:szCs w:val="20"/>
              </w:rPr>
              <w:t>i</w:t>
            </w:r>
            <w:r w:rsidRPr="00264326">
              <w:rPr>
                <w:rFonts w:ascii="Arial" w:eastAsia="Calibri" w:hAnsi="Arial" w:cs="Arial"/>
                <w:sz w:val="20"/>
                <w:szCs w:val="20"/>
              </w:rPr>
              <w:t xml:space="preserve">zplačila družbe </w:t>
            </w:r>
            <w:r w:rsidR="00F925DA">
              <w:rPr>
                <w:rFonts w:ascii="Arial" w:eastAsia="Calibri" w:hAnsi="Arial" w:cs="Arial"/>
                <w:sz w:val="20"/>
                <w:szCs w:val="20"/>
              </w:rPr>
              <w:t>delničarjem oz</w:t>
            </w:r>
            <w:r w:rsidR="007C15F1">
              <w:rPr>
                <w:rFonts w:ascii="Arial" w:eastAsia="Calibri" w:hAnsi="Arial" w:cs="Arial"/>
                <w:sz w:val="20"/>
                <w:szCs w:val="20"/>
              </w:rPr>
              <w:t>iroma</w:t>
            </w:r>
            <w:r w:rsidR="00F925DA">
              <w:rPr>
                <w:rFonts w:ascii="Arial" w:eastAsia="Calibri" w:hAnsi="Arial" w:cs="Arial"/>
                <w:sz w:val="20"/>
                <w:szCs w:val="20"/>
              </w:rPr>
              <w:t xml:space="preserve"> </w:t>
            </w:r>
            <w:r w:rsidRPr="00264326">
              <w:rPr>
                <w:rFonts w:ascii="Arial" w:eastAsia="Calibri" w:hAnsi="Arial" w:cs="Arial"/>
                <w:sz w:val="20"/>
                <w:szCs w:val="20"/>
              </w:rPr>
              <w:t>družbenikom, ko od njih pridobiva lastne deleže, in povečanje osnovnega kapitala iz sredstev družbe</w:t>
            </w:r>
            <w:r>
              <w:rPr>
                <w:rFonts w:ascii="Arial" w:eastAsia="Calibri" w:hAnsi="Arial" w:cs="Arial"/>
                <w:sz w:val="20"/>
                <w:szCs w:val="20"/>
              </w:rPr>
              <w:t>,</w:t>
            </w:r>
            <w:r>
              <w:t xml:space="preserve"> </w:t>
            </w:r>
            <w:r w:rsidRPr="00264326">
              <w:rPr>
                <w:rFonts w:ascii="Arial" w:eastAsia="Calibri" w:hAnsi="Arial" w:cs="Arial"/>
                <w:sz w:val="20"/>
                <w:szCs w:val="20"/>
              </w:rPr>
              <w:t>uvedena pa je bila posebna podkategorija dividend, tj.</w:t>
            </w:r>
            <w:r w:rsidR="007C15F1">
              <w:rPr>
                <w:rFonts w:ascii="Arial" w:eastAsia="Calibri" w:hAnsi="Arial" w:cs="Arial"/>
                <w:sz w:val="20"/>
                <w:szCs w:val="20"/>
              </w:rPr>
              <w:t> </w:t>
            </w:r>
            <w:r w:rsidRPr="00264326">
              <w:rPr>
                <w:rFonts w:ascii="Arial" w:eastAsia="Calibri" w:hAnsi="Arial" w:cs="Arial"/>
                <w:sz w:val="20"/>
                <w:szCs w:val="20"/>
              </w:rPr>
              <w:t>prikrito izplačilo dobička, ki ni posebej opredeljen</w:t>
            </w:r>
            <w:r w:rsidR="00B960F1">
              <w:rPr>
                <w:rFonts w:ascii="Arial" w:eastAsia="Calibri" w:hAnsi="Arial" w:cs="Arial"/>
                <w:sz w:val="20"/>
                <w:szCs w:val="20"/>
              </w:rPr>
              <w:t>a</w:t>
            </w:r>
            <w:r w:rsidRPr="00264326">
              <w:rPr>
                <w:rFonts w:ascii="Arial" w:eastAsia="Calibri" w:hAnsi="Arial" w:cs="Arial"/>
                <w:sz w:val="20"/>
                <w:szCs w:val="20"/>
              </w:rPr>
              <w:t>, temveč je navezan</w:t>
            </w:r>
            <w:r w:rsidR="00B960F1">
              <w:rPr>
                <w:rFonts w:ascii="Arial" w:eastAsia="Calibri" w:hAnsi="Arial" w:cs="Arial"/>
                <w:sz w:val="20"/>
                <w:szCs w:val="20"/>
              </w:rPr>
              <w:t>a</w:t>
            </w:r>
            <w:r w:rsidRPr="00264326">
              <w:rPr>
                <w:rFonts w:ascii="Arial" w:eastAsia="Calibri" w:hAnsi="Arial" w:cs="Arial"/>
                <w:sz w:val="20"/>
                <w:szCs w:val="20"/>
              </w:rPr>
              <w:t xml:space="preserve"> na opredelitev te</w:t>
            </w:r>
            <w:r w:rsidR="00B960F1">
              <w:rPr>
                <w:rFonts w:ascii="Arial" w:eastAsia="Calibri" w:hAnsi="Arial" w:cs="Arial"/>
                <w:sz w:val="20"/>
                <w:szCs w:val="20"/>
              </w:rPr>
              <w:t xml:space="preserve"> podkategorije</w:t>
            </w:r>
            <w:r w:rsidRPr="00264326">
              <w:rPr>
                <w:rFonts w:ascii="Arial" w:eastAsia="Calibri" w:hAnsi="Arial" w:cs="Arial"/>
                <w:sz w:val="20"/>
                <w:szCs w:val="20"/>
              </w:rPr>
              <w:t xml:space="preserve"> v ZDDPO-2)</w:t>
            </w:r>
            <w:r w:rsidR="005B0785">
              <w:rPr>
                <w:rFonts w:ascii="Arial" w:eastAsia="Calibri" w:hAnsi="Arial" w:cs="Arial"/>
                <w:sz w:val="20"/>
                <w:szCs w:val="20"/>
              </w:rPr>
              <w:t>.</w:t>
            </w:r>
            <w:r>
              <w:rPr>
                <w:rFonts w:ascii="Arial" w:eastAsia="Calibri" w:hAnsi="Arial" w:cs="Arial"/>
                <w:sz w:val="20"/>
                <w:szCs w:val="20"/>
              </w:rPr>
              <w:t xml:space="preserve"> Z</w:t>
            </w:r>
            <w:r w:rsidRPr="00264326">
              <w:rPr>
                <w:rFonts w:ascii="Arial" w:eastAsia="Calibri" w:hAnsi="Arial" w:cs="Arial"/>
                <w:sz w:val="20"/>
                <w:szCs w:val="20"/>
              </w:rPr>
              <w:t xml:space="preserve"> ZDoh-2 </w:t>
            </w:r>
            <w:r>
              <w:rPr>
                <w:rFonts w:ascii="Arial" w:eastAsia="Calibri" w:hAnsi="Arial" w:cs="Arial"/>
                <w:sz w:val="20"/>
                <w:szCs w:val="20"/>
              </w:rPr>
              <w:t xml:space="preserve">se je tako določilo, da se </w:t>
            </w:r>
            <w:r w:rsidR="00B960F1">
              <w:rPr>
                <w:rFonts w:ascii="Arial" w:eastAsia="Calibri" w:hAnsi="Arial" w:cs="Arial"/>
                <w:sz w:val="20"/>
                <w:szCs w:val="20"/>
              </w:rPr>
              <w:t xml:space="preserve">je </w:t>
            </w:r>
            <w:r w:rsidRPr="00264326">
              <w:rPr>
                <w:rFonts w:ascii="Arial" w:eastAsia="Calibri" w:hAnsi="Arial" w:cs="Arial"/>
                <w:sz w:val="20"/>
                <w:szCs w:val="20"/>
              </w:rPr>
              <w:t>izplačana vrednost delnic ali deležev v primeru odsvojitve delnic ali deležev v okviru pridobivanja lastnih delnic oziroma deležev družbe</w:t>
            </w:r>
            <w:r w:rsidR="00B960F1">
              <w:rPr>
                <w:rFonts w:ascii="Arial" w:eastAsia="Calibri" w:hAnsi="Arial" w:cs="Arial"/>
                <w:sz w:val="20"/>
                <w:szCs w:val="20"/>
              </w:rPr>
              <w:t xml:space="preserve"> na splošno</w:t>
            </w:r>
            <w:r>
              <w:rPr>
                <w:rFonts w:ascii="Arial" w:eastAsia="Calibri" w:hAnsi="Arial" w:cs="Arial"/>
                <w:sz w:val="20"/>
                <w:szCs w:val="20"/>
              </w:rPr>
              <w:t xml:space="preserve"> obdavč</w:t>
            </w:r>
            <w:r w:rsidR="00B960F1">
              <w:rPr>
                <w:rFonts w:ascii="Arial" w:eastAsia="Calibri" w:hAnsi="Arial" w:cs="Arial"/>
                <w:sz w:val="20"/>
                <w:szCs w:val="20"/>
              </w:rPr>
              <w:t>evala</w:t>
            </w:r>
            <w:r>
              <w:rPr>
                <w:rFonts w:ascii="Arial" w:eastAsia="Calibri" w:hAnsi="Arial" w:cs="Arial"/>
                <w:sz w:val="20"/>
                <w:szCs w:val="20"/>
              </w:rPr>
              <w:t xml:space="preserve"> po pravilih, ki veljajo za obdavčevanje kapitalskih dobičkov. </w:t>
            </w:r>
            <w:r w:rsidRPr="00264326">
              <w:rPr>
                <w:rFonts w:ascii="Arial" w:eastAsia="Calibri" w:hAnsi="Arial" w:cs="Arial"/>
                <w:sz w:val="20"/>
                <w:szCs w:val="20"/>
              </w:rPr>
              <w:t xml:space="preserve">To </w:t>
            </w:r>
            <w:r>
              <w:rPr>
                <w:rFonts w:ascii="Arial" w:eastAsia="Calibri" w:hAnsi="Arial" w:cs="Arial"/>
                <w:sz w:val="20"/>
                <w:szCs w:val="20"/>
              </w:rPr>
              <w:t xml:space="preserve">je </w:t>
            </w:r>
            <w:r w:rsidRPr="00264326">
              <w:rPr>
                <w:rFonts w:ascii="Arial" w:eastAsia="Calibri" w:hAnsi="Arial" w:cs="Arial"/>
                <w:sz w:val="20"/>
                <w:szCs w:val="20"/>
              </w:rPr>
              <w:t>pomeni</w:t>
            </w:r>
            <w:r>
              <w:rPr>
                <w:rFonts w:ascii="Arial" w:eastAsia="Calibri" w:hAnsi="Arial" w:cs="Arial"/>
                <w:sz w:val="20"/>
                <w:szCs w:val="20"/>
              </w:rPr>
              <w:t>lo</w:t>
            </w:r>
            <w:r w:rsidRPr="00264326">
              <w:rPr>
                <w:rFonts w:ascii="Arial" w:eastAsia="Calibri" w:hAnsi="Arial" w:cs="Arial"/>
                <w:sz w:val="20"/>
                <w:szCs w:val="20"/>
              </w:rPr>
              <w:t xml:space="preserve">, da se </w:t>
            </w:r>
            <w:r w:rsidR="00B960F1">
              <w:rPr>
                <w:rFonts w:ascii="Arial" w:eastAsia="Calibri" w:hAnsi="Arial" w:cs="Arial"/>
                <w:sz w:val="20"/>
                <w:szCs w:val="20"/>
              </w:rPr>
              <w:t xml:space="preserve">je </w:t>
            </w:r>
            <w:r w:rsidRPr="00264326">
              <w:rPr>
                <w:rFonts w:ascii="Arial" w:eastAsia="Calibri" w:hAnsi="Arial" w:cs="Arial"/>
                <w:sz w:val="20"/>
                <w:szCs w:val="20"/>
              </w:rPr>
              <w:t>(proporcionalna) stopnja obdavčitve z dohodnino za rezidente lahko zmanjš</w:t>
            </w:r>
            <w:r w:rsidR="00645C07">
              <w:rPr>
                <w:rFonts w:ascii="Arial" w:eastAsia="Calibri" w:hAnsi="Arial" w:cs="Arial"/>
                <w:sz w:val="20"/>
                <w:szCs w:val="20"/>
              </w:rPr>
              <w:t>evala</w:t>
            </w:r>
            <w:r w:rsidRPr="00264326">
              <w:rPr>
                <w:rFonts w:ascii="Arial" w:eastAsia="Calibri" w:hAnsi="Arial" w:cs="Arial"/>
                <w:sz w:val="20"/>
                <w:szCs w:val="20"/>
              </w:rPr>
              <w:t xml:space="preserve"> z daljšanjem obdobja </w:t>
            </w:r>
            <w:proofErr w:type="spellStart"/>
            <w:r w:rsidRPr="00264326">
              <w:rPr>
                <w:rFonts w:ascii="Arial" w:eastAsia="Calibri" w:hAnsi="Arial" w:cs="Arial"/>
                <w:sz w:val="20"/>
                <w:szCs w:val="20"/>
              </w:rPr>
              <w:t>imetništva</w:t>
            </w:r>
            <w:proofErr w:type="spellEnd"/>
            <w:r w:rsidR="00D70438">
              <w:rPr>
                <w:rFonts w:ascii="Arial" w:eastAsia="Calibri" w:hAnsi="Arial" w:cs="Arial"/>
                <w:sz w:val="20"/>
                <w:szCs w:val="20"/>
              </w:rPr>
              <w:t xml:space="preserve"> delnic oziroma deležev</w:t>
            </w:r>
            <w:r w:rsidRPr="00264326">
              <w:rPr>
                <w:rFonts w:ascii="Arial" w:eastAsia="Calibri" w:hAnsi="Arial" w:cs="Arial"/>
                <w:sz w:val="20"/>
                <w:szCs w:val="20"/>
              </w:rPr>
              <w:t xml:space="preserve">, za nerezidente pa </w:t>
            </w:r>
            <w:r w:rsidR="00645C07">
              <w:rPr>
                <w:rFonts w:ascii="Arial" w:eastAsia="Calibri" w:hAnsi="Arial" w:cs="Arial"/>
                <w:sz w:val="20"/>
                <w:szCs w:val="20"/>
              </w:rPr>
              <w:t xml:space="preserve">je </w:t>
            </w:r>
            <w:r w:rsidRPr="00264326">
              <w:rPr>
                <w:rFonts w:ascii="Arial" w:eastAsia="Calibri" w:hAnsi="Arial" w:cs="Arial"/>
                <w:sz w:val="20"/>
                <w:szCs w:val="20"/>
              </w:rPr>
              <w:t>lahko velja</w:t>
            </w:r>
            <w:r w:rsidR="00645C07">
              <w:rPr>
                <w:rFonts w:ascii="Arial" w:eastAsia="Calibri" w:hAnsi="Arial" w:cs="Arial"/>
                <w:sz w:val="20"/>
                <w:szCs w:val="20"/>
              </w:rPr>
              <w:t>lo</w:t>
            </w:r>
            <w:r w:rsidRPr="00264326">
              <w:rPr>
                <w:rFonts w:ascii="Arial" w:eastAsia="Calibri" w:hAnsi="Arial" w:cs="Arial"/>
                <w:sz w:val="20"/>
                <w:szCs w:val="20"/>
              </w:rPr>
              <w:t xml:space="preserve">, da v Sloveniji od takih </w:t>
            </w:r>
            <w:r w:rsidR="00D70438">
              <w:rPr>
                <w:rFonts w:ascii="Arial" w:eastAsia="Calibri" w:hAnsi="Arial" w:cs="Arial"/>
                <w:sz w:val="20"/>
                <w:szCs w:val="20"/>
              </w:rPr>
              <w:t>izplačil</w:t>
            </w:r>
            <w:r w:rsidRPr="00264326">
              <w:rPr>
                <w:rFonts w:ascii="Arial" w:eastAsia="Calibri" w:hAnsi="Arial" w:cs="Arial"/>
                <w:sz w:val="20"/>
                <w:szCs w:val="20"/>
              </w:rPr>
              <w:t xml:space="preserve"> sploh </w:t>
            </w:r>
            <w:r w:rsidR="00B960F1">
              <w:rPr>
                <w:rFonts w:ascii="Arial" w:eastAsia="Calibri" w:hAnsi="Arial" w:cs="Arial"/>
                <w:sz w:val="20"/>
                <w:szCs w:val="20"/>
              </w:rPr>
              <w:t>ne plačajo dohodnine</w:t>
            </w:r>
            <w:r w:rsidRPr="00264326">
              <w:rPr>
                <w:rFonts w:ascii="Arial" w:eastAsia="Calibri" w:hAnsi="Arial" w:cs="Arial"/>
                <w:sz w:val="20"/>
                <w:szCs w:val="20"/>
              </w:rPr>
              <w:t xml:space="preserve"> (tj.</w:t>
            </w:r>
            <w:r w:rsidR="007C15F1">
              <w:rPr>
                <w:rFonts w:ascii="Arial" w:eastAsia="Calibri" w:hAnsi="Arial" w:cs="Arial"/>
                <w:sz w:val="20"/>
                <w:szCs w:val="20"/>
              </w:rPr>
              <w:t> </w:t>
            </w:r>
            <w:r w:rsidRPr="00264326">
              <w:rPr>
                <w:rFonts w:ascii="Arial" w:eastAsia="Calibri" w:hAnsi="Arial" w:cs="Arial"/>
                <w:sz w:val="20"/>
                <w:szCs w:val="20"/>
              </w:rPr>
              <w:t>na podlagi prvega odstavka 33.</w:t>
            </w:r>
            <w:r w:rsidR="007C15F1">
              <w:rPr>
                <w:rFonts w:ascii="Arial" w:eastAsia="Calibri" w:hAnsi="Arial" w:cs="Arial"/>
                <w:sz w:val="20"/>
                <w:szCs w:val="20"/>
              </w:rPr>
              <w:t> </w:t>
            </w:r>
            <w:r w:rsidRPr="00264326">
              <w:rPr>
                <w:rFonts w:ascii="Arial" w:eastAsia="Calibri" w:hAnsi="Arial" w:cs="Arial"/>
                <w:sz w:val="20"/>
                <w:szCs w:val="20"/>
              </w:rPr>
              <w:t xml:space="preserve">člena ZDoh-2 ali </w:t>
            </w:r>
            <w:r w:rsidR="00D70438">
              <w:rPr>
                <w:rFonts w:ascii="Arial" w:eastAsia="Calibri" w:hAnsi="Arial" w:cs="Arial"/>
                <w:sz w:val="20"/>
                <w:szCs w:val="20"/>
              </w:rPr>
              <w:t>pravil</w:t>
            </w:r>
            <w:r w:rsidRPr="00264326">
              <w:rPr>
                <w:rFonts w:ascii="Arial" w:eastAsia="Calibri" w:hAnsi="Arial" w:cs="Arial"/>
                <w:sz w:val="20"/>
                <w:szCs w:val="20"/>
              </w:rPr>
              <w:t xml:space="preserve"> relevantne </w:t>
            </w:r>
            <w:r w:rsidR="00D70438">
              <w:rPr>
                <w:rFonts w:ascii="Arial" w:eastAsia="Calibri" w:hAnsi="Arial" w:cs="Arial"/>
                <w:sz w:val="20"/>
                <w:szCs w:val="20"/>
              </w:rPr>
              <w:t xml:space="preserve">konvencije o izogibanju dvojnega obdavčevanja, ki jo </w:t>
            </w:r>
            <w:r w:rsidR="00D779A5">
              <w:rPr>
                <w:rFonts w:ascii="Arial" w:eastAsia="Calibri" w:hAnsi="Arial" w:cs="Arial"/>
                <w:sz w:val="20"/>
                <w:szCs w:val="20"/>
              </w:rPr>
              <w:t>je</w:t>
            </w:r>
            <w:r w:rsidR="00D70438">
              <w:rPr>
                <w:rFonts w:ascii="Arial" w:eastAsia="Calibri" w:hAnsi="Arial" w:cs="Arial"/>
                <w:sz w:val="20"/>
                <w:szCs w:val="20"/>
              </w:rPr>
              <w:t xml:space="preserve"> sklenila Slovenija, v zvezi z obdavčitvijo dobičkov iz kapitala</w:t>
            </w:r>
            <w:r w:rsidRPr="00264326">
              <w:rPr>
                <w:rFonts w:ascii="Arial" w:eastAsia="Calibri" w:hAnsi="Arial" w:cs="Arial"/>
                <w:sz w:val="20"/>
                <w:szCs w:val="20"/>
              </w:rPr>
              <w:t>).</w:t>
            </w:r>
            <w:r w:rsidR="00D70438">
              <w:t xml:space="preserve"> </w:t>
            </w:r>
            <w:r w:rsidR="00D70438" w:rsidRPr="00D70438">
              <w:rPr>
                <w:rFonts w:ascii="Arial" w:eastAsia="Calibri" w:hAnsi="Arial" w:cs="Arial"/>
                <w:sz w:val="20"/>
                <w:szCs w:val="20"/>
              </w:rPr>
              <w:t xml:space="preserve">Hkrati z opisanim zoženjem opredelitve </w:t>
            </w:r>
            <w:r w:rsidR="00B960F1">
              <w:rPr>
                <w:rFonts w:ascii="Arial" w:eastAsia="Calibri" w:hAnsi="Arial" w:cs="Arial"/>
                <w:sz w:val="20"/>
                <w:szCs w:val="20"/>
              </w:rPr>
              <w:t xml:space="preserve">dohodka v obliki </w:t>
            </w:r>
            <w:r w:rsidR="00D70438" w:rsidRPr="00D70438">
              <w:rPr>
                <w:rFonts w:ascii="Arial" w:eastAsia="Calibri" w:hAnsi="Arial" w:cs="Arial"/>
                <w:sz w:val="20"/>
                <w:szCs w:val="20"/>
              </w:rPr>
              <w:t xml:space="preserve">dividend po ZDoh-2 pa se ni zožila tudi opredelitev </w:t>
            </w:r>
            <w:r w:rsidR="00B960F1">
              <w:rPr>
                <w:rFonts w:ascii="Arial" w:eastAsia="Calibri" w:hAnsi="Arial" w:cs="Arial"/>
                <w:sz w:val="20"/>
                <w:szCs w:val="20"/>
              </w:rPr>
              <w:t xml:space="preserve">dohodka v obliki </w:t>
            </w:r>
            <w:r w:rsidR="00D70438" w:rsidRPr="00D70438">
              <w:rPr>
                <w:rFonts w:ascii="Arial" w:eastAsia="Calibri" w:hAnsi="Arial" w:cs="Arial"/>
                <w:sz w:val="20"/>
                <w:szCs w:val="20"/>
              </w:rPr>
              <w:t xml:space="preserve">dividend </w:t>
            </w:r>
            <w:r w:rsidR="00B960F1">
              <w:rPr>
                <w:rFonts w:ascii="Arial" w:eastAsia="Calibri" w:hAnsi="Arial" w:cs="Arial"/>
                <w:sz w:val="20"/>
                <w:szCs w:val="20"/>
              </w:rPr>
              <w:t>oz</w:t>
            </w:r>
            <w:r w:rsidR="007C15F1">
              <w:rPr>
                <w:rFonts w:ascii="Arial" w:eastAsia="Calibri" w:hAnsi="Arial" w:cs="Arial"/>
                <w:sz w:val="20"/>
                <w:szCs w:val="20"/>
              </w:rPr>
              <w:t>iroma</w:t>
            </w:r>
            <w:r w:rsidR="00B960F1">
              <w:rPr>
                <w:rFonts w:ascii="Arial" w:eastAsia="Calibri" w:hAnsi="Arial" w:cs="Arial"/>
                <w:sz w:val="20"/>
                <w:szCs w:val="20"/>
              </w:rPr>
              <w:t xml:space="preserve"> dohodkov, podobnih dividendam, </w:t>
            </w:r>
            <w:r w:rsidR="00D70438" w:rsidRPr="00D70438">
              <w:rPr>
                <w:rFonts w:ascii="Arial" w:eastAsia="Calibri" w:hAnsi="Arial" w:cs="Arial"/>
                <w:sz w:val="20"/>
                <w:szCs w:val="20"/>
              </w:rPr>
              <w:t>po ZDDPO-2</w:t>
            </w:r>
            <w:r w:rsidR="00D70438">
              <w:rPr>
                <w:rFonts w:ascii="Arial" w:eastAsia="Calibri" w:hAnsi="Arial" w:cs="Arial"/>
                <w:sz w:val="20"/>
                <w:szCs w:val="20"/>
              </w:rPr>
              <w:t xml:space="preserve">. Tako se primeroma </w:t>
            </w:r>
            <w:r w:rsidR="00D70438" w:rsidRPr="00D70438">
              <w:rPr>
                <w:rFonts w:ascii="Arial" w:eastAsia="Calibri" w:hAnsi="Arial" w:cs="Arial"/>
                <w:sz w:val="20"/>
                <w:szCs w:val="20"/>
              </w:rPr>
              <w:t xml:space="preserve">za dohodke, podobne dividendam, </w:t>
            </w:r>
            <w:r w:rsidR="00D70438">
              <w:rPr>
                <w:rFonts w:ascii="Arial" w:eastAsia="Calibri" w:hAnsi="Arial" w:cs="Arial"/>
                <w:sz w:val="20"/>
                <w:szCs w:val="20"/>
              </w:rPr>
              <w:t xml:space="preserve">po </w:t>
            </w:r>
            <w:r w:rsidR="00B960F1">
              <w:rPr>
                <w:rFonts w:ascii="Arial" w:eastAsia="Calibri" w:hAnsi="Arial" w:cs="Arial"/>
                <w:sz w:val="20"/>
                <w:szCs w:val="20"/>
              </w:rPr>
              <w:t xml:space="preserve">veljavni </w:t>
            </w:r>
            <w:r w:rsidR="00D70438" w:rsidRPr="00D70438">
              <w:rPr>
                <w:rFonts w:ascii="Arial" w:eastAsia="Calibri" w:hAnsi="Arial" w:cs="Arial"/>
                <w:sz w:val="20"/>
                <w:szCs w:val="20"/>
              </w:rPr>
              <w:t>5. točki 74.</w:t>
            </w:r>
            <w:r w:rsidR="007C15F1">
              <w:rPr>
                <w:rFonts w:ascii="Arial" w:eastAsia="Calibri" w:hAnsi="Arial" w:cs="Arial"/>
                <w:sz w:val="20"/>
                <w:szCs w:val="20"/>
              </w:rPr>
              <w:t> </w:t>
            </w:r>
            <w:r w:rsidR="00D70438" w:rsidRPr="00D70438">
              <w:rPr>
                <w:rFonts w:ascii="Arial" w:eastAsia="Calibri" w:hAnsi="Arial" w:cs="Arial"/>
                <w:sz w:val="20"/>
                <w:szCs w:val="20"/>
              </w:rPr>
              <w:t>člena ZDDPO-2 šteje</w:t>
            </w:r>
            <w:r w:rsidR="00D70438">
              <w:rPr>
                <w:rFonts w:ascii="Arial" w:eastAsia="Calibri" w:hAnsi="Arial" w:cs="Arial"/>
                <w:sz w:val="20"/>
                <w:szCs w:val="20"/>
              </w:rPr>
              <w:t xml:space="preserve"> </w:t>
            </w:r>
            <w:r w:rsidR="00D70438" w:rsidRPr="00D70438">
              <w:rPr>
                <w:rFonts w:ascii="Arial" w:eastAsia="Calibri" w:hAnsi="Arial" w:cs="Arial"/>
                <w:sz w:val="20"/>
                <w:szCs w:val="20"/>
              </w:rPr>
              <w:t xml:space="preserve">izplačana vrednost pridobljenih lastnih delnic ali lastnih poslovnih in drugih lastnih deležev, zmanjšana za njihovo emisijsko vrednost in za sorazmerni del kapitalskih rezerv. Z ZDDPO-2 pa je bila, kot že omenjeno, uvedena in natančno opredeljena </w:t>
            </w:r>
            <w:r w:rsidR="00D70438">
              <w:rPr>
                <w:rFonts w:ascii="Arial" w:eastAsia="Calibri" w:hAnsi="Arial" w:cs="Arial"/>
                <w:sz w:val="20"/>
                <w:szCs w:val="20"/>
              </w:rPr>
              <w:t xml:space="preserve">tudi </w:t>
            </w:r>
            <w:r w:rsidR="00D70438" w:rsidRPr="00D70438">
              <w:rPr>
                <w:rFonts w:ascii="Arial" w:eastAsia="Calibri" w:hAnsi="Arial" w:cs="Arial"/>
                <w:sz w:val="20"/>
                <w:szCs w:val="20"/>
              </w:rPr>
              <w:t xml:space="preserve">posebna podkategorija </w:t>
            </w:r>
            <w:r w:rsidR="00645C07">
              <w:rPr>
                <w:rFonts w:ascii="Arial" w:eastAsia="Calibri" w:hAnsi="Arial" w:cs="Arial"/>
                <w:sz w:val="20"/>
                <w:szCs w:val="20"/>
              </w:rPr>
              <w:t xml:space="preserve">dohodkov, podobnih </w:t>
            </w:r>
            <w:r w:rsidR="00D70438" w:rsidRPr="00D70438">
              <w:rPr>
                <w:rFonts w:ascii="Arial" w:eastAsia="Calibri" w:hAnsi="Arial" w:cs="Arial"/>
                <w:sz w:val="20"/>
                <w:szCs w:val="20"/>
              </w:rPr>
              <w:t>dividend</w:t>
            </w:r>
            <w:r w:rsidR="00645C07">
              <w:rPr>
                <w:rFonts w:ascii="Arial" w:eastAsia="Calibri" w:hAnsi="Arial" w:cs="Arial"/>
                <w:sz w:val="20"/>
                <w:szCs w:val="20"/>
              </w:rPr>
              <w:t>am,</w:t>
            </w:r>
            <w:r w:rsidR="00D70438" w:rsidRPr="00D70438">
              <w:rPr>
                <w:rFonts w:ascii="Arial" w:eastAsia="Calibri" w:hAnsi="Arial" w:cs="Arial"/>
                <w:sz w:val="20"/>
                <w:szCs w:val="20"/>
              </w:rPr>
              <w:t xml:space="preserve"> tj.</w:t>
            </w:r>
            <w:r w:rsidR="00355CD5">
              <w:rPr>
                <w:rFonts w:ascii="Arial" w:eastAsia="Calibri" w:hAnsi="Arial" w:cs="Arial"/>
                <w:sz w:val="20"/>
                <w:szCs w:val="20"/>
              </w:rPr>
              <w:t> </w:t>
            </w:r>
            <w:r w:rsidR="00D70438" w:rsidRPr="00D70438">
              <w:rPr>
                <w:rFonts w:ascii="Arial" w:eastAsia="Calibri" w:hAnsi="Arial" w:cs="Arial"/>
                <w:sz w:val="20"/>
                <w:szCs w:val="20"/>
              </w:rPr>
              <w:t>prikrito izplačilo dobička.</w:t>
            </w:r>
          </w:p>
          <w:p w14:paraId="0B0EE7D4" w14:textId="55E073D3" w:rsidR="00D70438" w:rsidRDefault="00D70438" w:rsidP="00574071">
            <w:pPr>
              <w:spacing w:after="0" w:line="276" w:lineRule="auto"/>
              <w:contextualSpacing/>
              <w:jc w:val="both"/>
              <w:rPr>
                <w:rFonts w:ascii="Arial" w:eastAsia="Calibri" w:hAnsi="Arial" w:cs="Arial"/>
                <w:sz w:val="20"/>
                <w:szCs w:val="20"/>
              </w:rPr>
            </w:pPr>
          </w:p>
          <w:p w14:paraId="275BFFC3" w14:textId="324769AB" w:rsidR="002A6C15" w:rsidRDefault="00645C07" w:rsidP="00F925DA">
            <w:pPr>
              <w:spacing w:after="0" w:line="276" w:lineRule="auto"/>
              <w:contextualSpacing/>
              <w:jc w:val="both"/>
              <w:rPr>
                <w:rFonts w:ascii="Arial" w:eastAsia="Calibri" w:hAnsi="Arial" w:cs="Arial"/>
                <w:sz w:val="20"/>
                <w:szCs w:val="20"/>
              </w:rPr>
            </w:pPr>
            <w:r>
              <w:rPr>
                <w:rFonts w:ascii="Arial" w:eastAsia="Calibri" w:hAnsi="Arial" w:cs="Arial"/>
                <w:sz w:val="20"/>
                <w:szCs w:val="20"/>
              </w:rPr>
              <w:t>Z novelo ZDoh-2V</w:t>
            </w:r>
            <w:r w:rsidR="00B960F1">
              <w:rPr>
                <w:rFonts w:ascii="Arial" w:eastAsia="Calibri" w:hAnsi="Arial" w:cs="Arial"/>
                <w:sz w:val="20"/>
                <w:szCs w:val="20"/>
              </w:rPr>
              <w:t xml:space="preserve"> </w:t>
            </w:r>
            <w:r w:rsidR="00B960F1" w:rsidRPr="00B960F1">
              <w:rPr>
                <w:rFonts w:ascii="Arial" w:eastAsia="Calibri" w:hAnsi="Arial" w:cs="Arial"/>
                <w:sz w:val="20"/>
                <w:szCs w:val="20"/>
              </w:rPr>
              <w:t xml:space="preserve">(Uradni list </w:t>
            </w:r>
            <w:r w:rsidR="005B0785">
              <w:rPr>
                <w:rFonts w:ascii="Arial" w:eastAsia="Calibri" w:hAnsi="Arial" w:cs="Arial"/>
                <w:sz w:val="20"/>
                <w:szCs w:val="20"/>
              </w:rPr>
              <w:t xml:space="preserve">RS, </w:t>
            </w:r>
            <w:r w:rsidR="00B960F1" w:rsidRPr="00B960F1">
              <w:rPr>
                <w:rFonts w:ascii="Arial" w:eastAsia="Calibri" w:hAnsi="Arial" w:cs="Arial"/>
                <w:sz w:val="20"/>
                <w:szCs w:val="20"/>
              </w:rPr>
              <w:t>št.</w:t>
            </w:r>
            <w:r w:rsidR="00355CD5">
              <w:rPr>
                <w:rFonts w:ascii="Arial" w:eastAsia="Calibri" w:hAnsi="Arial" w:cs="Arial"/>
                <w:sz w:val="20"/>
                <w:szCs w:val="20"/>
              </w:rPr>
              <w:t> </w:t>
            </w:r>
            <w:r w:rsidR="00B960F1" w:rsidRPr="00B960F1">
              <w:rPr>
                <w:rFonts w:ascii="Arial" w:eastAsia="Calibri" w:hAnsi="Arial" w:cs="Arial"/>
                <w:sz w:val="20"/>
                <w:szCs w:val="20"/>
              </w:rPr>
              <w:t>66/19)</w:t>
            </w:r>
            <w:r>
              <w:rPr>
                <w:rFonts w:ascii="Arial" w:eastAsia="Calibri" w:hAnsi="Arial" w:cs="Arial"/>
                <w:sz w:val="20"/>
                <w:szCs w:val="20"/>
              </w:rPr>
              <w:t>, ki se je začela uporabljati</w:t>
            </w:r>
            <w:r w:rsidR="009B785A">
              <w:rPr>
                <w:rFonts w:ascii="Arial" w:eastAsia="Calibri" w:hAnsi="Arial" w:cs="Arial"/>
                <w:sz w:val="20"/>
                <w:szCs w:val="20"/>
              </w:rPr>
              <w:t xml:space="preserve"> s</w:t>
            </w:r>
            <w:r>
              <w:rPr>
                <w:rFonts w:ascii="Arial" w:eastAsia="Calibri" w:hAnsi="Arial" w:cs="Arial"/>
                <w:sz w:val="20"/>
                <w:szCs w:val="20"/>
              </w:rPr>
              <w:t xml:space="preserve"> </w:t>
            </w:r>
            <w:r w:rsidR="00F925DA">
              <w:rPr>
                <w:rFonts w:ascii="Arial" w:eastAsia="Calibri" w:hAnsi="Arial" w:cs="Arial"/>
                <w:sz w:val="20"/>
                <w:szCs w:val="20"/>
              </w:rPr>
              <w:t xml:space="preserve">1. </w:t>
            </w:r>
            <w:r w:rsidR="00EF1FDF">
              <w:rPr>
                <w:rFonts w:ascii="Arial" w:eastAsia="Calibri" w:hAnsi="Arial" w:cs="Arial"/>
                <w:sz w:val="20"/>
                <w:szCs w:val="20"/>
              </w:rPr>
              <w:t>januarjem</w:t>
            </w:r>
            <w:r w:rsidR="00F925DA">
              <w:rPr>
                <w:rFonts w:ascii="Arial" w:eastAsia="Calibri" w:hAnsi="Arial" w:cs="Arial"/>
                <w:sz w:val="20"/>
                <w:szCs w:val="20"/>
              </w:rPr>
              <w:t xml:space="preserve"> 2020,</w:t>
            </w:r>
            <w:r>
              <w:rPr>
                <w:rFonts w:ascii="Arial" w:eastAsia="Calibri" w:hAnsi="Arial" w:cs="Arial"/>
                <w:sz w:val="20"/>
                <w:szCs w:val="20"/>
              </w:rPr>
              <w:t xml:space="preserve"> je bil</w:t>
            </w:r>
            <w:r w:rsidR="00F925DA">
              <w:rPr>
                <w:rFonts w:ascii="Arial" w:eastAsia="Calibri" w:hAnsi="Arial" w:cs="Arial"/>
                <w:sz w:val="20"/>
                <w:szCs w:val="20"/>
              </w:rPr>
              <w:t>a v četrti odstavek 90.</w:t>
            </w:r>
            <w:r w:rsidR="00355CD5">
              <w:rPr>
                <w:rFonts w:ascii="Arial" w:eastAsia="Calibri" w:hAnsi="Arial" w:cs="Arial"/>
                <w:sz w:val="20"/>
                <w:szCs w:val="20"/>
              </w:rPr>
              <w:t> </w:t>
            </w:r>
            <w:r w:rsidR="00F925DA">
              <w:rPr>
                <w:rFonts w:ascii="Arial" w:eastAsia="Calibri" w:hAnsi="Arial" w:cs="Arial"/>
                <w:sz w:val="20"/>
                <w:szCs w:val="20"/>
              </w:rPr>
              <w:t xml:space="preserve">člena ZDoh-2 dodana nova, 6. točka, s katero se je ponovno določilo, da se kot dividende obdavčuje tudi </w:t>
            </w:r>
            <w:r w:rsidR="00F925DA" w:rsidRPr="00F925DA">
              <w:rPr>
                <w:rFonts w:ascii="Arial" w:eastAsia="Calibri" w:hAnsi="Arial" w:cs="Arial"/>
                <w:sz w:val="20"/>
                <w:szCs w:val="20"/>
              </w:rPr>
              <w:t>izplačan</w:t>
            </w:r>
            <w:r w:rsidR="00F925DA">
              <w:rPr>
                <w:rFonts w:ascii="Arial" w:eastAsia="Calibri" w:hAnsi="Arial" w:cs="Arial"/>
                <w:sz w:val="20"/>
                <w:szCs w:val="20"/>
              </w:rPr>
              <w:t>a</w:t>
            </w:r>
            <w:r w:rsidR="00F925DA" w:rsidRPr="00F925DA">
              <w:rPr>
                <w:rFonts w:ascii="Arial" w:eastAsia="Calibri" w:hAnsi="Arial" w:cs="Arial"/>
                <w:sz w:val="20"/>
                <w:szCs w:val="20"/>
              </w:rPr>
              <w:t xml:space="preserve"> vrednost delnic ali deležev v primeru odsvojitve delnic ali deležev v okviru pridobivanja lastnih delnic oziroma deležev družbe, razen  ko družba pridobiva lastne delnice na organiziranem trgu. </w:t>
            </w:r>
            <w:r w:rsidR="00F925DA">
              <w:rPr>
                <w:rFonts w:ascii="Arial" w:eastAsia="Calibri" w:hAnsi="Arial" w:cs="Arial"/>
                <w:sz w:val="20"/>
                <w:szCs w:val="20"/>
              </w:rPr>
              <w:t xml:space="preserve">Določeno je bilo, da lahko </w:t>
            </w:r>
            <w:r w:rsidR="00F925DA" w:rsidRPr="00F925DA">
              <w:rPr>
                <w:rFonts w:ascii="Arial" w:eastAsia="Calibri" w:hAnsi="Arial" w:cs="Arial"/>
                <w:sz w:val="20"/>
                <w:szCs w:val="20"/>
              </w:rPr>
              <w:t xml:space="preserve">v skladu z zakonom, ki ureja davčni postopek, </w:t>
            </w:r>
            <w:r w:rsidR="00F925DA">
              <w:rPr>
                <w:rFonts w:ascii="Arial" w:eastAsia="Calibri" w:hAnsi="Arial" w:cs="Arial"/>
                <w:sz w:val="20"/>
                <w:szCs w:val="20"/>
              </w:rPr>
              <w:t>d</w:t>
            </w:r>
            <w:r w:rsidR="00F925DA" w:rsidRPr="00F925DA">
              <w:rPr>
                <w:rFonts w:ascii="Arial" w:eastAsia="Calibri" w:hAnsi="Arial" w:cs="Arial"/>
                <w:sz w:val="20"/>
                <w:szCs w:val="20"/>
              </w:rPr>
              <w:t>avčni zavezanec uveljavlja zmanjšanje izplačane vrednosti za nabavno vrednost odsvojenih delnic ali deležev, ki se določi v skladu z 98.</w:t>
            </w:r>
            <w:r w:rsidR="00355CD5">
              <w:rPr>
                <w:rFonts w:ascii="Arial" w:eastAsia="Calibri" w:hAnsi="Arial" w:cs="Arial"/>
                <w:sz w:val="20"/>
                <w:szCs w:val="20"/>
              </w:rPr>
              <w:t> </w:t>
            </w:r>
            <w:r w:rsidR="00F925DA" w:rsidRPr="00F925DA">
              <w:rPr>
                <w:rFonts w:ascii="Arial" w:eastAsia="Calibri" w:hAnsi="Arial" w:cs="Arial"/>
                <w:sz w:val="20"/>
                <w:szCs w:val="20"/>
              </w:rPr>
              <w:t>členom</w:t>
            </w:r>
            <w:r w:rsidR="00F925DA">
              <w:rPr>
                <w:rFonts w:ascii="Arial" w:eastAsia="Calibri" w:hAnsi="Arial" w:cs="Arial"/>
                <w:sz w:val="20"/>
                <w:szCs w:val="20"/>
              </w:rPr>
              <w:t xml:space="preserve"> (vrednost kapitala ob pridobitvi)</w:t>
            </w:r>
            <w:r w:rsidR="00F925DA" w:rsidRPr="00F925DA">
              <w:rPr>
                <w:rFonts w:ascii="Arial" w:eastAsia="Calibri" w:hAnsi="Arial" w:cs="Arial"/>
                <w:sz w:val="20"/>
                <w:szCs w:val="20"/>
              </w:rPr>
              <w:t xml:space="preserve"> </w:t>
            </w:r>
            <w:r w:rsidR="00F925DA">
              <w:rPr>
                <w:rFonts w:ascii="Arial" w:eastAsia="Calibri" w:hAnsi="Arial" w:cs="Arial"/>
                <w:sz w:val="20"/>
                <w:szCs w:val="20"/>
              </w:rPr>
              <w:t>ZDoh-2</w:t>
            </w:r>
            <w:r w:rsidR="00F925DA" w:rsidRPr="00F925DA">
              <w:rPr>
                <w:rFonts w:ascii="Arial" w:eastAsia="Calibri" w:hAnsi="Arial" w:cs="Arial"/>
                <w:sz w:val="20"/>
                <w:szCs w:val="20"/>
              </w:rPr>
              <w:t xml:space="preserve">. </w:t>
            </w:r>
            <w:r w:rsidR="00F925DA">
              <w:rPr>
                <w:rFonts w:ascii="Arial" w:eastAsia="Calibri" w:hAnsi="Arial" w:cs="Arial"/>
                <w:sz w:val="20"/>
                <w:szCs w:val="20"/>
              </w:rPr>
              <w:t>Prav tako je bilo določeno, da se v primeru, č</w:t>
            </w:r>
            <w:r w:rsidR="00F925DA" w:rsidRPr="00F925DA">
              <w:rPr>
                <w:rFonts w:ascii="Arial" w:eastAsia="Calibri" w:hAnsi="Arial" w:cs="Arial"/>
                <w:sz w:val="20"/>
                <w:szCs w:val="20"/>
              </w:rPr>
              <w:t>e je davčni zavezanec delnice ali deleže družbe pridobival na različne datume, šteje, da je odsvojil zadnje pridobljene delnice ali deleže</w:t>
            </w:r>
            <w:r w:rsidR="00F925DA">
              <w:rPr>
                <w:rFonts w:ascii="Arial" w:eastAsia="Calibri" w:hAnsi="Arial" w:cs="Arial"/>
                <w:sz w:val="20"/>
                <w:szCs w:val="20"/>
              </w:rPr>
              <w:t>, ter da o</w:t>
            </w:r>
            <w:r w:rsidR="00F925DA" w:rsidRPr="00F925DA">
              <w:rPr>
                <w:rFonts w:ascii="Arial" w:eastAsia="Calibri" w:hAnsi="Arial" w:cs="Arial"/>
                <w:sz w:val="20"/>
                <w:szCs w:val="20"/>
              </w:rPr>
              <w:t xml:space="preserve">dsvojitev delnic ali deležev po </w:t>
            </w:r>
            <w:r w:rsidR="00F925DA">
              <w:rPr>
                <w:rFonts w:ascii="Arial" w:eastAsia="Calibri" w:hAnsi="Arial" w:cs="Arial"/>
                <w:sz w:val="20"/>
                <w:szCs w:val="20"/>
              </w:rPr>
              <w:t>6.</w:t>
            </w:r>
            <w:r w:rsidR="00F925DA" w:rsidRPr="00F925DA">
              <w:rPr>
                <w:rFonts w:ascii="Arial" w:eastAsia="Calibri" w:hAnsi="Arial" w:cs="Arial"/>
                <w:sz w:val="20"/>
                <w:szCs w:val="20"/>
              </w:rPr>
              <w:t xml:space="preserve"> točki ne šteje za odsvojitev kapitala po poglavju</w:t>
            </w:r>
            <w:r w:rsidR="006E5ED2">
              <w:rPr>
                <w:rFonts w:ascii="Arial" w:eastAsia="Calibri" w:hAnsi="Arial" w:cs="Arial"/>
                <w:sz w:val="20"/>
                <w:szCs w:val="20"/>
              </w:rPr>
              <w:t> </w:t>
            </w:r>
            <w:r w:rsidR="00F925DA" w:rsidRPr="00F925DA">
              <w:rPr>
                <w:rFonts w:ascii="Arial" w:eastAsia="Calibri" w:hAnsi="Arial" w:cs="Arial"/>
                <w:sz w:val="20"/>
                <w:szCs w:val="20"/>
              </w:rPr>
              <w:t xml:space="preserve">III.6.3. </w:t>
            </w:r>
            <w:r w:rsidR="00F925DA">
              <w:rPr>
                <w:rFonts w:ascii="Arial" w:eastAsia="Calibri" w:hAnsi="Arial" w:cs="Arial"/>
                <w:sz w:val="20"/>
                <w:szCs w:val="20"/>
              </w:rPr>
              <w:t>ZDoh-2 (Dobiček iz kapitala)</w:t>
            </w:r>
            <w:r w:rsidR="00F925DA" w:rsidRPr="00F925DA">
              <w:rPr>
                <w:rFonts w:ascii="Arial" w:eastAsia="Calibri" w:hAnsi="Arial" w:cs="Arial"/>
                <w:sz w:val="20"/>
                <w:szCs w:val="20"/>
              </w:rPr>
              <w:t>.</w:t>
            </w:r>
            <w:r w:rsidR="00F925DA">
              <w:rPr>
                <w:rFonts w:ascii="Arial" w:eastAsia="Calibri" w:hAnsi="Arial" w:cs="Arial"/>
                <w:sz w:val="20"/>
                <w:szCs w:val="20"/>
              </w:rPr>
              <w:t xml:space="preserve"> </w:t>
            </w:r>
          </w:p>
          <w:p w14:paraId="545757BB" w14:textId="056729CB" w:rsidR="002A6C15" w:rsidRDefault="002A6C15" w:rsidP="002A6C15">
            <w:pPr>
              <w:spacing w:after="0" w:line="276" w:lineRule="auto"/>
              <w:contextualSpacing/>
              <w:jc w:val="both"/>
              <w:rPr>
                <w:rFonts w:ascii="Arial" w:eastAsia="Calibri" w:hAnsi="Arial" w:cs="Arial"/>
                <w:sz w:val="20"/>
                <w:szCs w:val="20"/>
              </w:rPr>
            </w:pPr>
          </w:p>
          <w:p w14:paraId="32FD8F69" w14:textId="055DCF13" w:rsidR="002A6C15" w:rsidRDefault="002A6C15" w:rsidP="002A6C15">
            <w:pPr>
              <w:spacing w:after="0" w:line="276" w:lineRule="auto"/>
              <w:contextualSpacing/>
              <w:jc w:val="both"/>
              <w:rPr>
                <w:rFonts w:ascii="Arial" w:eastAsia="Calibri" w:hAnsi="Arial" w:cs="Arial"/>
                <w:sz w:val="20"/>
                <w:szCs w:val="20"/>
              </w:rPr>
            </w:pPr>
            <w:r>
              <w:rPr>
                <w:rFonts w:ascii="Arial" w:eastAsia="Calibri" w:hAnsi="Arial" w:cs="Arial"/>
                <w:sz w:val="20"/>
                <w:szCs w:val="20"/>
              </w:rPr>
              <w:t>Vključitev 6. točke v četrti odstavek 90.</w:t>
            </w:r>
            <w:r w:rsidR="006E5ED2">
              <w:rPr>
                <w:rFonts w:ascii="Arial" w:eastAsia="Calibri" w:hAnsi="Arial" w:cs="Arial"/>
                <w:sz w:val="20"/>
                <w:szCs w:val="20"/>
              </w:rPr>
              <w:t> </w:t>
            </w:r>
            <w:r>
              <w:rPr>
                <w:rFonts w:ascii="Arial" w:eastAsia="Calibri" w:hAnsi="Arial" w:cs="Arial"/>
                <w:sz w:val="20"/>
                <w:szCs w:val="20"/>
              </w:rPr>
              <w:t xml:space="preserve">člena ZDoh-2 je bila predlagana na podlagi ugotovitev v praksi, da so se </w:t>
            </w:r>
            <w:r w:rsidRPr="002A6C15">
              <w:rPr>
                <w:rFonts w:ascii="Arial" w:eastAsia="Calibri" w:hAnsi="Arial" w:cs="Arial"/>
                <w:sz w:val="20"/>
                <w:szCs w:val="20"/>
              </w:rPr>
              <w:t xml:space="preserve">družbeniki </w:t>
            </w:r>
            <w:r w:rsidR="00EF1FDF">
              <w:rPr>
                <w:rFonts w:ascii="Arial" w:eastAsia="Calibri" w:hAnsi="Arial" w:cs="Arial"/>
                <w:sz w:val="20"/>
                <w:szCs w:val="20"/>
              </w:rPr>
              <w:t xml:space="preserve">družb z omejeno odgovornostjo (v nadaljnjem besedilu: </w:t>
            </w:r>
            <w:proofErr w:type="spellStart"/>
            <w:r w:rsidR="00EF1FDF">
              <w:rPr>
                <w:rFonts w:ascii="Arial" w:eastAsia="Calibri" w:hAnsi="Arial" w:cs="Arial"/>
                <w:sz w:val="20"/>
                <w:szCs w:val="20"/>
              </w:rPr>
              <w:t>d.o.o</w:t>
            </w:r>
            <w:proofErr w:type="spellEnd"/>
            <w:r w:rsidR="00EF1FDF">
              <w:rPr>
                <w:rFonts w:ascii="Arial" w:eastAsia="Calibri" w:hAnsi="Arial" w:cs="Arial"/>
                <w:sz w:val="20"/>
                <w:szCs w:val="20"/>
              </w:rPr>
              <w:t>.)</w:t>
            </w:r>
            <w:r w:rsidRPr="002A6C15">
              <w:rPr>
                <w:rFonts w:ascii="Arial" w:eastAsia="Calibri" w:hAnsi="Arial" w:cs="Arial"/>
                <w:sz w:val="20"/>
                <w:szCs w:val="20"/>
              </w:rPr>
              <w:t xml:space="preserve"> (največkrat so</w:t>
            </w:r>
            <w:r>
              <w:rPr>
                <w:rFonts w:ascii="Arial" w:eastAsia="Calibri" w:hAnsi="Arial" w:cs="Arial"/>
                <w:sz w:val="20"/>
                <w:szCs w:val="20"/>
              </w:rPr>
              <w:t xml:space="preserve"> bili</w:t>
            </w:r>
            <w:r w:rsidRPr="002A6C15">
              <w:rPr>
                <w:rFonts w:ascii="Arial" w:eastAsia="Calibri" w:hAnsi="Arial" w:cs="Arial"/>
                <w:sz w:val="20"/>
                <w:szCs w:val="20"/>
              </w:rPr>
              <w:t xml:space="preserve"> to eno</w:t>
            </w:r>
            <w:r w:rsidR="00EF1FDF">
              <w:rPr>
                <w:rFonts w:ascii="Arial" w:eastAsia="Calibri" w:hAnsi="Arial" w:cs="Arial"/>
                <w:sz w:val="20"/>
                <w:szCs w:val="20"/>
              </w:rPr>
              <w:t>o</w:t>
            </w:r>
            <w:r w:rsidRPr="002A6C15">
              <w:rPr>
                <w:rFonts w:ascii="Arial" w:eastAsia="Calibri" w:hAnsi="Arial" w:cs="Arial"/>
                <w:sz w:val="20"/>
                <w:szCs w:val="20"/>
              </w:rPr>
              <w:t>s</w:t>
            </w:r>
            <w:r w:rsidR="00EF1FDF">
              <w:rPr>
                <w:rFonts w:ascii="Arial" w:eastAsia="Calibri" w:hAnsi="Arial" w:cs="Arial"/>
                <w:sz w:val="20"/>
                <w:szCs w:val="20"/>
              </w:rPr>
              <w:t>e</w:t>
            </w:r>
            <w:r w:rsidRPr="002A6C15">
              <w:rPr>
                <w:rFonts w:ascii="Arial" w:eastAsia="Calibri" w:hAnsi="Arial" w:cs="Arial"/>
                <w:sz w:val="20"/>
                <w:szCs w:val="20"/>
              </w:rPr>
              <w:t xml:space="preserve">bni </w:t>
            </w:r>
            <w:proofErr w:type="spellStart"/>
            <w:r w:rsidRPr="002A6C15">
              <w:rPr>
                <w:rFonts w:ascii="Arial" w:eastAsia="Calibri" w:hAnsi="Arial" w:cs="Arial"/>
                <w:sz w:val="20"/>
                <w:szCs w:val="20"/>
              </w:rPr>
              <w:t>d.o.o</w:t>
            </w:r>
            <w:proofErr w:type="spellEnd"/>
            <w:r w:rsidRPr="002A6C15">
              <w:rPr>
                <w:rFonts w:ascii="Arial" w:eastAsia="Calibri" w:hAnsi="Arial" w:cs="Arial"/>
                <w:sz w:val="20"/>
                <w:szCs w:val="20"/>
              </w:rPr>
              <w:t>.-ji z osnovnim kapitalom 7.500</w:t>
            </w:r>
            <w:r w:rsidR="006E5ED2">
              <w:rPr>
                <w:rFonts w:ascii="Arial" w:eastAsia="Calibri" w:hAnsi="Arial" w:cs="Arial"/>
                <w:sz w:val="20"/>
                <w:szCs w:val="20"/>
              </w:rPr>
              <w:t> </w:t>
            </w:r>
            <w:r w:rsidRPr="002A6C15">
              <w:rPr>
                <w:rFonts w:ascii="Arial" w:eastAsia="Calibri" w:hAnsi="Arial" w:cs="Arial"/>
                <w:sz w:val="20"/>
                <w:szCs w:val="20"/>
              </w:rPr>
              <w:t>EUR) odloč</w:t>
            </w:r>
            <w:r>
              <w:rPr>
                <w:rFonts w:ascii="Arial" w:eastAsia="Calibri" w:hAnsi="Arial" w:cs="Arial"/>
                <w:sz w:val="20"/>
                <w:szCs w:val="20"/>
              </w:rPr>
              <w:t>ali</w:t>
            </w:r>
            <w:r w:rsidRPr="002A6C15">
              <w:rPr>
                <w:rFonts w:ascii="Arial" w:eastAsia="Calibri" w:hAnsi="Arial" w:cs="Arial"/>
                <w:sz w:val="20"/>
                <w:szCs w:val="20"/>
              </w:rPr>
              <w:t>, da en del svojega deleža proda</w:t>
            </w:r>
            <w:r>
              <w:rPr>
                <w:rFonts w:ascii="Arial" w:eastAsia="Calibri" w:hAnsi="Arial" w:cs="Arial"/>
                <w:sz w:val="20"/>
                <w:szCs w:val="20"/>
              </w:rPr>
              <w:t>jo</w:t>
            </w:r>
            <w:r w:rsidRPr="002A6C15">
              <w:rPr>
                <w:rFonts w:ascii="Arial" w:eastAsia="Calibri" w:hAnsi="Arial" w:cs="Arial"/>
                <w:sz w:val="20"/>
                <w:szCs w:val="20"/>
              </w:rPr>
              <w:t xml:space="preserve"> družbi za visok znesek, ki je</w:t>
            </w:r>
            <w:r>
              <w:rPr>
                <w:rFonts w:ascii="Arial" w:eastAsia="Calibri" w:hAnsi="Arial" w:cs="Arial"/>
                <w:sz w:val="20"/>
                <w:szCs w:val="20"/>
              </w:rPr>
              <w:t xml:space="preserve"> bil</w:t>
            </w:r>
            <w:r w:rsidRPr="002A6C15">
              <w:rPr>
                <w:rFonts w:ascii="Arial" w:eastAsia="Calibri" w:hAnsi="Arial" w:cs="Arial"/>
                <w:sz w:val="20"/>
                <w:szCs w:val="20"/>
              </w:rPr>
              <w:t xml:space="preserve"> enak vrednosti prenesenih dobičkov iz preteklih let. </w:t>
            </w:r>
            <w:r w:rsidR="006E5ED2">
              <w:rPr>
                <w:rFonts w:ascii="Arial" w:eastAsia="Calibri" w:hAnsi="Arial" w:cs="Arial"/>
                <w:sz w:val="20"/>
                <w:szCs w:val="20"/>
              </w:rPr>
              <w:t>Tako</w:t>
            </w:r>
            <w:r w:rsidRPr="002A6C15">
              <w:rPr>
                <w:rFonts w:ascii="Arial" w:eastAsia="Calibri" w:hAnsi="Arial" w:cs="Arial"/>
                <w:sz w:val="20"/>
                <w:szCs w:val="20"/>
              </w:rPr>
              <w:t xml:space="preserve"> </w:t>
            </w:r>
            <w:r>
              <w:rPr>
                <w:rFonts w:ascii="Arial" w:eastAsia="Calibri" w:hAnsi="Arial" w:cs="Arial"/>
                <w:sz w:val="20"/>
                <w:szCs w:val="20"/>
              </w:rPr>
              <w:t>so se izognili</w:t>
            </w:r>
            <w:r w:rsidRPr="002A6C15">
              <w:rPr>
                <w:rFonts w:ascii="Arial" w:eastAsia="Calibri" w:hAnsi="Arial" w:cs="Arial"/>
                <w:sz w:val="20"/>
                <w:szCs w:val="20"/>
              </w:rPr>
              <w:t xml:space="preserve"> obdavčitvi dividend (prenesenih dobičkov) po stopnji 25</w:t>
            </w:r>
            <w:r w:rsidR="00E8652C">
              <w:rPr>
                <w:rFonts w:ascii="Arial" w:eastAsia="Calibri" w:hAnsi="Arial" w:cs="Arial"/>
                <w:sz w:val="20"/>
                <w:szCs w:val="20"/>
              </w:rPr>
              <w:t xml:space="preserve"> </w:t>
            </w:r>
            <w:r w:rsidRPr="002A6C15">
              <w:rPr>
                <w:rFonts w:ascii="Arial" w:eastAsia="Calibri" w:hAnsi="Arial" w:cs="Arial"/>
                <w:sz w:val="20"/>
                <w:szCs w:val="20"/>
              </w:rPr>
              <w:t xml:space="preserve">%, saj se </w:t>
            </w:r>
            <w:r>
              <w:rPr>
                <w:rFonts w:ascii="Arial" w:eastAsia="Calibri" w:hAnsi="Arial" w:cs="Arial"/>
                <w:sz w:val="20"/>
                <w:szCs w:val="20"/>
              </w:rPr>
              <w:t xml:space="preserve">je </w:t>
            </w:r>
            <w:r w:rsidRPr="002A6C15">
              <w:rPr>
                <w:rFonts w:ascii="Arial" w:eastAsia="Calibri" w:hAnsi="Arial" w:cs="Arial"/>
                <w:sz w:val="20"/>
                <w:szCs w:val="20"/>
              </w:rPr>
              <w:t>tovrstna odsvojitev deleža z vidika družbenika davčno obravnava</w:t>
            </w:r>
            <w:r>
              <w:rPr>
                <w:rFonts w:ascii="Arial" w:eastAsia="Calibri" w:hAnsi="Arial" w:cs="Arial"/>
                <w:sz w:val="20"/>
                <w:szCs w:val="20"/>
              </w:rPr>
              <w:t>la</w:t>
            </w:r>
            <w:r w:rsidRPr="002A6C15">
              <w:rPr>
                <w:rFonts w:ascii="Arial" w:eastAsia="Calibri" w:hAnsi="Arial" w:cs="Arial"/>
                <w:sz w:val="20"/>
                <w:szCs w:val="20"/>
              </w:rPr>
              <w:t xml:space="preserve"> kot odsvojitev kapitala, pri kateri se </w:t>
            </w:r>
            <w:r>
              <w:rPr>
                <w:rFonts w:ascii="Arial" w:eastAsia="Calibri" w:hAnsi="Arial" w:cs="Arial"/>
                <w:sz w:val="20"/>
                <w:szCs w:val="20"/>
              </w:rPr>
              <w:t>je u</w:t>
            </w:r>
            <w:r w:rsidRPr="002A6C15">
              <w:rPr>
                <w:rFonts w:ascii="Arial" w:eastAsia="Calibri" w:hAnsi="Arial" w:cs="Arial"/>
                <w:sz w:val="20"/>
                <w:szCs w:val="20"/>
              </w:rPr>
              <w:t>gotavlja</w:t>
            </w:r>
            <w:r>
              <w:rPr>
                <w:rFonts w:ascii="Arial" w:eastAsia="Calibri" w:hAnsi="Arial" w:cs="Arial"/>
                <w:sz w:val="20"/>
                <w:szCs w:val="20"/>
              </w:rPr>
              <w:t>l</w:t>
            </w:r>
            <w:r w:rsidRPr="002A6C15">
              <w:rPr>
                <w:rFonts w:ascii="Arial" w:eastAsia="Calibri" w:hAnsi="Arial" w:cs="Arial"/>
                <w:sz w:val="20"/>
                <w:szCs w:val="20"/>
              </w:rPr>
              <w:t xml:space="preserve"> doseženi dobiček iz kapitala, ki se </w:t>
            </w:r>
            <w:r>
              <w:rPr>
                <w:rFonts w:ascii="Arial" w:eastAsia="Calibri" w:hAnsi="Arial" w:cs="Arial"/>
                <w:sz w:val="20"/>
                <w:szCs w:val="20"/>
              </w:rPr>
              <w:t xml:space="preserve">je </w:t>
            </w:r>
            <w:r w:rsidRPr="002A6C15">
              <w:rPr>
                <w:rFonts w:ascii="Arial" w:eastAsia="Calibri" w:hAnsi="Arial" w:cs="Arial"/>
                <w:sz w:val="20"/>
                <w:szCs w:val="20"/>
              </w:rPr>
              <w:lastRenderedPageBreak/>
              <w:t>davčno bistveno ugodneje obravnava</w:t>
            </w:r>
            <w:r>
              <w:rPr>
                <w:rFonts w:ascii="Arial" w:eastAsia="Calibri" w:hAnsi="Arial" w:cs="Arial"/>
                <w:sz w:val="20"/>
                <w:szCs w:val="20"/>
              </w:rPr>
              <w:t>l</w:t>
            </w:r>
            <w:r w:rsidRPr="002A6C15">
              <w:rPr>
                <w:rFonts w:ascii="Arial" w:eastAsia="Calibri" w:hAnsi="Arial" w:cs="Arial"/>
                <w:sz w:val="20"/>
                <w:szCs w:val="20"/>
              </w:rPr>
              <w:t xml:space="preserve"> kot dividende. Pri obdavčitvi dobička iz kapitala je </w:t>
            </w:r>
            <w:r>
              <w:rPr>
                <w:rFonts w:ascii="Arial" w:eastAsia="Calibri" w:hAnsi="Arial" w:cs="Arial"/>
                <w:sz w:val="20"/>
                <w:szCs w:val="20"/>
              </w:rPr>
              <w:t xml:space="preserve">bila </w:t>
            </w:r>
            <w:r w:rsidRPr="002A6C15">
              <w:rPr>
                <w:rFonts w:ascii="Arial" w:eastAsia="Calibri" w:hAnsi="Arial" w:cs="Arial"/>
                <w:sz w:val="20"/>
                <w:szCs w:val="20"/>
              </w:rPr>
              <w:t>skladno s prvim odstavkom 97.</w:t>
            </w:r>
            <w:r w:rsidR="006E5ED2">
              <w:rPr>
                <w:rFonts w:ascii="Arial" w:eastAsia="Calibri" w:hAnsi="Arial" w:cs="Arial"/>
                <w:sz w:val="20"/>
                <w:szCs w:val="20"/>
              </w:rPr>
              <w:t> </w:t>
            </w:r>
            <w:r w:rsidRPr="002A6C15">
              <w:rPr>
                <w:rFonts w:ascii="Arial" w:eastAsia="Calibri" w:hAnsi="Arial" w:cs="Arial"/>
                <w:sz w:val="20"/>
                <w:szCs w:val="20"/>
              </w:rPr>
              <w:t>člena ZDoh-2 davčna osnova razlika med vrednostjo kapitala ob odsvojitvi in vrednostjo kapitala ob pridobitvi, pri čemer se</w:t>
            </w:r>
            <w:r>
              <w:rPr>
                <w:rFonts w:ascii="Arial" w:eastAsia="Calibri" w:hAnsi="Arial" w:cs="Arial"/>
                <w:sz w:val="20"/>
                <w:szCs w:val="20"/>
              </w:rPr>
              <w:t xml:space="preserve"> je</w:t>
            </w:r>
            <w:r w:rsidRPr="002A6C15">
              <w:rPr>
                <w:rFonts w:ascii="Arial" w:eastAsia="Calibri" w:hAnsi="Arial" w:cs="Arial"/>
                <w:sz w:val="20"/>
                <w:szCs w:val="20"/>
              </w:rPr>
              <w:t xml:space="preserve"> stopnja davka zniž</w:t>
            </w:r>
            <w:r>
              <w:rPr>
                <w:rFonts w:ascii="Arial" w:eastAsia="Calibri" w:hAnsi="Arial" w:cs="Arial"/>
                <w:sz w:val="20"/>
                <w:szCs w:val="20"/>
              </w:rPr>
              <w:t>evala</w:t>
            </w:r>
            <w:r w:rsidRPr="002A6C15">
              <w:rPr>
                <w:rFonts w:ascii="Arial" w:eastAsia="Calibri" w:hAnsi="Arial" w:cs="Arial"/>
                <w:sz w:val="20"/>
                <w:szCs w:val="20"/>
              </w:rPr>
              <w:t xml:space="preserve"> vsakih pet let </w:t>
            </w:r>
            <w:proofErr w:type="spellStart"/>
            <w:r w:rsidRPr="002A6C15">
              <w:rPr>
                <w:rFonts w:ascii="Arial" w:eastAsia="Calibri" w:hAnsi="Arial" w:cs="Arial"/>
                <w:sz w:val="20"/>
                <w:szCs w:val="20"/>
              </w:rPr>
              <w:t>imetništva</w:t>
            </w:r>
            <w:proofErr w:type="spellEnd"/>
            <w:r w:rsidRPr="002A6C15">
              <w:rPr>
                <w:rFonts w:ascii="Arial" w:eastAsia="Calibri" w:hAnsi="Arial" w:cs="Arial"/>
                <w:sz w:val="20"/>
                <w:szCs w:val="20"/>
              </w:rPr>
              <w:t xml:space="preserve"> kapitala (od 25</w:t>
            </w:r>
            <w:r w:rsidR="006E5ED2">
              <w:rPr>
                <w:rFonts w:ascii="Arial" w:eastAsia="Calibri" w:hAnsi="Arial" w:cs="Arial"/>
                <w:sz w:val="20"/>
                <w:szCs w:val="20"/>
              </w:rPr>
              <w:t> </w:t>
            </w:r>
            <w:r w:rsidRPr="002A6C15">
              <w:rPr>
                <w:rFonts w:ascii="Arial" w:eastAsia="Calibri" w:hAnsi="Arial" w:cs="Arial"/>
                <w:sz w:val="20"/>
                <w:szCs w:val="20"/>
              </w:rPr>
              <w:t>% do 0</w:t>
            </w:r>
            <w:r w:rsidR="006E5ED2">
              <w:rPr>
                <w:rFonts w:ascii="Arial" w:eastAsia="Calibri" w:hAnsi="Arial" w:cs="Arial"/>
                <w:sz w:val="20"/>
                <w:szCs w:val="20"/>
              </w:rPr>
              <w:t> </w:t>
            </w:r>
            <w:r w:rsidRPr="002A6C15">
              <w:rPr>
                <w:rFonts w:ascii="Arial" w:eastAsia="Calibri" w:hAnsi="Arial" w:cs="Arial"/>
                <w:sz w:val="20"/>
                <w:szCs w:val="20"/>
              </w:rPr>
              <w:t xml:space="preserve">%). Prav tako je Finančna uprava Republike Slovenije v nadzorih ugotovila, da so </w:t>
            </w:r>
            <w:r>
              <w:rPr>
                <w:rFonts w:ascii="Arial" w:eastAsia="Calibri" w:hAnsi="Arial" w:cs="Arial"/>
                <w:sz w:val="20"/>
                <w:szCs w:val="20"/>
              </w:rPr>
              <w:t xml:space="preserve">bile </w:t>
            </w:r>
            <w:r w:rsidRPr="002A6C15">
              <w:rPr>
                <w:rFonts w:ascii="Arial" w:eastAsia="Calibri" w:hAnsi="Arial" w:cs="Arial"/>
                <w:sz w:val="20"/>
                <w:szCs w:val="20"/>
              </w:rPr>
              <w:t>navedene transakcije pogosto v nasprotju z namenom zakona, saj odkup poslovnega deleža od družbenika ni</w:t>
            </w:r>
            <w:r>
              <w:rPr>
                <w:rFonts w:ascii="Arial" w:eastAsia="Calibri" w:hAnsi="Arial" w:cs="Arial"/>
                <w:sz w:val="20"/>
                <w:szCs w:val="20"/>
              </w:rPr>
              <w:t xml:space="preserve"> imel</w:t>
            </w:r>
            <w:r w:rsidRPr="002A6C15">
              <w:rPr>
                <w:rFonts w:ascii="Arial" w:eastAsia="Calibri" w:hAnsi="Arial" w:cs="Arial"/>
                <w:sz w:val="20"/>
                <w:szCs w:val="20"/>
              </w:rPr>
              <w:t xml:space="preserve"> ekonomske vsebine in n</w:t>
            </w:r>
            <w:r>
              <w:rPr>
                <w:rFonts w:ascii="Arial" w:eastAsia="Calibri" w:hAnsi="Arial" w:cs="Arial"/>
                <w:sz w:val="20"/>
                <w:szCs w:val="20"/>
              </w:rPr>
              <w:t>i</w:t>
            </w:r>
            <w:r w:rsidRPr="002A6C15">
              <w:rPr>
                <w:rFonts w:ascii="Arial" w:eastAsia="Calibri" w:hAnsi="Arial" w:cs="Arial"/>
                <w:sz w:val="20"/>
                <w:szCs w:val="20"/>
              </w:rPr>
              <w:t xml:space="preserve"> izkaz</w:t>
            </w:r>
            <w:r>
              <w:rPr>
                <w:rFonts w:ascii="Arial" w:eastAsia="Calibri" w:hAnsi="Arial" w:cs="Arial"/>
                <w:sz w:val="20"/>
                <w:szCs w:val="20"/>
              </w:rPr>
              <w:t>oval</w:t>
            </w:r>
            <w:r w:rsidRPr="002A6C15">
              <w:rPr>
                <w:rFonts w:ascii="Arial" w:eastAsia="Calibri" w:hAnsi="Arial" w:cs="Arial"/>
                <w:sz w:val="20"/>
                <w:szCs w:val="20"/>
              </w:rPr>
              <w:t xml:space="preserve"> poslovnega interesa, kar </w:t>
            </w:r>
            <w:r>
              <w:rPr>
                <w:rFonts w:ascii="Arial" w:eastAsia="Calibri" w:hAnsi="Arial" w:cs="Arial"/>
                <w:sz w:val="20"/>
                <w:szCs w:val="20"/>
              </w:rPr>
              <w:t xml:space="preserve">je </w:t>
            </w:r>
            <w:r w:rsidRPr="002A6C15">
              <w:rPr>
                <w:rFonts w:ascii="Arial" w:eastAsia="Calibri" w:hAnsi="Arial" w:cs="Arial"/>
                <w:sz w:val="20"/>
                <w:szCs w:val="20"/>
              </w:rPr>
              <w:t>nakaz</w:t>
            </w:r>
            <w:r>
              <w:rPr>
                <w:rFonts w:ascii="Arial" w:eastAsia="Calibri" w:hAnsi="Arial" w:cs="Arial"/>
                <w:sz w:val="20"/>
                <w:szCs w:val="20"/>
              </w:rPr>
              <w:t>ovalo</w:t>
            </w:r>
            <w:r w:rsidRPr="002A6C15">
              <w:rPr>
                <w:rFonts w:ascii="Arial" w:eastAsia="Calibri" w:hAnsi="Arial" w:cs="Arial"/>
                <w:sz w:val="20"/>
                <w:szCs w:val="20"/>
              </w:rPr>
              <w:t xml:space="preserve"> na edini glavni motiv: prihranek pri davku oziroma davčno izogibanje. Po opravljeni analizi je bilo ugotovljeno, da </w:t>
            </w:r>
            <w:r>
              <w:rPr>
                <w:rFonts w:ascii="Arial" w:eastAsia="Calibri" w:hAnsi="Arial" w:cs="Arial"/>
                <w:sz w:val="20"/>
                <w:szCs w:val="20"/>
              </w:rPr>
              <w:t xml:space="preserve">je </w:t>
            </w:r>
            <w:r w:rsidR="0083492E">
              <w:rPr>
                <w:rFonts w:ascii="Arial" w:eastAsia="Calibri" w:hAnsi="Arial" w:cs="Arial"/>
                <w:sz w:val="20"/>
                <w:szCs w:val="20"/>
              </w:rPr>
              <w:t>š</w:t>
            </w:r>
            <w:r>
              <w:rPr>
                <w:rFonts w:ascii="Arial" w:eastAsia="Calibri" w:hAnsi="Arial" w:cs="Arial"/>
                <w:sz w:val="20"/>
                <w:szCs w:val="20"/>
              </w:rPr>
              <w:t>lo</w:t>
            </w:r>
            <w:r w:rsidRPr="002A6C15">
              <w:rPr>
                <w:rFonts w:ascii="Arial" w:eastAsia="Calibri" w:hAnsi="Arial" w:cs="Arial"/>
                <w:sz w:val="20"/>
                <w:szCs w:val="20"/>
              </w:rPr>
              <w:t xml:space="preserve"> v številnih primerih za skrbno oblikovane davčne sheme, ki </w:t>
            </w:r>
            <w:r>
              <w:rPr>
                <w:rFonts w:ascii="Arial" w:eastAsia="Calibri" w:hAnsi="Arial" w:cs="Arial"/>
                <w:sz w:val="20"/>
                <w:szCs w:val="20"/>
              </w:rPr>
              <w:t xml:space="preserve">so </w:t>
            </w:r>
            <w:r w:rsidRPr="002A6C15">
              <w:rPr>
                <w:rFonts w:ascii="Arial" w:eastAsia="Calibri" w:hAnsi="Arial" w:cs="Arial"/>
                <w:sz w:val="20"/>
                <w:szCs w:val="20"/>
              </w:rPr>
              <w:t>zavezancem omogoča</w:t>
            </w:r>
            <w:r>
              <w:rPr>
                <w:rFonts w:ascii="Arial" w:eastAsia="Calibri" w:hAnsi="Arial" w:cs="Arial"/>
                <w:sz w:val="20"/>
                <w:szCs w:val="20"/>
              </w:rPr>
              <w:t>le</w:t>
            </w:r>
            <w:r w:rsidRPr="002A6C15">
              <w:rPr>
                <w:rFonts w:ascii="Arial" w:eastAsia="Calibri" w:hAnsi="Arial" w:cs="Arial"/>
                <w:sz w:val="20"/>
                <w:szCs w:val="20"/>
              </w:rPr>
              <w:t>, da si z izogibanjem davčni zakonodaji na davčno ugodnejši način izplačajo ustvarjene poslovne dobičke.</w:t>
            </w:r>
          </w:p>
          <w:p w14:paraId="1C755E96" w14:textId="77777777" w:rsidR="002A6C15" w:rsidRDefault="002A6C15" w:rsidP="00F925DA">
            <w:pPr>
              <w:spacing w:after="0" w:line="276" w:lineRule="auto"/>
              <w:contextualSpacing/>
              <w:jc w:val="both"/>
              <w:rPr>
                <w:rFonts w:ascii="Arial" w:eastAsia="Calibri" w:hAnsi="Arial" w:cs="Arial"/>
                <w:sz w:val="20"/>
                <w:szCs w:val="20"/>
              </w:rPr>
            </w:pPr>
          </w:p>
          <w:p w14:paraId="713544EF" w14:textId="2596D9D9" w:rsidR="00645C07" w:rsidRDefault="00F925DA" w:rsidP="00F925DA">
            <w:pPr>
              <w:spacing w:after="0" w:line="276" w:lineRule="auto"/>
              <w:contextualSpacing/>
              <w:jc w:val="both"/>
              <w:rPr>
                <w:rFonts w:ascii="Arial" w:eastAsia="Calibri" w:hAnsi="Arial" w:cs="Arial"/>
                <w:sz w:val="20"/>
                <w:szCs w:val="20"/>
              </w:rPr>
            </w:pPr>
            <w:r>
              <w:rPr>
                <w:rFonts w:ascii="Arial" w:eastAsia="Calibri" w:hAnsi="Arial" w:cs="Arial"/>
                <w:sz w:val="20"/>
                <w:szCs w:val="20"/>
              </w:rPr>
              <w:t>Z novelo ZDoh-2Z</w:t>
            </w:r>
            <w:r w:rsidR="00B960F1">
              <w:rPr>
                <w:rFonts w:ascii="Arial" w:eastAsia="Calibri" w:hAnsi="Arial" w:cs="Arial"/>
                <w:sz w:val="20"/>
                <w:szCs w:val="20"/>
              </w:rPr>
              <w:t xml:space="preserve"> </w:t>
            </w:r>
            <w:r w:rsidR="00B960F1" w:rsidRPr="00B960F1">
              <w:rPr>
                <w:rFonts w:ascii="Arial" w:eastAsia="Calibri" w:hAnsi="Arial" w:cs="Arial"/>
                <w:sz w:val="20"/>
                <w:szCs w:val="20"/>
              </w:rPr>
              <w:t xml:space="preserve">(Uradni list </w:t>
            </w:r>
            <w:r w:rsidR="005B0785">
              <w:rPr>
                <w:rFonts w:ascii="Arial" w:eastAsia="Calibri" w:hAnsi="Arial" w:cs="Arial"/>
                <w:sz w:val="20"/>
                <w:szCs w:val="20"/>
              </w:rPr>
              <w:t>RS,</w:t>
            </w:r>
            <w:r w:rsidR="00B960F1" w:rsidRPr="00B960F1">
              <w:rPr>
                <w:rFonts w:ascii="Arial" w:eastAsia="Calibri" w:hAnsi="Arial" w:cs="Arial"/>
                <w:sz w:val="20"/>
                <w:szCs w:val="20"/>
              </w:rPr>
              <w:t xml:space="preserve"> št.</w:t>
            </w:r>
            <w:r w:rsidR="006E5ED2">
              <w:rPr>
                <w:rFonts w:ascii="Arial" w:eastAsia="Calibri" w:hAnsi="Arial" w:cs="Arial"/>
                <w:sz w:val="20"/>
                <w:szCs w:val="20"/>
              </w:rPr>
              <w:t> </w:t>
            </w:r>
            <w:r w:rsidR="00B960F1" w:rsidRPr="00B960F1">
              <w:rPr>
                <w:rFonts w:ascii="Arial" w:eastAsia="Calibri" w:hAnsi="Arial" w:cs="Arial"/>
                <w:sz w:val="20"/>
                <w:szCs w:val="20"/>
              </w:rPr>
              <w:t>39/22)</w:t>
            </w:r>
            <w:r>
              <w:rPr>
                <w:rFonts w:ascii="Arial" w:eastAsia="Calibri" w:hAnsi="Arial" w:cs="Arial"/>
                <w:sz w:val="20"/>
                <w:szCs w:val="20"/>
              </w:rPr>
              <w:t xml:space="preserve">, ki se je začela uporabljati s 1. </w:t>
            </w:r>
            <w:r w:rsidR="00EF1FDF">
              <w:rPr>
                <w:rFonts w:ascii="Arial" w:eastAsia="Calibri" w:hAnsi="Arial" w:cs="Arial"/>
                <w:sz w:val="20"/>
                <w:szCs w:val="20"/>
              </w:rPr>
              <w:t>januarjem</w:t>
            </w:r>
            <w:r>
              <w:rPr>
                <w:rFonts w:ascii="Arial" w:eastAsia="Calibri" w:hAnsi="Arial" w:cs="Arial"/>
                <w:sz w:val="20"/>
                <w:szCs w:val="20"/>
              </w:rPr>
              <w:t xml:space="preserve"> 2022, je bila, kot že navedeno uvodoma, 6. točka četrtega odstavka 90.</w:t>
            </w:r>
            <w:r w:rsidR="006E5ED2">
              <w:rPr>
                <w:rFonts w:ascii="Arial" w:eastAsia="Calibri" w:hAnsi="Arial" w:cs="Arial"/>
                <w:sz w:val="20"/>
                <w:szCs w:val="20"/>
              </w:rPr>
              <w:t> </w:t>
            </w:r>
            <w:r>
              <w:rPr>
                <w:rFonts w:ascii="Arial" w:eastAsia="Calibri" w:hAnsi="Arial" w:cs="Arial"/>
                <w:sz w:val="20"/>
                <w:szCs w:val="20"/>
              </w:rPr>
              <w:t xml:space="preserve">člena ZDoh-2 črtana. </w:t>
            </w:r>
          </w:p>
          <w:p w14:paraId="297D95D5" w14:textId="77777777" w:rsidR="00645C07" w:rsidRDefault="00645C07" w:rsidP="00645C07">
            <w:pPr>
              <w:spacing w:after="0" w:line="276" w:lineRule="auto"/>
              <w:contextualSpacing/>
              <w:jc w:val="both"/>
              <w:rPr>
                <w:rFonts w:ascii="Arial" w:eastAsia="Calibri" w:hAnsi="Arial" w:cs="Arial"/>
                <w:sz w:val="20"/>
                <w:szCs w:val="20"/>
              </w:rPr>
            </w:pPr>
          </w:p>
          <w:p w14:paraId="3C5D9883" w14:textId="20D4AFF8" w:rsidR="006E09FD" w:rsidRDefault="006E09FD" w:rsidP="006E09FD">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V zvezi z navedenim je treba opozoriti </w:t>
            </w:r>
            <w:r w:rsidR="00293351">
              <w:rPr>
                <w:rFonts w:ascii="Arial" w:eastAsia="Calibri" w:hAnsi="Arial" w:cs="Arial"/>
                <w:sz w:val="20"/>
                <w:szCs w:val="20"/>
              </w:rPr>
              <w:t>tudi na odločbo</w:t>
            </w:r>
            <w:r>
              <w:rPr>
                <w:rFonts w:ascii="Arial" w:eastAsia="Calibri" w:hAnsi="Arial" w:cs="Arial"/>
                <w:sz w:val="20"/>
                <w:szCs w:val="20"/>
              </w:rPr>
              <w:t xml:space="preserve"> </w:t>
            </w:r>
            <w:r w:rsidRPr="006E09FD">
              <w:rPr>
                <w:rFonts w:ascii="Arial" w:eastAsia="Calibri" w:hAnsi="Arial" w:cs="Arial"/>
                <w:sz w:val="20"/>
                <w:szCs w:val="20"/>
              </w:rPr>
              <w:t>Vrhovn</w:t>
            </w:r>
            <w:r w:rsidR="00293351">
              <w:rPr>
                <w:rFonts w:ascii="Arial" w:eastAsia="Calibri" w:hAnsi="Arial" w:cs="Arial"/>
                <w:sz w:val="20"/>
                <w:szCs w:val="20"/>
              </w:rPr>
              <w:t>ega</w:t>
            </w:r>
            <w:r w:rsidRPr="006E09FD">
              <w:rPr>
                <w:rFonts w:ascii="Arial" w:eastAsia="Calibri" w:hAnsi="Arial" w:cs="Arial"/>
                <w:sz w:val="20"/>
                <w:szCs w:val="20"/>
              </w:rPr>
              <w:t xml:space="preserve"> sodišč</w:t>
            </w:r>
            <w:r w:rsidR="00293351">
              <w:rPr>
                <w:rFonts w:ascii="Arial" w:eastAsia="Calibri" w:hAnsi="Arial" w:cs="Arial"/>
                <w:sz w:val="20"/>
                <w:szCs w:val="20"/>
              </w:rPr>
              <w:t>a</w:t>
            </w:r>
            <w:r w:rsidRPr="006E09FD">
              <w:rPr>
                <w:rFonts w:ascii="Arial" w:eastAsia="Calibri" w:hAnsi="Arial" w:cs="Arial"/>
                <w:sz w:val="20"/>
                <w:szCs w:val="20"/>
              </w:rPr>
              <w:t xml:space="preserve"> R</w:t>
            </w:r>
            <w:r w:rsidR="00293351">
              <w:rPr>
                <w:rFonts w:ascii="Arial" w:eastAsia="Calibri" w:hAnsi="Arial" w:cs="Arial"/>
                <w:sz w:val="20"/>
                <w:szCs w:val="20"/>
              </w:rPr>
              <w:t>epublike Slovenije</w:t>
            </w:r>
            <w:r w:rsidRPr="006E09FD">
              <w:rPr>
                <w:rFonts w:ascii="Arial" w:eastAsia="Calibri" w:hAnsi="Arial" w:cs="Arial"/>
                <w:sz w:val="20"/>
                <w:szCs w:val="20"/>
              </w:rPr>
              <w:t xml:space="preserve"> št.</w:t>
            </w:r>
            <w:r w:rsidR="006E5ED2">
              <w:rPr>
                <w:rFonts w:ascii="Arial" w:eastAsia="Calibri" w:hAnsi="Arial" w:cs="Arial"/>
                <w:sz w:val="20"/>
                <w:szCs w:val="20"/>
              </w:rPr>
              <w:t> </w:t>
            </w:r>
            <w:r w:rsidRPr="006E09FD">
              <w:rPr>
                <w:rFonts w:ascii="Arial" w:eastAsia="Calibri" w:hAnsi="Arial" w:cs="Arial"/>
                <w:sz w:val="20"/>
                <w:szCs w:val="20"/>
              </w:rPr>
              <w:t xml:space="preserve">X </w:t>
            </w:r>
            <w:proofErr w:type="spellStart"/>
            <w:r w:rsidRPr="006E09FD">
              <w:rPr>
                <w:rFonts w:ascii="Arial" w:eastAsia="Calibri" w:hAnsi="Arial" w:cs="Arial"/>
                <w:sz w:val="20"/>
                <w:szCs w:val="20"/>
              </w:rPr>
              <w:t>Ips</w:t>
            </w:r>
            <w:proofErr w:type="spellEnd"/>
            <w:r w:rsidRPr="006E09FD">
              <w:rPr>
                <w:rFonts w:ascii="Arial" w:eastAsia="Calibri" w:hAnsi="Arial" w:cs="Arial"/>
                <w:sz w:val="20"/>
                <w:szCs w:val="20"/>
              </w:rPr>
              <w:t xml:space="preserve"> 61/2021, z dne 15. 12. 2021</w:t>
            </w:r>
            <w:r w:rsidR="00293351">
              <w:rPr>
                <w:rFonts w:ascii="Arial" w:eastAsia="Calibri" w:hAnsi="Arial" w:cs="Arial"/>
                <w:sz w:val="20"/>
                <w:szCs w:val="20"/>
              </w:rPr>
              <w:t xml:space="preserve">, ki se nanaša na </w:t>
            </w:r>
            <w:r w:rsidRPr="006E09FD">
              <w:rPr>
                <w:rFonts w:ascii="Arial" w:eastAsia="Calibri" w:hAnsi="Arial" w:cs="Arial"/>
                <w:sz w:val="20"/>
                <w:szCs w:val="20"/>
              </w:rPr>
              <w:t>primer odkupa lastnega poslovnega deleža</w:t>
            </w:r>
            <w:r w:rsidR="00293351">
              <w:rPr>
                <w:rFonts w:ascii="Arial" w:eastAsia="Calibri" w:hAnsi="Arial" w:cs="Arial"/>
                <w:sz w:val="20"/>
                <w:szCs w:val="20"/>
              </w:rPr>
              <w:t xml:space="preserve">. </w:t>
            </w:r>
            <w:r w:rsidRPr="006E09FD">
              <w:rPr>
                <w:rFonts w:ascii="Arial" w:eastAsia="Calibri" w:hAnsi="Arial" w:cs="Arial"/>
                <w:sz w:val="20"/>
                <w:szCs w:val="20"/>
              </w:rPr>
              <w:t>Davčni organ je v postopku davčnega nadzora znesek prejete kupnine iz naslova odkupa lastnega poslovnega deleža</w:t>
            </w:r>
            <w:r>
              <w:rPr>
                <w:rFonts w:ascii="Arial" w:eastAsia="Calibri" w:hAnsi="Arial" w:cs="Arial"/>
                <w:sz w:val="20"/>
                <w:szCs w:val="20"/>
              </w:rPr>
              <w:t xml:space="preserve"> (po pogodbi iz leta 2013)</w:t>
            </w:r>
            <w:r w:rsidRPr="006E09FD">
              <w:rPr>
                <w:rFonts w:ascii="Arial" w:eastAsia="Calibri" w:hAnsi="Arial" w:cs="Arial"/>
                <w:sz w:val="20"/>
                <w:szCs w:val="20"/>
              </w:rPr>
              <w:t xml:space="preserve"> </w:t>
            </w:r>
            <w:r w:rsidR="00293351" w:rsidRPr="006E09FD">
              <w:rPr>
                <w:rFonts w:ascii="Arial" w:eastAsia="Calibri" w:hAnsi="Arial" w:cs="Arial"/>
                <w:sz w:val="20"/>
                <w:szCs w:val="20"/>
              </w:rPr>
              <w:t xml:space="preserve">opredelil </w:t>
            </w:r>
            <w:r w:rsidRPr="006E09FD">
              <w:rPr>
                <w:rFonts w:ascii="Arial" w:eastAsia="Calibri" w:hAnsi="Arial" w:cs="Arial"/>
                <w:sz w:val="20"/>
                <w:szCs w:val="20"/>
              </w:rPr>
              <w:t>za prikrito izplačilo dobička</w:t>
            </w:r>
            <w:r w:rsidR="00293351">
              <w:rPr>
                <w:rFonts w:ascii="Arial" w:eastAsia="Calibri" w:hAnsi="Arial" w:cs="Arial"/>
                <w:sz w:val="20"/>
                <w:szCs w:val="20"/>
              </w:rPr>
              <w:t xml:space="preserve"> (</w:t>
            </w:r>
            <w:r w:rsidRPr="006E09FD">
              <w:rPr>
                <w:rFonts w:ascii="Arial" w:eastAsia="Calibri" w:hAnsi="Arial" w:cs="Arial"/>
                <w:sz w:val="20"/>
                <w:szCs w:val="20"/>
              </w:rPr>
              <w:t>dividendo</w:t>
            </w:r>
            <w:r w:rsidR="00293351">
              <w:rPr>
                <w:rFonts w:ascii="Arial" w:eastAsia="Calibri" w:hAnsi="Arial" w:cs="Arial"/>
                <w:sz w:val="20"/>
                <w:szCs w:val="20"/>
              </w:rPr>
              <w:t>)</w:t>
            </w:r>
            <w:r w:rsidRPr="006E09FD">
              <w:rPr>
                <w:rFonts w:ascii="Arial" w:eastAsia="Calibri" w:hAnsi="Arial" w:cs="Arial"/>
                <w:sz w:val="20"/>
                <w:szCs w:val="20"/>
              </w:rPr>
              <w:t>. Temu sta pritrdila tako drugostopenjski organ kot Upravno sodišče</w:t>
            </w:r>
            <w:r w:rsidR="005B0785">
              <w:rPr>
                <w:rFonts w:ascii="Arial" w:eastAsia="Calibri" w:hAnsi="Arial" w:cs="Arial"/>
                <w:sz w:val="20"/>
                <w:szCs w:val="20"/>
              </w:rPr>
              <w:t xml:space="preserve"> RS</w:t>
            </w:r>
            <w:r w:rsidRPr="006E09FD">
              <w:rPr>
                <w:rFonts w:ascii="Arial" w:eastAsia="Calibri" w:hAnsi="Arial" w:cs="Arial"/>
                <w:sz w:val="20"/>
                <w:szCs w:val="20"/>
              </w:rPr>
              <w:t xml:space="preserve">. Vrhovno sodišče RS </w:t>
            </w:r>
            <w:r w:rsidR="00293351">
              <w:rPr>
                <w:rFonts w:ascii="Arial" w:eastAsia="Calibri" w:hAnsi="Arial" w:cs="Arial"/>
                <w:sz w:val="20"/>
                <w:szCs w:val="20"/>
              </w:rPr>
              <w:t>je</w:t>
            </w:r>
            <w:r>
              <w:rPr>
                <w:rFonts w:ascii="Arial" w:eastAsia="Calibri" w:hAnsi="Arial" w:cs="Arial"/>
                <w:sz w:val="20"/>
                <w:szCs w:val="20"/>
              </w:rPr>
              <w:t xml:space="preserve"> odpravilo </w:t>
            </w:r>
            <w:r w:rsidRPr="006E09FD">
              <w:rPr>
                <w:rFonts w:ascii="Arial" w:eastAsia="Calibri" w:hAnsi="Arial" w:cs="Arial"/>
                <w:sz w:val="20"/>
                <w:szCs w:val="20"/>
              </w:rPr>
              <w:t>odločb</w:t>
            </w:r>
            <w:r w:rsidR="00293351">
              <w:rPr>
                <w:rFonts w:ascii="Arial" w:eastAsia="Calibri" w:hAnsi="Arial" w:cs="Arial"/>
                <w:sz w:val="20"/>
                <w:szCs w:val="20"/>
              </w:rPr>
              <w:t>o</w:t>
            </w:r>
            <w:r w:rsidRPr="006E09FD">
              <w:rPr>
                <w:rFonts w:ascii="Arial" w:eastAsia="Calibri" w:hAnsi="Arial" w:cs="Arial"/>
                <w:sz w:val="20"/>
                <w:szCs w:val="20"/>
              </w:rPr>
              <w:t xml:space="preserve"> Finančne uprave Republike Slovenije.</w:t>
            </w:r>
            <w:r>
              <w:rPr>
                <w:rFonts w:ascii="Arial" w:eastAsia="Calibri" w:hAnsi="Arial" w:cs="Arial"/>
                <w:sz w:val="20"/>
                <w:szCs w:val="20"/>
              </w:rPr>
              <w:t xml:space="preserve"> Iz obrazložitve sodišča izhaja, da n</w:t>
            </w:r>
            <w:r w:rsidRPr="006E09FD">
              <w:rPr>
                <w:rFonts w:ascii="Arial" w:eastAsia="Calibri" w:hAnsi="Arial" w:cs="Arial"/>
                <w:sz w:val="20"/>
                <w:szCs w:val="20"/>
              </w:rPr>
              <w:t>i mogoče šteti, da izplačilo kupnine za nakup lastnih poslovnih deležev v družbi z omejeno odgovornostjo sam po sebi pomeni nedovoljeno davčno izogibanje obdavčitvi izplačila dobička družbenikom.</w:t>
            </w:r>
            <w:r>
              <w:rPr>
                <w:rFonts w:ascii="Arial" w:eastAsia="Calibri" w:hAnsi="Arial" w:cs="Arial"/>
                <w:sz w:val="20"/>
                <w:szCs w:val="20"/>
              </w:rPr>
              <w:t xml:space="preserve"> Prav tako iz obrazložitve izhaja, da je lahko kot</w:t>
            </w:r>
            <w:r w:rsidRPr="006E09FD">
              <w:rPr>
                <w:rFonts w:ascii="Arial" w:eastAsia="Calibri" w:hAnsi="Arial" w:cs="Arial"/>
                <w:sz w:val="20"/>
                <w:szCs w:val="20"/>
              </w:rPr>
              <w:t xml:space="preserve"> prikrito izplačilo dobička na podlagi 7. točke 74.</w:t>
            </w:r>
            <w:r w:rsidR="006E5ED2">
              <w:rPr>
                <w:rFonts w:ascii="Arial" w:eastAsia="Calibri" w:hAnsi="Arial" w:cs="Arial"/>
                <w:sz w:val="20"/>
                <w:szCs w:val="20"/>
              </w:rPr>
              <w:t> </w:t>
            </w:r>
            <w:r w:rsidRPr="006E09FD">
              <w:rPr>
                <w:rFonts w:ascii="Arial" w:eastAsia="Calibri" w:hAnsi="Arial" w:cs="Arial"/>
                <w:sz w:val="20"/>
                <w:szCs w:val="20"/>
              </w:rPr>
              <w:t>člena ZDDPO-2 opredeljen le tak pravni posel, ki po svoji višini (in ne temelju) pomeni neutemeljeno korist kvalificiranemu družbeniku (ker je kvalificirani družbenik plačal premalo za določeno storitev družbe, ker je družba plačala preveč za storitev kvalificiranega družbenika</w:t>
            </w:r>
            <w:r w:rsidR="006E5ED2">
              <w:rPr>
                <w:rFonts w:ascii="Arial" w:eastAsia="Calibri" w:hAnsi="Arial" w:cs="Arial"/>
                <w:sz w:val="20"/>
                <w:szCs w:val="20"/>
              </w:rPr>
              <w:t> </w:t>
            </w:r>
            <w:r w:rsidRPr="006E09FD">
              <w:rPr>
                <w:rFonts w:ascii="Arial" w:eastAsia="Calibri" w:hAnsi="Arial" w:cs="Arial"/>
                <w:sz w:val="20"/>
                <w:szCs w:val="20"/>
              </w:rPr>
              <w:t>itd.).</w:t>
            </w:r>
          </w:p>
          <w:p w14:paraId="73213642" w14:textId="77777777" w:rsidR="006E09FD" w:rsidRDefault="006E09FD" w:rsidP="006E09FD">
            <w:pPr>
              <w:spacing w:after="0" w:line="276" w:lineRule="auto"/>
              <w:contextualSpacing/>
              <w:jc w:val="both"/>
              <w:rPr>
                <w:rFonts w:ascii="Arial" w:eastAsia="Calibri" w:hAnsi="Arial" w:cs="Arial"/>
                <w:sz w:val="20"/>
                <w:szCs w:val="20"/>
              </w:rPr>
            </w:pPr>
          </w:p>
          <w:p w14:paraId="73D0D6CC" w14:textId="1A6F8A7F" w:rsidR="00574071" w:rsidRDefault="00BE6676" w:rsidP="0079692B">
            <w:pPr>
              <w:spacing w:after="0" w:line="276" w:lineRule="auto"/>
              <w:contextualSpacing/>
              <w:jc w:val="both"/>
              <w:rPr>
                <w:sz w:val="20"/>
                <w:szCs w:val="20"/>
              </w:rPr>
            </w:pPr>
            <w:r>
              <w:rPr>
                <w:rFonts w:ascii="Arial" w:eastAsia="Calibri" w:hAnsi="Arial" w:cs="Arial"/>
                <w:sz w:val="20"/>
                <w:szCs w:val="20"/>
              </w:rPr>
              <w:t xml:space="preserve">Upoštevaje zgoraj navedeno se predlaga, da se v ZDoh-2 ponovno vključi rešitev, po kateri </w:t>
            </w:r>
            <w:r w:rsidRPr="00BE6676">
              <w:rPr>
                <w:rFonts w:ascii="Arial" w:eastAsia="Calibri" w:hAnsi="Arial" w:cs="Arial"/>
                <w:sz w:val="20"/>
                <w:szCs w:val="20"/>
              </w:rPr>
              <w:t xml:space="preserve">bi </w:t>
            </w:r>
            <w:r w:rsidR="00574071" w:rsidRPr="00574071">
              <w:rPr>
                <w:rFonts w:ascii="Arial" w:eastAsia="Calibri" w:hAnsi="Arial" w:cs="Arial"/>
                <w:sz w:val="20"/>
                <w:szCs w:val="20"/>
              </w:rPr>
              <w:t>se kot dividende</w:t>
            </w:r>
            <w:r w:rsidRPr="00BE6676">
              <w:rPr>
                <w:rFonts w:ascii="Arial" w:eastAsia="Calibri" w:hAnsi="Arial" w:cs="Arial"/>
                <w:sz w:val="20"/>
                <w:szCs w:val="20"/>
              </w:rPr>
              <w:t>, podobno</w:t>
            </w:r>
            <w:r w:rsidR="006E5ED2">
              <w:rPr>
                <w:rFonts w:ascii="Arial" w:eastAsia="Calibri" w:hAnsi="Arial" w:cs="Arial"/>
                <w:sz w:val="20"/>
                <w:szCs w:val="20"/>
              </w:rPr>
              <w:t>,</w:t>
            </w:r>
            <w:r w:rsidRPr="00BE6676">
              <w:rPr>
                <w:rFonts w:ascii="Arial" w:eastAsia="Calibri" w:hAnsi="Arial" w:cs="Arial"/>
                <w:sz w:val="20"/>
                <w:szCs w:val="20"/>
              </w:rPr>
              <w:t xml:space="preserve"> kot je že veljalo pred 1. </w:t>
            </w:r>
            <w:r w:rsidR="00EF1FDF">
              <w:rPr>
                <w:rFonts w:ascii="Arial" w:eastAsia="Calibri" w:hAnsi="Arial" w:cs="Arial"/>
                <w:sz w:val="20"/>
                <w:szCs w:val="20"/>
              </w:rPr>
              <w:t>januarjem</w:t>
            </w:r>
            <w:r w:rsidRPr="00BE6676">
              <w:rPr>
                <w:rFonts w:ascii="Arial" w:eastAsia="Calibri" w:hAnsi="Arial" w:cs="Arial"/>
                <w:sz w:val="20"/>
                <w:szCs w:val="20"/>
              </w:rPr>
              <w:t xml:space="preserve"> 2022, obdavčevala</w:t>
            </w:r>
            <w:r w:rsidR="00574071" w:rsidRPr="00574071">
              <w:rPr>
                <w:rFonts w:ascii="Arial" w:eastAsia="Calibri" w:hAnsi="Arial" w:cs="Arial"/>
                <w:sz w:val="20"/>
                <w:szCs w:val="20"/>
              </w:rPr>
              <w:t xml:space="preserve"> tudi izplačana vrednost delnic ali deležev v primeru odsvojitve delnic ali deležev v okviru pridobivanja lastnih delnic oziroma deležev družbe, razen  ko družba pridobiva lastne delnice na organiziranem trgu. </w:t>
            </w:r>
            <w:r w:rsidRPr="00BE6676">
              <w:rPr>
                <w:rFonts w:ascii="Arial" w:eastAsia="Calibri" w:hAnsi="Arial" w:cs="Arial"/>
                <w:sz w:val="20"/>
                <w:szCs w:val="20"/>
              </w:rPr>
              <w:t xml:space="preserve">Predlagana rešitev </w:t>
            </w:r>
            <w:r>
              <w:rPr>
                <w:rFonts w:ascii="Arial" w:eastAsia="Calibri" w:hAnsi="Arial" w:cs="Arial"/>
                <w:sz w:val="20"/>
                <w:szCs w:val="20"/>
              </w:rPr>
              <w:t xml:space="preserve">tako </w:t>
            </w:r>
            <w:r w:rsidRPr="00BE6676">
              <w:rPr>
                <w:rFonts w:ascii="Arial" w:eastAsia="Calibri" w:hAnsi="Arial" w:cs="Arial"/>
                <w:sz w:val="20"/>
                <w:szCs w:val="20"/>
              </w:rPr>
              <w:t xml:space="preserve">sledi rešitvi, ki je bila uvedena z novelo ZDoh-2V in se je začela uporabljati 1. </w:t>
            </w:r>
            <w:r w:rsidR="00EF1FDF">
              <w:rPr>
                <w:rFonts w:ascii="Arial" w:eastAsia="Calibri" w:hAnsi="Arial" w:cs="Arial"/>
                <w:sz w:val="20"/>
                <w:szCs w:val="20"/>
              </w:rPr>
              <w:t>janua</w:t>
            </w:r>
            <w:r w:rsidR="00B42EBD">
              <w:rPr>
                <w:rFonts w:ascii="Arial" w:eastAsia="Calibri" w:hAnsi="Arial" w:cs="Arial"/>
                <w:sz w:val="20"/>
                <w:szCs w:val="20"/>
              </w:rPr>
              <w:t>r</w:t>
            </w:r>
            <w:r w:rsidR="00EF1FDF">
              <w:rPr>
                <w:rFonts w:ascii="Arial" w:eastAsia="Calibri" w:hAnsi="Arial" w:cs="Arial"/>
                <w:sz w:val="20"/>
                <w:szCs w:val="20"/>
              </w:rPr>
              <w:t>ja</w:t>
            </w:r>
            <w:r w:rsidRPr="00BE6676">
              <w:rPr>
                <w:rFonts w:ascii="Arial" w:eastAsia="Calibri" w:hAnsi="Arial" w:cs="Arial"/>
                <w:sz w:val="20"/>
                <w:szCs w:val="20"/>
              </w:rPr>
              <w:t xml:space="preserve"> 2020, odpravljena pa je </w:t>
            </w:r>
            <w:r w:rsidR="00574071" w:rsidRPr="00574071">
              <w:rPr>
                <w:rFonts w:ascii="Arial" w:eastAsia="Calibri" w:hAnsi="Arial" w:cs="Arial"/>
                <w:sz w:val="20"/>
                <w:szCs w:val="20"/>
              </w:rPr>
              <w:t>bila z novelo ZDoh-2Z</w:t>
            </w:r>
            <w:r w:rsidR="006E5ED2">
              <w:rPr>
                <w:rFonts w:ascii="Arial" w:eastAsia="Calibri" w:hAnsi="Arial" w:cs="Arial"/>
                <w:sz w:val="20"/>
                <w:szCs w:val="20"/>
              </w:rPr>
              <w:t>,</w:t>
            </w:r>
            <w:r w:rsidR="00574071" w:rsidRPr="00574071">
              <w:rPr>
                <w:rFonts w:ascii="Arial" w:eastAsia="Calibri" w:hAnsi="Arial" w:cs="Arial"/>
                <w:sz w:val="20"/>
                <w:szCs w:val="20"/>
              </w:rPr>
              <w:t xml:space="preserve"> </w:t>
            </w:r>
            <w:r w:rsidRPr="00BE6676">
              <w:rPr>
                <w:rFonts w:ascii="Arial" w:eastAsia="Calibri" w:hAnsi="Arial" w:cs="Arial"/>
                <w:sz w:val="20"/>
                <w:szCs w:val="20"/>
              </w:rPr>
              <w:t>in sicer</w:t>
            </w:r>
            <w:r w:rsidR="00574071" w:rsidRPr="00574071">
              <w:rPr>
                <w:rFonts w:ascii="Arial" w:eastAsia="Calibri" w:hAnsi="Arial" w:cs="Arial"/>
                <w:sz w:val="20"/>
                <w:szCs w:val="20"/>
              </w:rPr>
              <w:t xml:space="preserve"> s </w:t>
            </w:r>
            <w:r w:rsidRPr="00BE6676">
              <w:rPr>
                <w:rFonts w:ascii="Arial" w:eastAsia="Calibri" w:hAnsi="Arial" w:cs="Arial"/>
                <w:sz w:val="20"/>
                <w:szCs w:val="20"/>
              </w:rPr>
              <w:t xml:space="preserve">1. </w:t>
            </w:r>
            <w:r w:rsidR="00EF1FDF">
              <w:rPr>
                <w:rFonts w:ascii="Arial" w:eastAsia="Calibri" w:hAnsi="Arial" w:cs="Arial"/>
                <w:sz w:val="20"/>
                <w:szCs w:val="20"/>
              </w:rPr>
              <w:t>januarjem</w:t>
            </w:r>
            <w:r w:rsidRPr="00BE6676">
              <w:rPr>
                <w:rFonts w:ascii="Arial" w:eastAsia="Calibri" w:hAnsi="Arial" w:cs="Arial"/>
                <w:sz w:val="20"/>
                <w:szCs w:val="20"/>
              </w:rPr>
              <w:t xml:space="preserve"> 2022.</w:t>
            </w:r>
          </w:p>
          <w:p w14:paraId="2E2B6A27" w14:textId="314B8F11" w:rsidR="005C0A8A" w:rsidRPr="00833C5D" w:rsidRDefault="005C0A8A" w:rsidP="00833C5D">
            <w:pPr>
              <w:shd w:val="clear" w:color="auto" w:fill="FFFFFF" w:themeFill="background1"/>
              <w:spacing w:after="0" w:line="260" w:lineRule="exact"/>
              <w:jc w:val="both"/>
              <w:rPr>
                <w:rFonts w:ascii="Arial" w:hAnsi="Arial" w:cs="Arial"/>
                <w:sz w:val="20"/>
                <w:szCs w:val="20"/>
              </w:rPr>
            </w:pPr>
          </w:p>
          <w:p w14:paraId="7BCA3798" w14:textId="6B548B7B" w:rsidR="007A3406" w:rsidRPr="007A3406" w:rsidRDefault="001C472F" w:rsidP="007A3406">
            <w:pPr>
              <w:spacing w:line="276" w:lineRule="auto"/>
              <w:contextualSpacing/>
              <w:jc w:val="both"/>
              <w:rPr>
                <w:rFonts w:ascii="Arial" w:eastAsia="Calibri" w:hAnsi="Arial" w:cs="Arial"/>
                <w:b/>
                <w:bCs/>
                <w:i/>
                <w:sz w:val="20"/>
                <w:szCs w:val="20"/>
              </w:rPr>
            </w:pPr>
            <w:r w:rsidRPr="00B42EBD">
              <w:rPr>
                <w:rFonts w:ascii="Arial" w:eastAsia="Calibri" w:hAnsi="Arial" w:cs="Arial"/>
                <w:i/>
                <w:iCs/>
                <w:sz w:val="20"/>
                <w:szCs w:val="20"/>
              </w:rPr>
              <w:t>b)</w:t>
            </w:r>
            <w:r w:rsidR="007A3406" w:rsidRPr="002901F3">
              <w:rPr>
                <w:rFonts w:ascii="Arial" w:eastAsia="Calibri" w:hAnsi="Arial" w:cs="Arial"/>
                <w:i/>
                <w:sz w:val="20"/>
                <w:szCs w:val="20"/>
              </w:rPr>
              <w:t xml:space="preserve"> Čas pridobitve kapitala ali dela kapitala (delnic ali deležev) v primerih, ko je bil osnovni kapital povečan iz sredstev družbe</w:t>
            </w:r>
          </w:p>
          <w:p w14:paraId="17C3B323" w14:textId="56B8A692" w:rsidR="007A3406" w:rsidRPr="007A3406" w:rsidRDefault="007A3406" w:rsidP="007A3406">
            <w:pPr>
              <w:spacing w:line="276" w:lineRule="auto"/>
              <w:contextualSpacing/>
              <w:jc w:val="both"/>
              <w:rPr>
                <w:rFonts w:ascii="Arial" w:eastAsia="Calibri" w:hAnsi="Arial" w:cs="Arial"/>
                <w:sz w:val="20"/>
                <w:szCs w:val="20"/>
              </w:rPr>
            </w:pPr>
            <w:r w:rsidRPr="007A3406">
              <w:rPr>
                <w:rFonts w:ascii="Arial" w:eastAsia="Calibri" w:hAnsi="Arial" w:cs="Arial"/>
                <w:sz w:val="20"/>
                <w:szCs w:val="20"/>
              </w:rPr>
              <w:t>Upravno sodišče je v odločbi I U 1959/2019-9 z dne 1.</w:t>
            </w:r>
            <w:r w:rsidR="006E5ED2">
              <w:rPr>
                <w:rFonts w:ascii="Arial" w:eastAsia="Calibri" w:hAnsi="Arial" w:cs="Arial"/>
                <w:sz w:val="20"/>
                <w:szCs w:val="20"/>
              </w:rPr>
              <w:t> </w:t>
            </w:r>
            <w:r w:rsidRPr="007A3406">
              <w:rPr>
                <w:rFonts w:ascii="Arial" w:eastAsia="Calibri" w:hAnsi="Arial" w:cs="Arial"/>
                <w:sz w:val="20"/>
                <w:szCs w:val="20"/>
              </w:rPr>
              <w:t>9.</w:t>
            </w:r>
            <w:r w:rsidR="006E5ED2">
              <w:rPr>
                <w:rFonts w:ascii="Arial" w:eastAsia="Calibri" w:hAnsi="Arial" w:cs="Arial"/>
                <w:sz w:val="20"/>
                <w:szCs w:val="20"/>
              </w:rPr>
              <w:t> </w:t>
            </w:r>
            <w:r w:rsidRPr="007A3406">
              <w:rPr>
                <w:rFonts w:ascii="Arial" w:eastAsia="Calibri" w:hAnsi="Arial" w:cs="Arial"/>
                <w:sz w:val="20"/>
                <w:szCs w:val="20"/>
              </w:rPr>
              <w:t>2020 v konkretnem primeru odločilo v nasprotju z dotedanjo upravno in sodno prakso</w:t>
            </w:r>
            <w:r w:rsidRPr="007A3406">
              <w:rPr>
                <w:rFonts w:ascii="Arial" w:eastAsia="Calibri" w:hAnsi="Arial" w:cs="Arial"/>
                <w:sz w:val="20"/>
                <w:szCs w:val="20"/>
                <w:vertAlign w:val="superscript"/>
              </w:rPr>
              <w:footnoteReference w:id="2"/>
            </w:r>
            <w:r w:rsidRPr="007A3406">
              <w:rPr>
                <w:rFonts w:ascii="Arial" w:eastAsia="Calibri" w:hAnsi="Arial" w:cs="Arial"/>
                <w:sz w:val="20"/>
                <w:szCs w:val="20"/>
              </w:rPr>
              <w:t xml:space="preserve"> v primerih, ko je zavezanec pridobil delnico ali povečani delež oziroma osnovni vložek pri povečanju osnovnega kapitala iz sredstev družbe. Sodišče je v sodbi zavzelo stališče, da je davčni organ napačno razlagal namen zakonodajalca določbe četrtega odstavka 98.</w:t>
            </w:r>
            <w:r w:rsidR="006E5ED2">
              <w:rPr>
                <w:rFonts w:ascii="Arial" w:eastAsia="Calibri" w:hAnsi="Arial" w:cs="Arial"/>
                <w:sz w:val="20"/>
                <w:szCs w:val="20"/>
              </w:rPr>
              <w:t> </w:t>
            </w:r>
            <w:r w:rsidRPr="007A3406">
              <w:rPr>
                <w:rFonts w:ascii="Arial" w:eastAsia="Calibri" w:hAnsi="Arial" w:cs="Arial"/>
                <w:sz w:val="20"/>
                <w:szCs w:val="20"/>
              </w:rPr>
              <w:t xml:space="preserve">člena ZDoh-2, ko je odločil, da je imetnik poslovnega deleža s povečanjem osnovnega kapitala iz sredstev družbe za potrebe obdavčenja pridobil nov poslovni delež, za katerega se šteje, da ga je pridobil ob povečanju osnovnega kapitala in katerega nabavna vrednost je enaka nič. Po mnenju sodišča ob pravilni razlagi zakona v primeru povečanja osnovnega kapitala iz sredstev družbe za odmero davka od kapitalskih dobičkov ni podlage, saj taka pridobitev nima davčnih učinkov. </w:t>
            </w:r>
          </w:p>
          <w:p w14:paraId="49BC155D" w14:textId="77777777" w:rsidR="007A3406" w:rsidRPr="007A3406" w:rsidRDefault="007A3406" w:rsidP="007A3406">
            <w:pPr>
              <w:spacing w:line="276" w:lineRule="auto"/>
              <w:contextualSpacing/>
              <w:jc w:val="both"/>
              <w:rPr>
                <w:rFonts w:ascii="Arial" w:eastAsia="Calibri" w:hAnsi="Arial" w:cs="Arial"/>
                <w:sz w:val="20"/>
                <w:szCs w:val="20"/>
              </w:rPr>
            </w:pPr>
          </w:p>
          <w:p w14:paraId="4F8C6DD8" w14:textId="1A4402A7" w:rsidR="007A3406" w:rsidRPr="007A3406" w:rsidRDefault="007A3406" w:rsidP="007A3406">
            <w:pPr>
              <w:spacing w:line="276" w:lineRule="auto"/>
              <w:contextualSpacing/>
              <w:jc w:val="both"/>
              <w:rPr>
                <w:rFonts w:ascii="Arial" w:eastAsia="Calibri" w:hAnsi="Arial" w:cs="Arial"/>
                <w:sz w:val="20"/>
                <w:szCs w:val="20"/>
              </w:rPr>
            </w:pPr>
            <w:r w:rsidRPr="007A3406">
              <w:rPr>
                <w:rFonts w:ascii="Arial" w:eastAsia="Calibri" w:hAnsi="Arial" w:cs="Arial"/>
                <w:sz w:val="20"/>
                <w:szCs w:val="20"/>
              </w:rPr>
              <w:t>V davčni praksi do spreje</w:t>
            </w:r>
            <w:r w:rsidR="006E5ED2">
              <w:rPr>
                <w:rFonts w:ascii="Arial" w:eastAsia="Calibri" w:hAnsi="Arial" w:cs="Arial"/>
                <w:sz w:val="20"/>
                <w:szCs w:val="20"/>
              </w:rPr>
              <w:t>tj</w:t>
            </w:r>
            <w:r w:rsidRPr="007A3406">
              <w:rPr>
                <w:rFonts w:ascii="Arial" w:eastAsia="Calibri" w:hAnsi="Arial" w:cs="Arial"/>
                <w:sz w:val="20"/>
                <w:szCs w:val="20"/>
              </w:rPr>
              <w:t xml:space="preserve">a </w:t>
            </w:r>
            <w:r w:rsidR="006E5ED2">
              <w:rPr>
                <w:rFonts w:ascii="Arial" w:eastAsia="Calibri" w:hAnsi="Arial" w:cs="Arial"/>
                <w:sz w:val="20"/>
                <w:szCs w:val="20"/>
              </w:rPr>
              <w:t>navedene</w:t>
            </w:r>
            <w:r w:rsidRPr="007A3406">
              <w:rPr>
                <w:rFonts w:ascii="Arial" w:eastAsia="Calibri" w:hAnsi="Arial" w:cs="Arial"/>
                <w:sz w:val="20"/>
                <w:szCs w:val="20"/>
              </w:rPr>
              <w:t xml:space="preserve"> odločbe Upravnega sodišča v konkretnem primeru ni bilo dvoma o tem, da se</w:t>
            </w:r>
            <w:r w:rsidR="006E5ED2">
              <w:rPr>
                <w:rFonts w:ascii="Arial" w:eastAsia="Calibri" w:hAnsi="Arial" w:cs="Arial"/>
                <w:sz w:val="20"/>
                <w:szCs w:val="20"/>
              </w:rPr>
              <w:t xml:space="preserve"> je</w:t>
            </w:r>
            <w:r w:rsidRPr="007A3406">
              <w:rPr>
                <w:rFonts w:ascii="Arial" w:eastAsia="Calibri" w:hAnsi="Arial" w:cs="Arial"/>
                <w:sz w:val="20"/>
                <w:szCs w:val="20"/>
              </w:rPr>
              <w:t xml:space="preserve"> skladno s prvim odstavkom 101.</w:t>
            </w:r>
            <w:r w:rsidR="006E5ED2">
              <w:rPr>
                <w:rFonts w:ascii="Arial" w:eastAsia="Calibri" w:hAnsi="Arial" w:cs="Arial"/>
                <w:sz w:val="20"/>
                <w:szCs w:val="20"/>
              </w:rPr>
              <w:t> </w:t>
            </w:r>
            <w:r w:rsidRPr="007A3406">
              <w:rPr>
                <w:rFonts w:ascii="Arial" w:eastAsia="Calibri" w:hAnsi="Arial" w:cs="Arial"/>
                <w:sz w:val="20"/>
                <w:szCs w:val="20"/>
              </w:rPr>
              <w:t xml:space="preserve">člena ZDoh-2 kot čas pridobitve kapitala pri povečanju deleža oziroma osnovnega vložka pri povečanju osnovnega kapitala iz sredstev družbe štel datum vpisa </w:t>
            </w:r>
            <w:r w:rsidRPr="007A3406">
              <w:rPr>
                <w:rFonts w:ascii="Arial" w:eastAsia="Calibri" w:hAnsi="Arial" w:cs="Arial"/>
                <w:sz w:val="20"/>
                <w:szCs w:val="20"/>
              </w:rPr>
              <w:lastRenderedPageBreak/>
              <w:t>povečanja osnovnega kapitala iz sredstev družbe v sodni register. Za davčne namene se je tako povečanje osnovnega kapitala iz sredstev družbe štelo kot samostojni delež in s tem kot pridobitev kapitala.</w:t>
            </w:r>
          </w:p>
          <w:p w14:paraId="595EE83C" w14:textId="522FF50F" w:rsidR="007A3406" w:rsidRPr="007A3406" w:rsidRDefault="007A3406" w:rsidP="007A3406">
            <w:pPr>
              <w:spacing w:line="276" w:lineRule="auto"/>
              <w:contextualSpacing/>
              <w:jc w:val="both"/>
              <w:rPr>
                <w:rFonts w:ascii="Arial" w:eastAsia="Calibri" w:hAnsi="Arial" w:cs="Arial"/>
                <w:sz w:val="20"/>
                <w:szCs w:val="20"/>
              </w:rPr>
            </w:pPr>
          </w:p>
          <w:p w14:paraId="29002DCD" w14:textId="7095623B" w:rsidR="007A3406" w:rsidRPr="007A3406" w:rsidRDefault="007A3406" w:rsidP="007A3406">
            <w:pPr>
              <w:spacing w:line="276" w:lineRule="auto"/>
              <w:contextualSpacing/>
              <w:jc w:val="both"/>
              <w:rPr>
                <w:rFonts w:ascii="Arial" w:eastAsia="Calibri" w:hAnsi="Arial" w:cs="Arial"/>
                <w:sz w:val="20"/>
                <w:szCs w:val="20"/>
              </w:rPr>
            </w:pPr>
            <w:r w:rsidRPr="007A3406">
              <w:rPr>
                <w:rFonts w:ascii="Arial" w:eastAsia="Calibri" w:hAnsi="Arial" w:cs="Arial"/>
                <w:sz w:val="20"/>
                <w:szCs w:val="20"/>
              </w:rPr>
              <w:t xml:space="preserve">V ZDoh-2 se ne uporablja pojem </w:t>
            </w:r>
            <w:r w:rsidR="0027425A">
              <w:rPr>
                <w:rFonts w:ascii="Arial" w:eastAsia="Calibri" w:hAnsi="Arial" w:cs="Arial"/>
                <w:sz w:val="20"/>
                <w:szCs w:val="20"/>
              </w:rPr>
              <w:t>»</w:t>
            </w:r>
            <w:r w:rsidRPr="007A3406">
              <w:rPr>
                <w:rFonts w:ascii="Arial" w:eastAsia="Calibri" w:hAnsi="Arial" w:cs="Arial"/>
                <w:sz w:val="20"/>
                <w:szCs w:val="20"/>
              </w:rPr>
              <w:t>poslovni delež</w:t>
            </w:r>
            <w:r w:rsidR="0027425A">
              <w:rPr>
                <w:rFonts w:ascii="Arial" w:eastAsia="Calibri" w:hAnsi="Arial" w:cs="Arial"/>
                <w:sz w:val="20"/>
                <w:szCs w:val="20"/>
              </w:rPr>
              <w:t>«</w:t>
            </w:r>
            <w:r w:rsidRPr="007A3406">
              <w:rPr>
                <w:rFonts w:ascii="Arial" w:eastAsia="Calibri" w:hAnsi="Arial" w:cs="Arial"/>
                <w:sz w:val="20"/>
                <w:szCs w:val="20"/>
              </w:rPr>
              <w:t xml:space="preserve">, temveč se uporablja splošen pojem </w:t>
            </w:r>
            <w:r w:rsidR="0027425A">
              <w:rPr>
                <w:rFonts w:ascii="Arial" w:eastAsia="Calibri" w:hAnsi="Arial" w:cs="Arial"/>
                <w:sz w:val="20"/>
                <w:szCs w:val="20"/>
              </w:rPr>
              <w:t>»</w:t>
            </w:r>
            <w:r w:rsidRPr="007A3406">
              <w:rPr>
                <w:rFonts w:ascii="Arial" w:eastAsia="Calibri" w:hAnsi="Arial" w:cs="Arial"/>
                <w:sz w:val="20"/>
                <w:szCs w:val="20"/>
              </w:rPr>
              <w:t>delež v gospodarskih družbah, zadrugah in drugih oblikah organiziranja</w:t>
            </w:r>
            <w:r w:rsidR="0027425A">
              <w:rPr>
                <w:rFonts w:ascii="Arial" w:eastAsia="Calibri" w:hAnsi="Arial" w:cs="Arial"/>
                <w:sz w:val="20"/>
                <w:szCs w:val="20"/>
              </w:rPr>
              <w:t>«</w:t>
            </w:r>
            <w:r w:rsidRPr="007A3406">
              <w:rPr>
                <w:rFonts w:ascii="Arial" w:eastAsia="Calibri" w:hAnsi="Arial" w:cs="Arial"/>
                <w:sz w:val="20"/>
                <w:szCs w:val="20"/>
              </w:rPr>
              <w:t xml:space="preserve">. Taka oddaljitev od pojmov, ki se uporabljajo v </w:t>
            </w:r>
            <w:r w:rsidR="00BC6C40">
              <w:rPr>
                <w:rFonts w:ascii="Arial" w:eastAsia="Calibri" w:hAnsi="Arial" w:cs="Arial"/>
                <w:sz w:val="20"/>
                <w:szCs w:val="20"/>
              </w:rPr>
              <w:t>Zakonu o gospodarskih družbah</w:t>
            </w:r>
            <w:r w:rsidRPr="007A3406">
              <w:rPr>
                <w:rFonts w:ascii="Arial" w:eastAsia="Calibri" w:hAnsi="Arial" w:cs="Arial"/>
                <w:sz w:val="20"/>
                <w:szCs w:val="20"/>
              </w:rPr>
              <w:t xml:space="preserve"> (Uradni list RS, št.</w:t>
            </w:r>
            <w:r w:rsidR="0027425A">
              <w:rPr>
                <w:rFonts w:ascii="Arial" w:eastAsia="Calibri" w:hAnsi="Arial" w:cs="Arial"/>
                <w:sz w:val="20"/>
                <w:szCs w:val="20"/>
              </w:rPr>
              <w:t> </w:t>
            </w:r>
            <w:r w:rsidRPr="007A3406">
              <w:rPr>
                <w:rFonts w:ascii="Arial" w:eastAsia="Calibri" w:hAnsi="Arial" w:cs="Arial"/>
                <w:sz w:val="20"/>
                <w:szCs w:val="20"/>
              </w:rPr>
              <w:t xml:space="preserve">65/09 – uradno prečiščeno besedilo, 33/11, 91/11, 32/12, 57/12, 44/13 – </w:t>
            </w:r>
            <w:proofErr w:type="spellStart"/>
            <w:r w:rsidRPr="007A3406">
              <w:rPr>
                <w:rFonts w:ascii="Arial" w:eastAsia="Calibri" w:hAnsi="Arial" w:cs="Arial"/>
                <w:sz w:val="20"/>
                <w:szCs w:val="20"/>
              </w:rPr>
              <w:t>odl</w:t>
            </w:r>
            <w:proofErr w:type="spellEnd"/>
            <w:r w:rsidRPr="007A3406">
              <w:rPr>
                <w:rFonts w:ascii="Arial" w:eastAsia="Calibri" w:hAnsi="Arial" w:cs="Arial"/>
                <w:sz w:val="20"/>
                <w:szCs w:val="20"/>
              </w:rPr>
              <w:t xml:space="preserve">. US, 82/13, 55/15, 15/17, 22/19 – </w:t>
            </w:r>
            <w:proofErr w:type="spellStart"/>
            <w:r w:rsidRPr="007A3406">
              <w:rPr>
                <w:rFonts w:ascii="Arial" w:eastAsia="Calibri" w:hAnsi="Arial" w:cs="Arial"/>
                <w:sz w:val="20"/>
                <w:szCs w:val="20"/>
              </w:rPr>
              <w:t>ZPosS</w:t>
            </w:r>
            <w:proofErr w:type="spellEnd"/>
            <w:r w:rsidRPr="007A3406">
              <w:rPr>
                <w:rFonts w:ascii="Arial" w:eastAsia="Calibri" w:hAnsi="Arial" w:cs="Arial"/>
                <w:sz w:val="20"/>
                <w:szCs w:val="20"/>
              </w:rPr>
              <w:t xml:space="preserve">, 158/20 – </w:t>
            </w:r>
            <w:proofErr w:type="spellStart"/>
            <w:r w:rsidRPr="007A3406">
              <w:rPr>
                <w:rFonts w:ascii="Arial" w:eastAsia="Calibri" w:hAnsi="Arial" w:cs="Arial"/>
                <w:sz w:val="20"/>
                <w:szCs w:val="20"/>
              </w:rPr>
              <w:t>ZIntPK</w:t>
            </w:r>
            <w:proofErr w:type="spellEnd"/>
            <w:r w:rsidRPr="007A3406">
              <w:rPr>
                <w:rFonts w:ascii="Arial" w:eastAsia="Calibri" w:hAnsi="Arial" w:cs="Arial"/>
                <w:sz w:val="20"/>
                <w:szCs w:val="20"/>
              </w:rPr>
              <w:t>-C in 18/21; v nadalj</w:t>
            </w:r>
            <w:r w:rsidR="00BC6C40">
              <w:rPr>
                <w:rFonts w:ascii="Arial" w:eastAsia="Calibri" w:hAnsi="Arial" w:cs="Arial"/>
                <w:sz w:val="20"/>
                <w:szCs w:val="20"/>
              </w:rPr>
              <w:t>njem besedilu</w:t>
            </w:r>
            <w:r w:rsidRPr="007A3406">
              <w:rPr>
                <w:rFonts w:ascii="Arial" w:eastAsia="Calibri" w:hAnsi="Arial" w:cs="Arial"/>
                <w:sz w:val="20"/>
                <w:szCs w:val="20"/>
              </w:rPr>
              <w:t xml:space="preserve">: ZGD-1), je namenska. Po ZDoh-2 je tako treba delež v primeru lastniškega deleža v družbi z omejeno odgovornostjo razumeti kot vsak delež, ki ga ima zavezanec v osnovnem kapitalu družbe, </w:t>
            </w:r>
            <w:r w:rsidR="0027425A">
              <w:rPr>
                <w:rFonts w:ascii="Arial" w:eastAsia="Calibri" w:hAnsi="Arial" w:cs="Arial"/>
                <w:sz w:val="20"/>
                <w:szCs w:val="20"/>
              </w:rPr>
              <w:t>ob upoštevanju</w:t>
            </w:r>
            <w:r w:rsidRPr="007A3406">
              <w:rPr>
                <w:rFonts w:ascii="Arial" w:eastAsia="Calibri" w:hAnsi="Arial" w:cs="Arial"/>
                <w:sz w:val="20"/>
                <w:szCs w:val="20"/>
              </w:rPr>
              <w:t>, da je lahko delež ali njegov del pridobljen na različne načine in v različnem časovnem obdobju (tj.</w:t>
            </w:r>
            <w:r w:rsidR="0027425A">
              <w:rPr>
                <w:rFonts w:ascii="Arial" w:eastAsia="Calibri" w:hAnsi="Arial" w:cs="Arial"/>
                <w:sz w:val="20"/>
                <w:szCs w:val="20"/>
              </w:rPr>
              <w:t> </w:t>
            </w:r>
            <w:r w:rsidRPr="007A3406">
              <w:rPr>
                <w:rFonts w:ascii="Arial" w:eastAsia="Calibri" w:hAnsi="Arial" w:cs="Arial"/>
                <w:sz w:val="20"/>
                <w:szCs w:val="20"/>
              </w:rPr>
              <w:t>z vplačilom osnovnega vložka, ob povečanju osnovnega kapitala z vložkom družbenika (torej iz lastnih sredstev zavezanca), ali ob povečanju osnovnega kapitala iz sredstev družbe ali na druge načine (npr. z nakupom deleža ali z dedovanjem)).</w:t>
            </w:r>
          </w:p>
          <w:p w14:paraId="06E9C973" w14:textId="77777777" w:rsidR="007A3406" w:rsidRPr="007A3406" w:rsidRDefault="007A3406" w:rsidP="007A3406">
            <w:pPr>
              <w:spacing w:line="276" w:lineRule="auto"/>
              <w:contextualSpacing/>
              <w:jc w:val="both"/>
              <w:rPr>
                <w:rFonts w:ascii="Arial" w:eastAsia="Calibri" w:hAnsi="Arial" w:cs="Arial"/>
                <w:sz w:val="20"/>
                <w:szCs w:val="20"/>
              </w:rPr>
            </w:pPr>
          </w:p>
          <w:p w14:paraId="51E1E830" w14:textId="53B3EFD6" w:rsidR="007A3406" w:rsidRPr="007A3406" w:rsidRDefault="007A3406" w:rsidP="007A3406">
            <w:pPr>
              <w:spacing w:line="276" w:lineRule="auto"/>
              <w:contextualSpacing/>
              <w:jc w:val="both"/>
              <w:rPr>
                <w:rFonts w:ascii="Arial" w:eastAsia="Calibri" w:hAnsi="Arial" w:cs="Arial"/>
                <w:sz w:val="20"/>
                <w:szCs w:val="20"/>
              </w:rPr>
            </w:pPr>
            <w:r w:rsidRPr="007A3406">
              <w:rPr>
                <w:rFonts w:ascii="Arial" w:eastAsia="Calibri" w:hAnsi="Arial" w:cs="Arial"/>
                <w:sz w:val="20"/>
                <w:szCs w:val="20"/>
              </w:rPr>
              <w:t>Prav tako iz 94.</w:t>
            </w:r>
            <w:r w:rsidR="0027425A">
              <w:rPr>
                <w:rFonts w:ascii="Arial" w:eastAsia="Calibri" w:hAnsi="Arial" w:cs="Arial"/>
                <w:sz w:val="20"/>
                <w:szCs w:val="20"/>
              </w:rPr>
              <w:t> </w:t>
            </w:r>
            <w:r w:rsidRPr="007A3406">
              <w:rPr>
                <w:rFonts w:ascii="Arial" w:eastAsia="Calibri" w:hAnsi="Arial" w:cs="Arial"/>
                <w:sz w:val="20"/>
                <w:szCs w:val="20"/>
              </w:rPr>
              <w:t>člena (odsvojitev kapitala) ZDoh-2 izhaja, da se za odsvojitev kapitala po poglavju</w:t>
            </w:r>
            <w:r w:rsidR="0027425A">
              <w:rPr>
                <w:rFonts w:ascii="Arial" w:eastAsia="Calibri" w:hAnsi="Arial" w:cs="Arial"/>
                <w:sz w:val="20"/>
                <w:szCs w:val="20"/>
              </w:rPr>
              <w:t> </w:t>
            </w:r>
            <w:r w:rsidRPr="007A3406">
              <w:rPr>
                <w:rFonts w:ascii="Arial" w:eastAsia="Calibri" w:hAnsi="Arial" w:cs="Arial"/>
                <w:sz w:val="20"/>
                <w:szCs w:val="20"/>
              </w:rPr>
              <w:t>III.6.3. ZDoh-2 šteje vsaka odsvojitev kapitala ali dela kapitala (pri čemer so načini odsvojitve v določbi navedeni primeroma). Navedeno, zlasti v luči 103.</w:t>
            </w:r>
            <w:r w:rsidR="0027425A">
              <w:rPr>
                <w:rFonts w:ascii="Arial" w:eastAsia="Calibri" w:hAnsi="Arial" w:cs="Arial"/>
                <w:sz w:val="20"/>
                <w:szCs w:val="20"/>
              </w:rPr>
              <w:t> </w:t>
            </w:r>
            <w:r w:rsidRPr="007A3406">
              <w:rPr>
                <w:rFonts w:ascii="Arial" w:eastAsia="Calibri" w:hAnsi="Arial" w:cs="Arial"/>
                <w:sz w:val="20"/>
                <w:szCs w:val="20"/>
              </w:rPr>
              <w:t xml:space="preserve">člena </w:t>
            </w:r>
            <w:r w:rsidR="00BC6C40">
              <w:rPr>
                <w:rFonts w:ascii="Arial" w:eastAsia="Calibri" w:hAnsi="Arial" w:cs="Arial"/>
                <w:sz w:val="20"/>
                <w:szCs w:val="20"/>
              </w:rPr>
              <w:t xml:space="preserve">ZDoh-2 </w:t>
            </w:r>
            <w:r w:rsidRPr="007A3406">
              <w:rPr>
                <w:rFonts w:ascii="Arial" w:eastAsia="Calibri" w:hAnsi="Arial" w:cs="Arial"/>
                <w:sz w:val="20"/>
                <w:szCs w:val="20"/>
              </w:rPr>
              <w:t>(vodenje evidenc zalog kapitala), pomeni, da se tudi za pridobitev kapitala šteje vsaka pridobitev kapitala ali dela kapitala. To pomeni, da se, kadar ima zavezanec v družbi en poslovni delež in se njegov osnovni vložek (kot sledi iz petega odstavka 517.</w:t>
            </w:r>
            <w:r w:rsidR="0027425A">
              <w:rPr>
                <w:rFonts w:ascii="Arial" w:eastAsia="Calibri" w:hAnsi="Arial" w:cs="Arial"/>
                <w:sz w:val="20"/>
                <w:szCs w:val="20"/>
              </w:rPr>
              <w:t> </w:t>
            </w:r>
            <w:r w:rsidRPr="007A3406">
              <w:rPr>
                <w:rFonts w:ascii="Arial" w:eastAsia="Calibri" w:hAnsi="Arial" w:cs="Arial"/>
                <w:sz w:val="20"/>
                <w:szCs w:val="20"/>
              </w:rPr>
              <w:t>člena ZGD-1) pri povečanju osnovnega kapitala iz sredstev družbe poveča v sorazmerju z njegovim poslovnim deležem v dotedanjem osnovnem kapitalu družbe, tako povečanje po ZDoh-2 šteje za samostojno pridobitev istovrstnega kapitala zavezanca, podobno, kot bi se za samostojno pridobitev istovrstnega kapitala štela pridobitev še enega poslovnega deleža v družbi (po drugem odstavku 481.</w:t>
            </w:r>
            <w:r w:rsidR="0027425A">
              <w:rPr>
                <w:rFonts w:ascii="Arial" w:eastAsia="Calibri" w:hAnsi="Arial" w:cs="Arial"/>
                <w:sz w:val="20"/>
                <w:szCs w:val="20"/>
              </w:rPr>
              <w:t> </w:t>
            </w:r>
            <w:r w:rsidRPr="007A3406">
              <w:rPr>
                <w:rFonts w:ascii="Arial" w:eastAsia="Calibri" w:hAnsi="Arial" w:cs="Arial"/>
                <w:sz w:val="20"/>
                <w:szCs w:val="20"/>
              </w:rPr>
              <w:t>člena ZGD-1 ima družbenik lahko tudi več poslovnih deležev, po četrtem odstavku 517.</w:t>
            </w:r>
            <w:r w:rsidR="0027425A">
              <w:rPr>
                <w:rFonts w:ascii="Arial" w:eastAsia="Calibri" w:hAnsi="Arial" w:cs="Arial"/>
                <w:sz w:val="20"/>
                <w:szCs w:val="20"/>
              </w:rPr>
              <w:t> </w:t>
            </w:r>
            <w:r w:rsidRPr="007A3406">
              <w:rPr>
                <w:rFonts w:ascii="Arial" w:eastAsia="Calibri" w:hAnsi="Arial" w:cs="Arial"/>
                <w:sz w:val="20"/>
                <w:szCs w:val="20"/>
              </w:rPr>
              <w:t>člena ZGD-1 pa dosedanji družbeniki z dnem vpisa povečanja osnovnega kapitala z vložki v register pridobijo nov in samostojen poslovni delež). ZDoh-2 torej ne ustvarja domneve, da s povečanjem osnovnega kapitala iz sredstev družbe zavezanec pridobil nov poslovni delež, saj</w:t>
            </w:r>
            <w:r w:rsidR="0027425A">
              <w:rPr>
                <w:rFonts w:ascii="Arial" w:eastAsia="Calibri" w:hAnsi="Arial" w:cs="Arial"/>
                <w:sz w:val="20"/>
                <w:szCs w:val="20"/>
              </w:rPr>
              <w:t>,</w:t>
            </w:r>
            <w:r w:rsidRPr="007A3406">
              <w:rPr>
                <w:rFonts w:ascii="Arial" w:eastAsia="Calibri" w:hAnsi="Arial" w:cs="Arial"/>
                <w:sz w:val="20"/>
                <w:szCs w:val="20"/>
              </w:rPr>
              <w:t xml:space="preserve"> kot izhaja iz že povedanega, za namene obdavčevanja po ZDoh-2 poimenovanje in opredeljevanje deležev kot </w:t>
            </w:r>
            <w:r w:rsidR="0027425A">
              <w:rPr>
                <w:rFonts w:ascii="Arial" w:eastAsia="Calibri" w:hAnsi="Arial" w:cs="Arial"/>
                <w:sz w:val="20"/>
                <w:szCs w:val="20"/>
              </w:rPr>
              <w:t>«poslovni delež«</w:t>
            </w:r>
            <w:r w:rsidRPr="007A3406">
              <w:rPr>
                <w:rFonts w:ascii="Arial" w:eastAsia="Calibri" w:hAnsi="Arial" w:cs="Arial"/>
                <w:sz w:val="20"/>
                <w:szCs w:val="20"/>
              </w:rPr>
              <w:t xml:space="preserve"> ni relevantno. Se pa, kot že povedano, za davčne namene po ZDoh-2 šteje, da je družbenik ob povečanju osnovnega kapitala iz sredstev družbe pridobil dodatni istovrstni kapital (ki ustreza vrednostnem povečanju njegovega deleža v osnovnem kapitalu), pri čemer je po 103.</w:t>
            </w:r>
            <w:r w:rsidR="0027425A">
              <w:rPr>
                <w:rFonts w:ascii="Arial" w:eastAsia="Calibri" w:hAnsi="Arial" w:cs="Arial"/>
                <w:sz w:val="20"/>
                <w:szCs w:val="20"/>
              </w:rPr>
              <w:t> </w:t>
            </w:r>
            <w:r w:rsidRPr="007A3406">
              <w:rPr>
                <w:rFonts w:ascii="Arial" w:eastAsia="Calibri" w:hAnsi="Arial" w:cs="Arial"/>
                <w:sz w:val="20"/>
                <w:szCs w:val="20"/>
              </w:rPr>
              <w:t>členu ZDoh-2 dolžan voditi evidenco zalog takega istovrstnega kapitala po metodi FIFO.</w:t>
            </w:r>
          </w:p>
          <w:p w14:paraId="6295681B" w14:textId="77777777" w:rsidR="007A3406" w:rsidRPr="007A3406" w:rsidRDefault="007A3406" w:rsidP="007A3406">
            <w:pPr>
              <w:spacing w:line="276" w:lineRule="auto"/>
              <w:contextualSpacing/>
              <w:jc w:val="both"/>
              <w:rPr>
                <w:rFonts w:ascii="Arial" w:eastAsia="Calibri" w:hAnsi="Arial" w:cs="Arial"/>
                <w:sz w:val="20"/>
                <w:szCs w:val="20"/>
              </w:rPr>
            </w:pPr>
          </w:p>
          <w:p w14:paraId="18C7B884" w14:textId="69A59EFA" w:rsidR="007A3406" w:rsidRPr="007A3406" w:rsidRDefault="007A3406" w:rsidP="007A3406">
            <w:pPr>
              <w:spacing w:line="276" w:lineRule="auto"/>
              <w:contextualSpacing/>
              <w:jc w:val="both"/>
              <w:rPr>
                <w:rFonts w:ascii="Arial" w:eastAsia="Calibri" w:hAnsi="Arial" w:cs="Arial"/>
                <w:sz w:val="20"/>
                <w:szCs w:val="20"/>
              </w:rPr>
            </w:pPr>
            <w:r w:rsidRPr="007A3406">
              <w:rPr>
                <w:rFonts w:ascii="Arial" w:eastAsia="Calibri" w:hAnsi="Arial" w:cs="Arial"/>
                <w:sz w:val="20"/>
                <w:szCs w:val="20"/>
              </w:rPr>
              <w:t>Po ZDoh-2 ima vsaka pridobitev in tudi odsvojitev kapitala dve komponenti: časovno in vrednostno. V ZDoh-2 sta obe komponenti opredeljeni najprej s splošnim pravilom in nato v primeru posebnosti s posebnim pravilom. Četrti odstavek 98.</w:t>
            </w:r>
            <w:r w:rsidR="0027425A">
              <w:rPr>
                <w:rFonts w:ascii="Arial" w:eastAsia="Calibri" w:hAnsi="Arial" w:cs="Arial"/>
                <w:sz w:val="20"/>
                <w:szCs w:val="20"/>
              </w:rPr>
              <w:t> </w:t>
            </w:r>
            <w:r w:rsidRPr="007A3406">
              <w:rPr>
                <w:rFonts w:ascii="Arial" w:eastAsia="Calibri" w:hAnsi="Arial" w:cs="Arial"/>
                <w:sz w:val="20"/>
                <w:szCs w:val="20"/>
              </w:rPr>
              <w:t>člena ZDoh-2 (vrednost kapitala ob pridobitvi) – ki ureja določitev nabavne vrednosti delnice ali povečanja osnovnega kapitala iz sredstev družbe – je tako treba presojati kot specialno določbo glede na prvi odstavek 98.</w:t>
            </w:r>
            <w:r w:rsidR="0027425A">
              <w:rPr>
                <w:rFonts w:ascii="Arial" w:eastAsia="Calibri" w:hAnsi="Arial" w:cs="Arial"/>
                <w:sz w:val="20"/>
                <w:szCs w:val="20"/>
              </w:rPr>
              <w:t> </w:t>
            </w:r>
            <w:r w:rsidRPr="007A3406">
              <w:rPr>
                <w:rFonts w:ascii="Arial" w:eastAsia="Calibri" w:hAnsi="Arial" w:cs="Arial"/>
                <w:sz w:val="20"/>
                <w:szCs w:val="20"/>
              </w:rPr>
              <w:t>člena ZDoh-2. Zato samo zaradi odsotnosti posebne določbe v 101.</w:t>
            </w:r>
            <w:r w:rsidR="0027425A">
              <w:rPr>
                <w:rFonts w:ascii="Arial" w:eastAsia="Calibri" w:hAnsi="Arial" w:cs="Arial"/>
                <w:sz w:val="20"/>
                <w:szCs w:val="20"/>
              </w:rPr>
              <w:t> </w:t>
            </w:r>
            <w:r w:rsidRPr="007A3406">
              <w:rPr>
                <w:rFonts w:ascii="Arial" w:eastAsia="Calibri" w:hAnsi="Arial" w:cs="Arial"/>
                <w:sz w:val="20"/>
                <w:szCs w:val="20"/>
              </w:rPr>
              <w:t>členu (čas pridobitve kapitala) ZDoh-2, ki bi posebej urejala čas pridobitve deleža v osnovnemu kapitalu ob povečanju osnovnega kapitala iz sredstev družbe, ni mogoče sklepati, da je čas pridobitve kapitala enak času vplačila osnovnega vložka (oz. pridobitve poslovnega deleža v dotedanjem osnovnem kapitalu družbe), temveč se čas pridobitve takega dodatnega deleža presoja po splošnih določbah prvega odstavka 101.</w:t>
            </w:r>
            <w:r w:rsidR="0027425A">
              <w:rPr>
                <w:rFonts w:ascii="Arial" w:eastAsia="Calibri" w:hAnsi="Arial" w:cs="Arial"/>
                <w:sz w:val="20"/>
                <w:szCs w:val="20"/>
              </w:rPr>
              <w:t> </w:t>
            </w:r>
            <w:r w:rsidRPr="007A3406">
              <w:rPr>
                <w:rFonts w:ascii="Arial" w:eastAsia="Calibri" w:hAnsi="Arial" w:cs="Arial"/>
                <w:sz w:val="20"/>
                <w:szCs w:val="20"/>
              </w:rPr>
              <w:t xml:space="preserve">člena ZDoh-2. </w:t>
            </w:r>
          </w:p>
          <w:p w14:paraId="40FE5839" w14:textId="77777777" w:rsidR="007A3406" w:rsidRPr="007A3406" w:rsidRDefault="007A3406" w:rsidP="007A3406">
            <w:pPr>
              <w:spacing w:line="276" w:lineRule="auto"/>
              <w:contextualSpacing/>
              <w:jc w:val="both"/>
              <w:rPr>
                <w:rFonts w:ascii="Arial" w:eastAsia="Calibri" w:hAnsi="Arial" w:cs="Arial"/>
                <w:sz w:val="20"/>
                <w:szCs w:val="20"/>
              </w:rPr>
            </w:pPr>
          </w:p>
          <w:p w14:paraId="788B6C5A" w14:textId="14E9FEC9" w:rsidR="007A3406" w:rsidRPr="007A3406" w:rsidRDefault="007A3406" w:rsidP="007A3406">
            <w:pPr>
              <w:spacing w:line="276" w:lineRule="auto"/>
              <w:contextualSpacing/>
              <w:jc w:val="both"/>
              <w:rPr>
                <w:rFonts w:ascii="Arial" w:eastAsia="Calibri" w:hAnsi="Arial" w:cs="Arial"/>
                <w:sz w:val="20"/>
                <w:szCs w:val="20"/>
              </w:rPr>
            </w:pPr>
            <w:r w:rsidRPr="007A3406">
              <w:rPr>
                <w:rFonts w:ascii="Arial" w:eastAsia="Calibri" w:hAnsi="Arial" w:cs="Arial"/>
                <w:sz w:val="20"/>
                <w:szCs w:val="20"/>
              </w:rPr>
              <w:t>Na to, da se povečanje osnovnega kapitala iz sredstev družbe po ZDoh-2 šteje kot samostojni delež in s tem kot pridobitev kapitala, je mogoče sklepati tudi iz tega, da ima 98.</w:t>
            </w:r>
            <w:r w:rsidR="0027425A">
              <w:rPr>
                <w:rFonts w:ascii="Arial" w:eastAsia="Calibri" w:hAnsi="Arial" w:cs="Arial"/>
                <w:sz w:val="20"/>
                <w:szCs w:val="20"/>
              </w:rPr>
              <w:t> </w:t>
            </w:r>
            <w:r w:rsidRPr="007A3406">
              <w:rPr>
                <w:rFonts w:ascii="Arial" w:eastAsia="Calibri" w:hAnsi="Arial" w:cs="Arial"/>
                <w:sz w:val="20"/>
                <w:szCs w:val="20"/>
              </w:rPr>
              <w:t>člen ZDoh-2 naslov »Vrednost kapitala ob pridobitvi«, kar pomeni, da je v členu urejeno pridobivanje kapitala. Da gre pri povečanju osnovnega kapitala za pridobitev kapitala</w:t>
            </w:r>
            <w:r w:rsidR="0027425A">
              <w:rPr>
                <w:rFonts w:ascii="Arial" w:eastAsia="Calibri" w:hAnsi="Arial" w:cs="Arial"/>
                <w:sz w:val="20"/>
                <w:szCs w:val="20"/>
              </w:rPr>
              <w:t>,</w:t>
            </w:r>
            <w:r w:rsidRPr="007A3406">
              <w:rPr>
                <w:rFonts w:ascii="Arial" w:eastAsia="Calibri" w:hAnsi="Arial" w:cs="Arial"/>
                <w:sz w:val="20"/>
                <w:szCs w:val="20"/>
              </w:rPr>
              <w:t xml:space="preserve"> pa izhaja tudi iz določbe tretjega odstavka 97.</w:t>
            </w:r>
            <w:r w:rsidR="0027425A">
              <w:rPr>
                <w:rFonts w:ascii="Arial" w:eastAsia="Calibri" w:hAnsi="Arial" w:cs="Arial"/>
                <w:sz w:val="20"/>
                <w:szCs w:val="20"/>
              </w:rPr>
              <w:t> </w:t>
            </w:r>
            <w:r w:rsidRPr="007A3406">
              <w:rPr>
                <w:rFonts w:ascii="Arial" w:eastAsia="Calibri" w:hAnsi="Arial" w:cs="Arial"/>
                <w:sz w:val="20"/>
                <w:szCs w:val="20"/>
              </w:rPr>
              <w:t>člena ZDoh-2, ki določa, da zavezanec lahko uveljavlja izgubo iz preteklih davčnih let v primerih, ko je delež pridobil pri povečanju kapitala iz sredstev družbe.</w:t>
            </w:r>
          </w:p>
          <w:p w14:paraId="17C8BD3F" w14:textId="77777777" w:rsidR="007A3406" w:rsidRPr="007A3406" w:rsidRDefault="007A3406" w:rsidP="007A3406">
            <w:pPr>
              <w:spacing w:line="276" w:lineRule="auto"/>
              <w:contextualSpacing/>
              <w:jc w:val="both"/>
              <w:rPr>
                <w:rFonts w:ascii="Arial" w:eastAsia="Calibri" w:hAnsi="Arial" w:cs="Arial"/>
                <w:sz w:val="20"/>
                <w:szCs w:val="20"/>
              </w:rPr>
            </w:pPr>
          </w:p>
          <w:p w14:paraId="0B10D9CE" w14:textId="3CA76DB9" w:rsidR="007A3406" w:rsidRPr="007A3406" w:rsidRDefault="007A3406" w:rsidP="007A3406">
            <w:pPr>
              <w:spacing w:line="276" w:lineRule="auto"/>
              <w:contextualSpacing/>
              <w:jc w:val="both"/>
              <w:rPr>
                <w:rFonts w:ascii="Arial" w:eastAsia="Calibri" w:hAnsi="Arial" w:cs="Arial"/>
                <w:sz w:val="20"/>
                <w:szCs w:val="20"/>
              </w:rPr>
            </w:pPr>
            <w:r w:rsidRPr="007A3406">
              <w:rPr>
                <w:rFonts w:ascii="Arial" w:eastAsia="Calibri" w:hAnsi="Arial" w:cs="Arial"/>
                <w:sz w:val="20"/>
                <w:szCs w:val="20"/>
              </w:rPr>
              <w:lastRenderedPageBreak/>
              <w:t>Pri presojanju vsebine in namena posameznih določb ZDoh-2 je treba upoštevati tudi postopek sprejemanja zakona. Tako je n</w:t>
            </w:r>
            <w:r w:rsidR="0027425A">
              <w:rPr>
                <w:rFonts w:ascii="Arial" w:eastAsia="Calibri" w:hAnsi="Arial" w:cs="Arial"/>
                <w:sz w:val="20"/>
                <w:szCs w:val="20"/>
              </w:rPr>
              <w:t>a</w:t>
            </w:r>
            <w:r w:rsidR="00283DE8">
              <w:rPr>
                <w:rFonts w:ascii="Arial" w:eastAsia="Calibri" w:hAnsi="Arial" w:cs="Arial"/>
                <w:sz w:val="20"/>
                <w:szCs w:val="20"/>
              </w:rPr>
              <w:t xml:space="preserve"> </w:t>
            </w:r>
            <w:r w:rsidR="0027425A">
              <w:rPr>
                <w:rFonts w:ascii="Arial" w:eastAsia="Calibri" w:hAnsi="Arial" w:cs="Arial"/>
                <w:sz w:val="20"/>
                <w:szCs w:val="20"/>
              </w:rPr>
              <w:t>primer</w:t>
            </w:r>
            <w:r w:rsidRPr="007A3406">
              <w:rPr>
                <w:rFonts w:ascii="Arial" w:eastAsia="Calibri" w:hAnsi="Arial" w:cs="Arial"/>
                <w:sz w:val="20"/>
                <w:szCs w:val="20"/>
              </w:rPr>
              <w:t xml:space="preserve"> iz gradiv Državnega zbora (ki so javno dostopna med analitičnimi podatki na spletni strani Pis </w:t>
            </w:r>
            <w:r w:rsidR="0027425A">
              <w:rPr>
                <w:rFonts w:ascii="Arial" w:eastAsia="Calibri" w:hAnsi="Arial" w:cs="Arial"/>
                <w:sz w:val="20"/>
                <w:szCs w:val="20"/>
              </w:rPr>
              <w:t>–</w:t>
            </w:r>
            <w:r w:rsidRPr="007A3406">
              <w:rPr>
                <w:rFonts w:ascii="Arial" w:eastAsia="Calibri" w:hAnsi="Arial" w:cs="Arial"/>
                <w:sz w:val="20"/>
                <w:szCs w:val="20"/>
              </w:rPr>
              <w:t xml:space="preserve"> Pravno-informacijski sistem) v zvezi s sprejemanjem ZDoh-2 razvidno, da je Obrtna zbornica Slovenije (OZS) z dopisom z dne 26.</w:t>
            </w:r>
            <w:r w:rsidR="0027425A">
              <w:rPr>
                <w:rFonts w:ascii="Arial" w:eastAsia="Calibri" w:hAnsi="Arial" w:cs="Arial"/>
                <w:sz w:val="20"/>
                <w:szCs w:val="20"/>
              </w:rPr>
              <w:t> </w:t>
            </w:r>
            <w:r w:rsidRPr="007A3406">
              <w:rPr>
                <w:rFonts w:ascii="Arial" w:eastAsia="Calibri" w:hAnsi="Arial" w:cs="Arial"/>
                <w:sz w:val="20"/>
                <w:szCs w:val="20"/>
              </w:rPr>
              <w:t>9.</w:t>
            </w:r>
            <w:r w:rsidR="0027425A">
              <w:rPr>
                <w:rFonts w:ascii="Arial" w:eastAsia="Calibri" w:hAnsi="Arial" w:cs="Arial"/>
                <w:sz w:val="20"/>
                <w:szCs w:val="20"/>
              </w:rPr>
              <w:t> </w:t>
            </w:r>
            <w:r w:rsidRPr="007A3406">
              <w:rPr>
                <w:rFonts w:ascii="Arial" w:eastAsia="Calibri" w:hAnsi="Arial" w:cs="Arial"/>
                <w:sz w:val="20"/>
                <w:szCs w:val="20"/>
              </w:rPr>
              <w:t>2006 kabinetu Predsednika Državnega zbora, poslanskim skupinam Državnega zbora ter pristojnim odborom in komisijam Državnega zbora RS (in tudi predsedniku Vlade RS in pristojnim ministrstvom) v zvezi s predlogom ZDoh-2 med drugim predlagala amandma, s katerim bi se v četrtem odstavku 98.</w:t>
            </w:r>
            <w:r w:rsidR="00501AB0">
              <w:rPr>
                <w:rFonts w:ascii="Arial" w:eastAsia="Calibri" w:hAnsi="Arial" w:cs="Arial"/>
                <w:sz w:val="20"/>
                <w:szCs w:val="20"/>
              </w:rPr>
              <w:t> </w:t>
            </w:r>
            <w:r w:rsidRPr="007A3406">
              <w:rPr>
                <w:rFonts w:ascii="Arial" w:eastAsia="Calibri" w:hAnsi="Arial" w:cs="Arial"/>
                <w:sz w:val="20"/>
                <w:szCs w:val="20"/>
              </w:rPr>
              <w:t>člena predloga zakona dodal nov stavek, ki se glasi: »Povečanje osnovnega kapitala iz sredstev družbe se ne obravnava kot samostojen poslovni delež.«. Sprejetje takega amandmaja bi privedlo do take razlage določb 101.</w:t>
            </w:r>
            <w:r w:rsidR="00501AB0">
              <w:rPr>
                <w:rFonts w:ascii="Arial" w:eastAsia="Calibri" w:hAnsi="Arial" w:cs="Arial"/>
                <w:sz w:val="20"/>
                <w:szCs w:val="20"/>
              </w:rPr>
              <w:t> </w:t>
            </w:r>
            <w:r w:rsidRPr="007A3406">
              <w:rPr>
                <w:rFonts w:ascii="Arial" w:eastAsia="Calibri" w:hAnsi="Arial" w:cs="Arial"/>
                <w:sz w:val="20"/>
                <w:szCs w:val="20"/>
              </w:rPr>
              <w:t>člena ZDoh-2, kot jo je v zgoraj navedeni odločbi zavzelo Upravno sodišče. Vendar v zvezi z omenjenim predlogom OZS v razpravi ni bil vložen nikakršen amandma, kar je mogoče razumeti, da predlagani amandma med poslanci ni prejel (ali ni prejel zadostne) podpore, da bi ga katera poslanska skupina tudi dejansko vložila. Ne glede na to, da predlagani amandma OZS ni bil vložen, je iz njegove vsebine vendarle mogoče sklepati, da je tudi zainteresirana javnost ob sprejemanju zakona razumela, da se povečanje osnovnega kapitala iz sredstev družbe obravnava kot samostojen delež.</w:t>
            </w:r>
          </w:p>
          <w:p w14:paraId="208064FE" w14:textId="77777777" w:rsidR="007A3406" w:rsidRPr="007A3406" w:rsidRDefault="007A3406" w:rsidP="007A3406">
            <w:pPr>
              <w:spacing w:line="276" w:lineRule="auto"/>
              <w:contextualSpacing/>
              <w:jc w:val="both"/>
              <w:rPr>
                <w:rFonts w:ascii="Arial" w:eastAsia="Calibri" w:hAnsi="Arial" w:cs="Arial"/>
                <w:sz w:val="20"/>
                <w:szCs w:val="20"/>
              </w:rPr>
            </w:pPr>
          </w:p>
          <w:p w14:paraId="78AF1DBE" w14:textId="5566A102" w:rsidR="007A3406" w:rsidRPr="007A3406" w:rsidRDefault="007A3406" w:rsidP="007A3406">
            <w:pPr>
              <w:spacing w:line="276" w:lineRule="auto"/>
              <w:contextualSpacing/>
              <w:jc w:val="both"/>
              <w:rPr>
                <w:rFonts w:ascii="Arial" w:eastAsia="Calibri" w:hAnsi="Arial" w:cs="Arial"/>
                <w:sz w:val="20"/>
                <w:szCs w:val="20"/>
              </w:rPr>
            </w:pPr>
            <w:r w:rsidRPr="007A3406">
              <w:rPr>
                <w:rFonts w:ascii="Arial" w:eastAsia="Calibri" w:hAnsi="Arial" w:cs="Arial"/>
                <w:sz w:val="20"/>
                <w:szCs w:val="20"/>
              </w:rPr>
              <w:t xml:space="preserve">Splošno izvajanje določb ZDoh-2 na način, kot je odločilo Upravno sodišče v omenjeni sodbi, bi pomenilo, da se uvaja davčna oprostitev (po 15 letih </w:t>
            </w:r>
            <w:proofErr w:type="spellStart"/>
            <w:r w:rsidRPr="007A3406">
              <w:rPr>
                <w:rFonts w:ascii="Arial" w:eastAsia="Calibri" w:hAnsi="Arial" w:cs="Arial"/>
                <w:sz w:val="20"/>
                <w:szCs w:val="20"/>
              </w:rPr>
              <w:t>imetništva</w:t>
            </w:r>
            <w:proofErr w:type="spellEnd"/>
            <w:r w:rsidRPr="007A3406">
              <w:rPr>
                <w:rFonts w:ascii="Arial" w:eastAsia="Calibri" w:hAnsi="Arial" w:cs="Arial"/>
                <w:sz w:val="20"/>
                <w:szCs w:val="20"/>
              </w:rPr>
              <w:t xml:space="preserve"> kapitala) oz</w:t>
            </w:r>
            <w:r w:rsidR="00501AB0">
              <w:rPr>
                <w:rFonts w:ascii="Arial" w:eastAsia="Calibri" w:hAnsi="Arial" w:cs="Arial"/>
                <w:sz w:val="20"/>
                <w:szCs w:val="20"/>
              </w:rPr>
              <w:t>iroma</w:t>
            </w:r>
            <w:r w:rsidRPr="007A3406">
              <w:rPr>
                <w:rFonts w:ascii="Arial" w:eastAsia="Calibri" w:hAnsi="Arial" w:cs="Arial"/>
                <w:sz w:val="20"/>
                <w:szCs w:val="20"/>
              </w:rPr>
              <w:t xml:space="preserve"> razbremenitev (tj.</w:t>
            </w:r>
            <w:r w:rsidR="00501AB0">
              <w:rPr>
                <w:rFonts w:ascii="Arial" w:eastAsia="Calibri" w:hAnsi="Arial" w:cs="Arial"/>
                <w:sz w:val="20"/>
                <w:szCs w:val="20"/>
              </w:rPr>
              <w:t> </w:t>
            </w:r>
            <w:r w:rsidRPr="007A3406">
              <w:rPr>
                <w:rFonts w:ascii="Arial" w:eastAsia="Calibri" w:hAnsi="Arial" w:cs="Arial"/>
                <w:sz w:val="20"/>
                <w:szCs w:val="20"/>
              </w:rPr>
              <w:t xml:space="preserve">nižje stopnje obdavčitve z daljšanjem obdobja </w:t>
            </w:r>
            <w:proofErr w:type="spellStart"/>
            <w:r w:rsidRPr="007A3406">
              <w:rPr>
                <w:rFonts w:ascii="Arial" w:eastAsia="Calibri" w:hAnsi="Arial" w:cs="Arial"/>
                <w:sz w:val="20"/>
                <w:szCs w:val="20"/>
              </w:rPr>
              <w:t>imetništva</w:t>
            </w:r>
            <w:proofErr w:type="spellEnd"/>
            <w:r w:rsidRPr="007A3406">
              <w:rPr>
                <w:rFonts w:ascii="Arial" w:eastAsia="Calibri" w:hAnsi="Arial" w:cs="Arial"/>
                <w:sz w:val="20"/>
                <w:szCs w:val="20"/>
              </w:rPr>
              <w:t xml:space="preserve"> kapitala) tam, kjer je do takrat ni bilo in kjer je zakonodajalec ni predvidel, kar bi lahko še dodatno spodbudilo družbe k </w:t>
            </w:r>
            <w:proofErr w:type="spellStart"/>
            <w:r w:rsidRPr="007A3406">
              <w:rPr>
                <w:rFonts w:ascii="Arial" w:eastAsia="Calibri" w:hAnsi="Arial" w:cs="Arial"/>
                <w:sz w:val="20"/>
                <w:szCs w:val="20"/>
              </w:rPr>
              <w:t>neizplačevanju</w:t>
            </w:r>
            <w:proofErr w:type="spellEnd"/>
            <w:r w:rsidRPr="007A3406">
              <w:rPr>
                <w:rFonts w:ascii="Arial" w:eastAsia="Calibri" w:hAnsi="Arial" w:cs="Arial"/>
                <w:sz w:val="20"/>
                <w:szCs w:val="20"/>
              </w:rPr>
              <w:t xml:space="preserve"> dobička in povečevanju osnovnega kapitala iz sredstev družbe (prenesenega dobička). Po odločitvi sodišča se v primerih povečanja osnovnega kapitala iz prenesenega dobička ta dobiček pretvori v dobiček iz kapitala, kot je določeno z ZDoh-2, vendar pa se ta dobiček obdavči po nižji stopnji, kot bi lahko veljala za obdobje </w:t>
            </w:r>
            <w:proofErr w:type="spellStart"/>
            <w:r w:rsidRPr="007A3406">
              <w:rPr>
                <w:rFonts w:ascii="Arial" w:eastAsia="Calibri" w:hAnsi="Arial" w:cs="Arial"/>
                <w:sz w:val="20"/>
                <w:szCs w:val="20"/>
              </w:rPr>
              <w:t>imetništva</w:t>
            </w:r>
            <w:proofErr w:type="spellEnd"/>
            <w:r w:rsidRPr="007A3406">
              <w:rPr>
                <w:rFonts w:ascii="Arial" w:eastAsia="Calibri" w:hAnsi="Arial" w:cs="Arial"/>
                <w:sz w:val="20"/>
                <w:szCs w:val="20"/>
              </w:rPr>
              <w:t xml:space="preserve"> tako pridobljenega dela deleža družbenika v osnovnem kapitalu družbe v primeru njegove odsvojitve (tj.</w:t>
            </w:r>
            <w:r w:rsidR="00501AB0">
              <w:rPr>
                <w:rFonts w:ascii="Arial" w:eastAsia="Calibri" w:hAnsi="Arial" w:cs="Arial"/>
                <w:sz w:val="20"/>
                <w:szCs w:val="20"/>
              </w:rPr>
              <w:t> </w:t>
            </w:r>
            <w:r w:rsidRPr="007A3406">
              <w:rPr>
                <w:rFonts w:ascii="Arial" w:eastAsia="Calibri" w:hAnsi="Arial" w:cs="Arial"/>
                <w:sz w:val="20"/>
                <w:szCs w:val="20"/>
              </w:rPr>
              <w:t xml:space="preserve">za obdobje od dne vpisa povečanja osnovnega kapitala v sodni register do odsvojitve deleža). Po odločitvi sodišča bi bil dobiček iz odsvojitve takega deleža zavezanca obdavčen po stopnji, kot bi veljala za obdobje </w:t>
            </w:r>
            <w:proofErr w:type="spellStart"/>
            <w:r w:rsidRPr="007A3406">
              <w:rPr>
                <w:rFonts w:ascii="Arial" w:eastAsia="Calibri" w:hAnsi="Arial" w:cs="Arial"/>
                <w:sz w:val="20"/>
                <w:szCs w:val="20"/>
              </w:rPr>
              <w:t>imetništva</w:t>
            </w:r>
            <w:proofErr w:type="spellEnd"/>
            <w:r w:rsidRPr="007A3406">
              <w:rPr>
                <w:rFonts w:ascii="Arial" w:eastAsia="Calibri" w:hAnsi="Arial" w:cs="Arial"/>
                <w:sz w:val="20"/>
                <w:szCs w:val="20"/>
              </w:rPr>
              <w:t xml:space="preserve"> poslovnega deleža (torej od dne vplačila osnovnega vložka družbenika v družbo do odsvojitve deleža), kar bi pomenilo obdavčitev po nižji davčni stopnji oziroma celo oprostitev v primeru, ko je od vplačila osnovnega vložka minilo več kot 15 let. Taka ureditev bi v primeru družbenikov, ki so to postali že pred več kot 15 leti, pomenila, da lahko pridobivajo in odsvojijo deleže v osnovnem kapitalu družb iz prenesenega dobička družb praktično brez obdavčitve z dohodnino, za razliko od družbenikov, ki so to postali pred kratkim, saj bi bili slednji v primeru odsvojitve tako pridobljenega deleža bolj obdavčeni. </w:t>
            </w:r>
            <w:r w:rsidR="00501AB0">
              <w:rPr>
                <w:rFonts w:ascii="Arial" w:eastAsia="Calibri" w:hAnsi="Arial" w:cs="Arial"/>
                <w:sz w:val="20"/>
                <w:szCs w:val="20"/>
              </w:rPr>
              <w:t>Ker</w:t>
            </w:r>
            <w:r w:rsidRPr="007A3406">
              <w:rPr>
                <w:rFonts w:ascii="Arial" w:eastAsia="Calibri" w:hAnsi="Arial" w:cs="Arial"/>
                <w:sz w:val="20"/>
                <w:szCs w:val="20"/>
              </w:rPr>
              <w:t xml:space="preserve"> bi prvi omenjeni in drugi omenjeni družbeniki delež v osnovnem kapitalu družbe ob povečanju osnovnega kapitala iz sredstev družbe (med drugim prenesenega dobička) pridobili sočasno (in celo na podlagi istega sklepa skupščine), je vprašanje, ali bi bila taka različna davčna obravnava dohodkov družbenikov skladna z ustavnim načelom enakosti.</w:t>
            </w:r>
          </w:p>
          <w:p w14:paraId="7114E813" w14:textId="77777777" w:rsidR="007A3406" w:rsidRPr="007A3406" w:rsidRDefault="007A3406" w:rsidP="007A3406">
            <w:pPr>
              <w:spacing w:line="276" w:lineRule="auto"/>
              <w:contextualSpacing/>
              <w:jc w:val="both"/>
              <w:rPr>
                <w:rFonts w:ascii="Arial" w:eastAsia="Calibri" w:hAnsi="Arial" w:cs="Arial"/>
                <w:sz w:val="20"/>
                <w:szCs w:val="20"/>
              </w:rPr>
            </w:pPr>
          </w:p>
          <w:p w14:paraId="4A180A07" w14:textId="17E6C8A6" w:rsidR="007A3406" w:rsidRPr="007A3406" w:rsidRDefault="00501AB0" w:rsidP="007A3406">
            <w:pPr>
              <w:spacing w:line="276" w:lineRule="auto"/>
              <w:contextualSpacing/>
              <w:jc w:val="both"/>
              <w:rPr>
                <w:rFonts w:ascii="Arial" w:eastAsia="Calibri" w:hAnsi="Arial" w:cs="Arial"/>
                <w:sz w:val="20"/>
                <w:szCs w:val="20"/>
              </w:rPr>
            </w:pPr>
            <w:bookmarkStart w:id="2" w:name="_Hlk112327082"/>
            <w:r>
              <w:rPr>
                <w:rFonts w:ascii="Arial" w:eastAsia="Calibri" w:hAnsi="Arial" w:cs="Arial"/>
                <w:sz w:val="20"/>
                <w:szCs w:val="20"/>
              </w:rPr>
              <w:t>Ob u</w:t>
            </w:r>
            <w:r w:rsidR="007A3406" w:rsidRPr="007A3406">
              <w:rPr>
                <w:rFonts w:ascii="Arial" w:eastAsia="Calibri" w:hAnsi="Arial" w:cs="Arial"/>
                <w:sz w:val="20"/>
                <w:szCs w:val="20"/>
              </w:rPr>
              <w:t>pošteva</w:t>
            </w:r>
            <w:r>
              <w:rPr>
                <w:rFonts w:ascii="Arial" w:eastAsia="Calibri" w:hAnsi="Arial" w:cs="Arial"/>
                <w:sz w:val="20"/>
                <w:szCs w:val="20"/>
              </w:rPr>
              <w:t>nju</w:t>
            </w:r>
            <w:r w:rsidR="007A3406" w:rsidRPr="007A3406">
              <w:rPr>
                <w:rFonts w:ascii="Arial" w:eastAsia="Calibri" w:hAnsi="Arial" w:cs="Arial"/>
                <w:sz w:val="20"/>
                <w:szCs w:val="20"/>
              </w:rPr>
              <w:t xml:space="preserve"> naveden</w:t>
            </w:r>
            <w:r>
              <w:rPr>
                <w:rFonts w:ascii="Arial" w:eastAsia="Calibri" w:hAnsi="Arial" w:cs="Arial"/>
                <w:sz w:val="20"/>
                <w:szCs w:val="20"/>
              </w:rPr>
              <w:t>ega</w:t>
            </w:r>
            <w:r w:rsidR="007A3406" w:rsidRPr="007A3406">
              <w:rPr>
                <w:rFonts w:ascii="Arial" w:eastAsia="Calibri" w:hAnsi="Arial" w:cs="Arial"/>
                <w:sz w:val="20"/>
                <w:szCs w:val="20"/>
              </w:rPr>
              <w:t xml:space="preserve"> se predlaga, da se v ZDoh-2 jasneje določi, da se tudi povečanje osnovnega kapitala družbe iz sredstev družbe, podobno</w:t>
            </w:r>
            <w:r>
              <w:rPr>
                <w:rFonts w:ascii="Arial" w:eastAsia="Calibri" w:hAnsi="Arial" w:cs="Arial"/>
                <w:sz w:val="20"/>
                <w:szCs w:val="20"/>
              </w:rPr>
              <w:t>,</w:t>
            </w:r>
            <w:r w:rsidR="007A3406" w:rsidRPr="007A3406">
              <w:rPr>
                <w:rFonts w:ascii="Arial" w:eastAsia="Calibri" w:hAnsi="Arial" w:cs="Arial"/>
                <w:sz w:val="20"/>
                <w:szCs w:val="20"/>
              </w:rPr>
              <w:t xml:space="preserve"> kot v primeru povečanja osnovnega kapitala družbe z vložki, za namene obdavčevanja z dohodnino šteje kot ločena/nova pridobitev kapitala oziroma dela kapitala delničarjev/družbenikov, in sicer prek posebne opredelitve časa pridobitve kapitala v teh primerih.</w:t>
            </w:r>
          </w:p>
          <w:bookmarkEnd w:id="2"/>
          <w:p w14:paraId="65D2DAD2" w14:textId="17458264" w:rsidR="007A3406" w:rsidRDefault="007A3406" w:rsidP="001C472F">
            <w:pPr>
              <w:spacing w:after="0" w:line="276" w:lineRule="auto"/>
              <w:contextualSpacing/>
              <w:jc w:val="both"/>
              <w:rPr>
                <w:rFonts w:ascii="Arial" w:eastAsia="Calibri" w:hAnsi="Arial" w:cs="Arial"/>
                <w:i/>
                <w:iCs/>
                <w:sz w:val="20"/>
                <w:szCs w:val="20"/>
              </w:rPr>
            </w:pPr>
          </w:p>
          <w:p w14:paraId="65E3A94E" w14:textId="351333D5" w:rsidR="001C472F" w:rsidRPr="00B42EBD" w:rsidRDefault="007A3406" w:rsidP="001C472F">
            <w:pPr>
              <w:spacing w:after="0" w:line="276" w:lineRule="auto"/>
              <w:contextualSpacing/>
              <w:jc w:val="both"/>
              <w:rPr>
                <w:rFonts w:ascii="Arial" w:eastAsia="Calibri" w:hAnsi="Arial" w:cs="Arial"/>
                <w:i/>
                <w:iCs/>
                <w:sz w:val="20"/>
                <w:szCs w:val="20"/>
              </w:rPr>
            </w:pPr>
            <w:r>
              <w:rPr>
                <w:rFonts w:ascii="Arial" w:eastAsia="Calibri" w:hAnsi="Arial" w:cs="Arial"/>
                <w:i/>
                <w:iCs/>
                <w:sz w:val="20"/>
                <w:szCs w:val="20"/>
              </w:rPr>
              <w:t>c</w:t>
            </w:r>
            <w:r w:rsidR="001C472F" w:rsidRPr="00B42EBD">
              <w:rPr>
                <w:rFonts w:ascii="Arial" w:eastAsia="Calibri" w:hAnsi="Arial" w:cs="Arial"/>
                <w:i/>
                <w:iCs/>
                <w:sz w:val="20"/>
                <w:szCs w:val="20"/>
              </w:rPr>
              <w:t xml:space="preserve">) </w:t>
            </w:r>
            <w:r w:rsidR="001C472F">
              <w:rPr>
                <w:rFonts w:ascii="Arial" w:eastAsia="Calibri" w:hAnsi="Arial" w:cs="Arial"/>
                <w:i/>
                <w:iCs/>
                <w:sz w:val="20"/>
                <w:szCs w:val="20"/>
              </w:rPr>
              <w:t>Odprava</w:t>
            </w:r>
            <w:r w:rsidR="001C472F" w:rsidRPr="00B42EBD">
              <w:rPr>
                <w:rFonts w:ascii="Arial" w:eastAsia="Calibri" w:hAnsi="Arial" w:cs="Arial"/>
                <w:i/>
                <w:iCs/>
                <w:sz w:val="20"/>
                <w:szCs w:val="20"/>
              </w:rPr>
              <w:t xml:space="preserve"> možnosti odločitve o vključitvi dohodkov iz oddajanja premoženja v najem in dohodkov iz kapitala v letno davčno osnovo</w:t>
            </w:r>
          </w:p>
          <w:p w14:paraId="1837BA0A" w14:textId="6D614D89" w:rsidR="001C472F" w:rsidRDefault="001C472F" w:rsidP="001C472F">
            <w:pPr>
              <w:spacing w:after="0" w:line="276" w:lineRule="auto"/>
              <w:contextualSpacing/>
              <w:jc w:val="both"/>
              <w:rPr>
                <w:rFonts w:ascii="Arial" w:eastAsia="Calibri" w:hAnsi="Arial" w:cs="Arial"/>
                <w:sz w:val="20"/>
                <w:szCs w:val="20"/>
              </w:rPr>
            </w:pPr>
            <w:r>
              <w:rPr>
                <w:rFonts w:ascii="Arial" w:eastAsia="Calibri" w:hAnsi="Arial" w:cs="Arial"/>
                <w:sz w:val="20"/>
                <w:szCs w:val="20"/>
              </w:rPr>
              <w:t>Po</w:t>
            </w:r>
            <w:r w:rsidRPr="004513FD">
              <w:rPr>
                <w:rFonts w:ascii="Arial" w:eastAsia="Calibri" w:hAnsi="Arial" w:cs="Arial"/>
                <w:sz w:val="20"/>
                <w:szCs w:val="20"/>
              </w:rPr>
              <w:t xml:space="preserve"> veljavni ureditvi se </w:t>
            </w:r>
            <w:r>
              <w:rPr>
                <w:rFonts w:ascii="Arial" w:eastAsia="Calibri" w:hAnsi="Arial" w:cs="Arial"/>
                <w:sz w:val="20"/>
                <w:szCs w:val="20"/>
              </w:rPr>
              <w:t xml:space="preserve">zavezanci lahko odločijo, da se </w:t>
            </w:r>
            <w:r w:rsidRPr="004513FD">
              <w:rPr>
                <w:rFonts w:ascii="Arial" w:eastAsia="Calibri" w:hAnsi="Arial" w:cs="Arial"/>
                <w:sz w:val="20"/>
                <w:szCs w:val="20"/>
              </w:rPr>
              <w:t>dohodki</w:t>
            </w:r>
            <w:r>
              <w:rPr>
                <w:rFonts w:ascii="Arial" w:eastAsia="Calibri" w:hAnsi="Arial" w:cs="Arial"/>
                <w:sz w:val="20"/>
                <w:szCs w:val="20"/>
              </w:rPr>
              <w:t xml:space="preserve"> </w:t>
            </w:r>
            <w:r w:rsidRPr="001C472F">
              <w:rPr>
                <w:rFonts w:ascii="Arial" w:eastAsia="Calibri" w:hAnsi="Arial" w:cs="Arial"/>
                <w:sz w:val="20"/>
                <w:szCs w:val="20"/>
              </w:rPr>
              <w:t>iz oddajanja premoženja v najem in dohodk</w:t>
            </w:r>
            <w:r>
              <w:rPr>
                <w:rFonts w:ascii="Arial" w:eastAsia="Calibri" w:hAnsi="Arial" w:cs="Arial"/>
                <w:sz w:val="20"/>
                <w:szCs w:val="20"/>
              </w:rPr>
              <w:t>i</w:t>
            </w:r>
            <w:r w:rsidRPr="001C472F">
              <w:rPr>
                <w:rFonts w:ascii="Arial" w:eastAsia="Calibri" w:hAnsi="Arial" w:cs="Arial"/>
                <w:sz w:val="20"/>
                <w:szCs w:val="20"/>
              </w:rPr>
              <w:t xml:space="preserve"> iz kapitala </w:t>
            </w:r>
            <w:r>
              <w:rPr>
                <w:rFonts w:ascii="Arial" w:eastAsia="Calibri" w:hAnsi="Arial" w:cs="Arial"/>
                <w:sz w:val="20"/>
                <w:szCs w:val="20"/>
              </w:rPr>
              <w:t xml:space="preserve">vštevajo </w:t>
            </w:r>
            <w:r w:rsidRPr="001C472F">
              <w:rPr>
                <w:rFonts w:ascii="Arial" w:eastAsia="Calibri" w:hAnsi="Arial" w:cs="Arial"/>
                <w:sz w:val="20"/>
                <w:szCs w:val="20"/>
              </w:rPr>
              <w:t>v letno davčno osnovo</w:t>
            </w:r>
            <w:r>
              <w:rPr>
                <w:rFonts w:ascii="Arial" w:eastAsia="Calibri" w:hAnsi="Arial" w:cs="Arial"/>
                <w:sz w:val="20"/>
                <w:szCs w:val="20"/>
              </w:rPr>
              <w:t xml:space="preserve">. V osnovi se ti dohodki obdavčijo </w:t>
            </w:r>
            <w:proofErr w:type="spellStart"/>
            <w:r w:rsidRPr="004513FD">
              <w:rPr>
                <w:rFonts w:ascii="Arial" w:eastAsia="Calibri" w:hAnsi="Arial" w:cs="Arial"/>
                <w:sz w:val="20"/>
                <w:szCs w:val="20"/>
              </w:rPr>
              <w:t>cedularno</w:t>
            </w:r>
            <w:proofErr w:type="spellEnd"/>
            <w:r w:rsidRPr="004513FD">
              <w:rPr>
                <w:rFonts w:ascii="Arial" w:eastAsia="Calibri" w:hAnsi="Arial" w:cs="Arial"/>
                <w:sz w:val="20"/>
                <w:szCs w:val="20"/>
              </w:rPr>
              <w:t>, tj. po enotni davčni stopnji, brez možnosti upoštevanja davčnih olajšav</w:t>
            </w:r>
            <w:r>
              <w:rPr>
                <w:rFonts w:ascii="Arial" w:eastAsia="Calibri" w:hAnsi="Arial" w:cs="Arial"/>
                <w:sz w:val="20"/>
                <w:szCs w:val="20"/>
              </w:rPr>
              <w:t xml:space="preserve">, na podlagi odločitve davčnega zavezanca pa se lahko ti dohodki </w:t>
            </w:r>
            <w:r w:rsidRPr="004513FD">
              <w:rPr>
                <w:rFonts w:ascii="Arial" w:eastAsia="Calibri" w:hAnsi="Arial" w:cs="Arial"/>
                <w:sz w:val="20"/>
                <w:szCs w:val="20"/>
              </w:rPr>
              <w:t>obdavč</w:t>
            </w:r>
            <w:r>
              <w:rPr>
                <w:rFonts w:ascii="Arial" w:eastAsia="Calibri" w:hAnsi="Arial" w:cs="Arial"/>
                <w:sz w:val="20"/>
                <w:szCs w:val="20"/>
              </w:rPr>
              <w:t>ijo</w:t>
            </w:r>
            <w:r w:rsidRPr="004513FD">
              <w:rPr>
                <w:rFonts w:ascii="Arial" w:eastAsia="Calibri" w:hAnsi="Arial" w:cs="Arial"/>
                <w:sz w:val="20"/>
                <w:szCs w:val="20"/>
              </w:rPr>
              <w:t xml:space="preserve"> sintetično, tj. dohodki se vštevajo v letno davčno osnovo in se obdavčijo po progresivni davčni lestvici in z možnostjo upoštevanja davčnih olajšav</w:t>
            </w:r>
            <w:r>
              <w:rPr>
                <w:rFonts w:ascii="Arial" w:eastAsia="Calibri" w:hAnsi="Arial" w:cs="Arial"/>
                <w:sz w:val="20"/>
                <w:szCs w:val="20"/>
              </w:rPr>
              <w:t xml:space="preserve">. </w:t>
            </w:r>
          </w:p>
          <w:p w14:paraId="5B3CF517" w14:textId="1919141C" w:rsidR="001C472F" w:rsidRDefault="001C472F" w:rsidP="001C472F">
            <w:pPr>
              <w:spacing w:after="0" w:line="276" w:lineRule="auto"/>
              <w:contextualSpacing/>
              <w:jc w:val="both"/>
              <w:rPr>
                <w:rFonts w:ascii="Arial" w:eastAsia="Calibri" w:hAnsi="Arial" w:cs="Arial"/>
                <w:sz w:val="20"/>
                <w:szCs w:val="20"/>
              </w:rPr>
            </w:pPr>
            <w:r>
              <w:rPr>
                <w:rFonts w:ascii="Arial" w:eastAsia="Calibri" w:hAnsi="Arial" w:cs="Arial"/>
                <w:sz w:val="20"/>
                <w:szCs w:val="20"/>
              </w:rPr>
              <w:t>Z</w:t>
            </w:r>
            <w:r w:rsidRPr="00A559C2">
              <w:rPr>
                <w:rFonts w:ascii="Arial" w:eastAsia="Calibri" w:hAnsi="Arial" w:cs="Arial"/>
                <w:sz w:val="20"/>
                <w:szCs w:val="20"/>
              </w:rPr>
              <w:t xml:space="preserve">aradi </w:t>
            </w:r>
            <w:r w:rsidR="004F156C">
              <w:rPr>
                <w:rFonts w:ascii="Arial" w:eastAsia="Calibri" w:hAnsi="Arial" w:cs="Arial"/>
                <w:sz w:val="20"/>
                <w:szCs w:val="20"/>
              </w:rPr>
              <w:t xml:space="preserve">zasledovanja pravičnejše obravnave zavezancev s podobnimi dohodki in enostavnosti sistema </w:t>
            </w:r>
            <w:r>
              <w:rPr>
                <w:rFonts w:ascii="Arial" w:eastAsia="Calibri" w:hAnsi="Arial" w:cs="Arial"/>
                <w:sz w:val="20"/>
                <w:szCs w:val="20"/>
              </w:rPr>
              <w:t>se predlaga, da se navedena možnost izbire odpravi</w:t>
            </w:r>
            <w:r w:rsidR="001934AF">
              <w:rPr>
                <w:rFonts w:ascii="Arial" w:eastAsia="Calibri" w:hAnsi="Arial" w:cs="Arial"/>
                <w:sz w:val="20"/>
                <w:szCs w:val="20"/>
              </w:rPr>
              <w:t>.</w:t>
            </w:r>
          </w:p>
          <w:p w14:paraId="0F5E5766" w14:textId="77777777" w:rsidR="001C472F" w:rsidRPr="00833C5D" w:rsidRDefault="001C472F" w:rsidP="00833C5D">
            <w:pPr>
              <w:shd w:val="clear" w:color="auto" w:fill="FFFFFF" w:themeFill="background1"/>
              <w:spacing w:after="0" w:line="260" w:lineRule="exact"/>
              <w:jc w:val="both"/>
              <w:rPr>
                <w:rFonts w:ascii="Arial" w:hAnsi="Arial" w:cs="Arial"/>
                <w:sz w:val="20"/>
                <w:szCs w:val="20"/>
              </w:rPr>
            </w:pPr>
          </w:p>
          <w:p w14:paraId="3C6D4ACD" w14:textId="082F7AC3" w:rsidR="00E23DE3" w:rsidRDefault="00E23DE3" w:rsidP="00E23DE3">
            <w:pPr>
              <w:spacing w:after="0" w:line="276" w:lineRule="auto"/>
              <w:contextualSpacing/>
              <w:jc w:val="both"/>
              <w:rPr>
                <w:rFonts w:ascii="Arial" w:eastAsia="Calibri" w:hAnsi="Arial" w:cs="Arial"/>
                <w:sz w:val="20"/>
                <w:szCs w:val="20"/>
              </w:rPr>
            </w:pPr>
            <w:r>
              <w:rPr>
                <w:rFonts w:ascii="Arial" w:eastAsia="Calibri" w:hAnsi="Arial" w:cs="Arial"/>
                <w:sz w:val="20"/>
                <w:szCs w:val="20"/>
              </w:rPr>
              <w:lastRenderedPageBreak/>
              <w:t>1.6 Kmetijstvo</w:t>
            </w:r>
          </w:p>
          <w:p w14:paraId="47DB7669" w14:textId="1EC15AD3" w:rsidR="00E23DE3" w:rsidRDefault="00E23DE3" w:rsidP="00E23DE3">
            <w:pPr>
              <w:spacing w:after="0" w:line="276" w:lineRule="auto"/>
              <w:contextualSpacing/>
              <w:jc w:val="both"/>
              <w:rPr>
                <w:rFonts w:ascii="Arial" w:hAnsi="Arial" w:cs="Arial"/>
                <w:sz w:val="20"/>
                <w:szCs w:val="20"/>
              </w:rPr>
            </w:pPr>
            <w:r>
              <w:rPr>
                <w:rFonts w:ascii="Arial" w:eastAsia="Calibri" w:hAnsi="Arial" w:cs="Arial"/>
                <w:sz w:val="20"/>
                <w:szCs w:val="20"/>
              </w:rPr>
              <w:t xml:space="preserve">V ZDoh-2 so obdavčitvi dohodkov od opravljanja kmetijske in gozdarske dejavnosti fizičnih oseb, ki je </w:t>
            </w:r>
            <w:r w:rsidRPr="009B4EDC">
              <w:rPr>
                <w:rFonts w:ascii="Arial" w:eastAsia="Calibri" w:hAnsi="Arial" w:cs="Arial"/>
                <w:sz w:val="20"/>
                <w:szCs w:val="20"/>
              </w:rPr>
              <w:t xml:space="preserve">vezana na </w:t>
            </w:r>
            <w:r w:rsidRPr="00643F11">
              <w:rPr>
                <w:rFonts w:ascii="Arial" w:eastAsia="Calibri" w:hAnsi="Arial" w:cs="Arial"/>
                <w:sz w:val="20"/>
                <w:szCs w:val="20"/>
              </w:rPr>
              <w:t>uporabo kmetijskih in gozdnih zemljišč, namenjene posebn</w:t>
            </w:r>
            <w:r>
              <w:rPr>
                <w:rFonts w:ascii="Arial" w:eastAsia="Calibri" w:hAnsi="Arial" w:cs="Arial"/>
                <w:sz w:val="20"/>
                <w:szCs w:val="20"/>
              </w:rPr>
              <w:t>e</w:t>
            </w:r>
            <w:r w:rsidRPr="00643F11">
              <w:rPr>
                <w:rFonts w:ascii="Arial" w:eastAsia="Calibri" w:hAnsi="Arial" w:cs="Arial"/>
                <w:sz w:val="20"/>
                <w:szCs w:val="20"/>
              </w:rPr>
              <w:t xml:space="preserve"> rešitve, urejene v poglavju</w:t>
            </w:r>
            <w:r w:rsidR="00501AB0">
              <w:rPr>
                <w:rFonts w:ascii="Arial" w:eastAsia="Calibri" w:hAnsi="Arial" w:cs="Arial"/>
                <w:sz w:val="20"/>
                <w:szCs w:val="20"/>
              </w:rPr>
              <w:t> </w:t>
            </w:r>
            <w:r w:rsidRPr="00643F11">
              <w:rPr>
                <w:rFonts w:ascii="Arial" w:eastAsia="Calibri" w:hAnsi="Arial" w:cs="Arial"/>
                <w:sz w:val="20"/>
                <w:szCs w:val="20"/>
              </w:rPr>
              <w:t xml:space="preserve">4. Dohodek iz osnovne kmetijske in osnovne gozdarske dejavnosti. </w:t>
            </w:r>
            <w:r>
              <w:rPr>
                <w:rFonts w:ascii="Arial" w:eastAsia="Calibri" w:hAnsi="Arial" w:cs="Arial"/>
                <w:sz w:val="20"/>
                <w:szCs w:val="20"/>
              </w:rPr>
              <w:t>S</w:t>
            </w:r>
            <w:r w:rsidRPr="00643F11">
              <w:rPr>
                <w:rFonts w:ascii="Arial" w:eastAsia="Calibri" w:hAnsi="Arial" w:cs="Arial"/>
                <w:sz w:val="20"/>
                <w:szCs w:val="20"/>
              </w:rPr>
              <w:t xml:space="preserve">kladno z možnostjo, ki jo ponuja drugi odstavek </w:t>
            </w:r>
            <w:r w:rsidRPr="0067210F">
              <w:rPr>
                <w:rFonts w:ascii="Arial" w:eastAsia="Calibri" w:hAnsi="Arial" w:cs="Arial"/>
                <w:sz w:val="20"/>
                <w:szCs w:val="20"/>
              </w:rPr>
              <w:t>9.</w:t>
            </w:r>
            <w:r w:rsidR="00501AB0">
              <w:rPr>
                <w:rFonts w:ascii="Arial" w:eastAsia="Calibri" w:hAnsi="Arial" w:cs="Arial"/>
                <w:sz w:val="20"/>
                <w:szCs w:val="20"/>
              </w:rPr>
              <w:t> </w:t>
            </w:r>
            <w:r w:rsidRPr="0067210F">
              <w:rPr>
                <w:rFonts w:ascii="Arial" w:eastAsia="Calibri" w:hAnsi="Arial" w:cs="Arial"/>
                <w:sz w:val="20"/>
                <w:szCs w:val="20"/>
              </w:rPr>
              <w:t xml:space="preserve">člena </w:t>
            </w:r>
            <w:r w:rsidR="00BC6C40">
              <w:rPr>
                <w:rFonts w:ascii="Arial" w:eastAsia="Calibri" w:hAnsi="Arial" w:cs="Arial"/>
                <w:sz w:val="20"/>
                <w:szCs w:val="20"/>
              </w:rPr>
              <w:t>ZGD-1</w:t>
            </w:r>
            <w:r w:rsidRPr="0067210F">
              <w:rPr>
                <w:rFonts w:ascii="Arial" w:hAnsi="Arial" w:cs="Arial"/>
                <w:sz w:val="20"/>
                <w:szCs w:val="20"/>
              </w:rPr>
              <w:t>, se tudi za davčne namene od fizičnih oseb, ki imajo v uporabi kmetijska in gozdna zemljišča, ne zahteva registracija opravljanja kmetijske in gozdarske dejavnosti, niti ne nalaga obveznost vodenja kakršnih koli evidenc. Zanje se že na podlagi dejstva, da razpolagajo s kmetijskimi in gozdnimi zemljišči, za davčne namene šteje, da opravljajo kmetijsko in gozdarsko dejavnost, njihov dohodek od pridelave pa ocenjuje pavšalno na podlagi katastrskega dohodka in pavšalne ocene dohodka na čebelji panj. Način izračuna pavšalnega dohodka ureja Zakon o ugotavljanju katastrskega dohodka (Uradni list RS, št.</w:t>
            </w:r>
            <w:r w:rsidR="000D5182">
              <w:rPr>
                <w:rFonts w:ascii="Arial" w:hAnsi="Arial" w:cs="Arial"/>
                <w:sz w:val="20"/>
                <w:szCs w:val="20"/>
              </w:rPr>
              <w:t> </w:t>
            </w:r>
            <w:hyperlink r:id="rId15" w:tgtFrame="_blank" w:tooltip="Zakon o ugotavljanju katastrskega dohodka (ZUKD-2)" w:history="1">
              <w:r w:rsidRPr="00D01E69">
                <w:rPr>
                  <w:rFonts w:ascii="Arial" w:hAnsi="Arial" w:cs="Arial"/>
                  <w:sz w:val="20"/>
                  <w:szCs w:val="20"/>
                </w:rPr>
                <w:t>63/16</w:t>
              </w:r>
            </w:hyperlink>
            <w:r w:rsidRPr="0067210F">
              <w:rPr>
                <w:rFonts w:ascii="Arial" w:hAnsi="Arial" w:cs="Arial"/>
                <w:sz w:val="20"/>
                <w:szCs w:val="20"/>
              </w:rPr>
              <w:t xml:space="preserve">). </w:t>
            </w:r>
            <w:r w:rsidR="00552C57">
              <w:rPr>
                <w:rFonts w:ascii="Arial" w:hAnsi="Arial" w:cs="Arial"/>
                <w:sz w:val="20"/>
                <w:szCs w:val="20"/>
              </w:rPr>
              <w:t>Katastrski dohodek</w:t>
            </w:r>
            <w:r>
              <w:rPr>
                <w:rFonts w:ascii="Arial" w:hAnsi="Arial" w:cs="Arial"/>
                <w:sz w:val="20"/>
                <w:szCs w:val="20"/>
              </w:rPr>
              <w:t xml:space="preserve"> se </w:t>
            </w:r>
            <w:r w:rsidR="00552C57">
              <w:rPr>
                <w:rFonts w:ascii="Arial" w:hAnsi="Arial" w:cs="Arial"/>
                <w:sz w:val="20"/>
                <w:szCs w:val="20"/>
              </w:rPr>
              <w:t>v rednih triletnih ciklih izračuna na podlagi podatkov ekonomskih računov</w:t>
            </w:r>
            <w:r>
              <w:rPr>
                <w:rFonts w:ascii="Arial" w:hAnsi="Arial" w:cs="Arial"/>
                <w:sz w:val="20"/>
                <w:szCs w:val="20"/>
              </w:rPr>
              <w:t xml:space="preserve"> za </w:t>
            </w:r>
            <w:r w:rsidR="00552C57">
              <w:rPr>
                <w:rFonts w:ascii="Arial" w:hAnsi="Arial" w:cs="Arial"/>
                <w:sz w:val="20"/>
                <w:szCs w:val="20"/>
              </w:rPr>
              <w:t>kmetijstvo</w:t>
            </w:r>
            <w:r>
              <w:rPr>
                <w:rFonts w:ascii="Arial" w:hAnsi="Arial" w:cs="Arial"/>
                <w:sz w:val="20"/>
                <w:szCs w:val="20"/>
              </w:rPr>
              <w:t xml:space="preserve"> in </w:t>
            </w:r>
            <w:r w:rsidR="00552C57">
              <w:rPr>
                <w:rFonts w:ascii="Arial" w:hAnsi="Arial" w:cs="Arial"/>
                <w:sz w:val="20"/>
                <w:szCs w:val="20"/>
              </w:rPr>
              <w:t>upošteva povprečne prihodke od pridelkov ter normirane stroške. Ti so ob upoštevanju deleža dejanskih stroškov v ekonomskem računu določeni v višini 90</w:t>
            </w:r>
            <w:r w:rsidR="000D5182">
              <w:rPr>
                <w:rFonts w:ascii="Arial" w:hAnsi="Arial" w:cs="Arial"/>
                <w:sz w:val="20"/>
                <w:szCs w:val="20"/>
              </w:rPr>
              <w:t> </w:t>
            </w:r>
            <w:r w:rsidR="00552C57">
              <w:rPr>
                <w:rFonts w:ascii="Arial" w:hAnsi="Arial" w:cs="Arial"/>
                <w:sz w:val="20"/>
                <w:szCs w:val="20"/>
              </w:rPr>
              <w:t>% od prihodkov, razen za gozdarstvo in čebelarstvo, kjer so določeni na višini 80</w:t>
            </w:r>
            <w:r w:rsidR="000D5182">
              <w:rPr>
                <w:rFonts w:ascii="Arial" w:hAnsi="Arial" w:cs="Arial"/>
                <w:sz w:val="20"/>
                <w:szCs w:val="20"/>
              </w:rPr>
              <w:t> </w:t>
            </w:r>
            <w:r w:rsidR="00552C57">
              <w:rPr>
                <w:rFonts w:ascii="Arial" w:hAnsi="Arial" w:cs="Arial"/>
                <w:sz w:val="20"/>
                <w:szCs w:val="20"/>
              </w:rPr>
              <w:t xml:space="preserve">%. </w:t>
            </w:r>
            <w:r w:rsidRPr="0067210F">
              <w:rPr>
                <w:rFonts w:ascii="Arial" w:hAnsi="Arial" w:cs="Arial"/>
                <w:sz w:val="20"/>
                <w:szCs w:val="20"/>
              </w:rPr>
              <w:t xml:space="preserve">Skladno </w:t>
            </w:r>
            <w:r>
              <w:rPr>
                <w:rFonts w:ascii="Arial" w:hAnsi="Arial" w:cs="Arial"/>
                <w:sz w:val="20"/>
                <w:szCs w:val="20"/>
              </w:rPr>
              <w:t>z ZDoh-2 pa se kot del dohodka štejejo tudi plačila za ukrepe kmetijske politike in druge državne pomoči, katerih namen je dopolnitev dohodkov</w:t>
            </w:r>
            <w:r w:rsidR="00B0150D">
              <w:rPr>
                <w:rFonts w:ascii="Arial" w:hAnsi="Arial" w:cs="Arial"/>
                <w:sz w:val="20"/>
                <w:szCs w:val="20"/>
              </w:rPr>
              <w:t xml:space="preserve"> (drugi dohodki)</w:t>
            </w:r>
            <w:r>
              <w:rPr>
                <w:rFonts w:ascii="Arial" w:hAnsi="Arial" w:cs="Arial"/>
                <w:sz w:val="20"/>
                <w:szCs w:val="20"/>
              </w:rPr>
              <w:t>. Kot zavezanci za dohodnino od dohodkov iz osnovne kmetijske in osnovne gozdarske dejavnosti se štejejo le tiste fizične osebe, ki so člani gospodinjstev, katerih člani letno skupaj izkažejo iz naslova opravljanja osnovne kmetijske in osnovne gozdarske dejavnosti vsaj 200</w:t>
            </w:r>
            <w:r w:rsidR="000D5182">
              <w:rPr>
                <w:rFonts w:ascii="Arial" w:hAnsi="Arial" w:cs="Arial"/>
                <w:sz w:val="20"/>
                <w:szCs w:val="20"/>
              </w:rPr>
              <w:t> </w:t>
            </w:r>
            <w:r>
              <w:rPr>
                <w:rFonts w:ascii="Arial" w:hAnsi="Arial" w:cs="Arial"/>
                <w:sz w:val="20"/>
                <w:szCs w:val="20"/>
              </w:rPr>
              <w:t xml:space="preserve">EUR dohodka. </w:t>
            </w:r>
          </w:p>
          <w:p w14:paraId="495A6F1D" w14:textId="77777777" w:rsidR="00E23DE3" w:rsidRDefault="00E23DE3" w:rsidP="00E23DE3">
            <w:pPr>
              <w:spacing w:after="0" w:line="276" w:lineRule="auto"/>
              <w:contextualSpacing/>
              <w:jc w:val="both"/>
              <w:rPr>
                <w:rFonts w:ascii="Arial" w:hAnsi="Arial" w:cs="Arial"/>
                <w:sz w:val="20"/>
                <w:szCs w:val="20"/>
              </w:rPr>
            </w:pPr>
          </w:p>
          <w:p w14:paraId="2D6584A0" w14:textId="1AC9E9F4" w:rsidR="00E23DE3" w:rsidRDefault="00E23DE3" w:rsidP="00E23DE3">
            <w:pPr>
              <w:spacing w:after="0" w:line="276" w:lineRule="auto"/>
              <w:contextualSpacing/>
              <w:jc w:val="both"/>
              <w:rPr>
                <w:rFonts w:ascii="Arial" w:hAnsi="Arial" w:cs="Arial"/>
                <w:sz w:val="20"/>
                <w:szCs w:val="20"/>
              </w:rPr>
            </w:pPr>
            <w:r>
              <w:rPr>
                <w:rFonts w:ascii="Arial" w:hAnsi="Arial" w:cs="Arial"/>
                <w:sz w:val="20"/>
                <w:szCs w:val="20"/>
              </w:rPr>
              <w:t xml:space="preserve">Pavšalna obdavčitev dohodkov kmetov ima v Sloveniji že dolgo tradicijo, </w:t>
            </w:r>
            <w:r w:rsidR="000D5182">
              <w:rPr>
                <w:rFonts w:ascii="Arial" w:hAnsi="Arial" w:cs="Arial"/>
                <w:sz w:val="20"/>
                <w:szCs w:val="20"/>
              </w:rPr>
              <w:t>z</w:t>
            </w:r>
            <w:r>
              <w:rPr>
                <w:rFonts w:ascii="Arial" w:hAnsi="Arial" w:cs="Arial"/>
                <w:sz w:val="20"/>
                <w:szCs w:val="20"/>
              </w:rPr>
              <w:t>daj veljavna ureditev pa, z nekaj dopolnitvami, velja že od leta 2007.</w:t>
            </w:r>
          </w:p>
          <w:p w14:paraId="2A9DC6D7" w14:textId="77777777" w:rsidR="00E23DE3" w:rsidRDefault="00E23DE3" w:rsidP="00E23DE3">
            <w:pPr>
              <w:spacing w:after="0" w:line="276" w:lineRule="auto"/>
              <w:contextualSpacing/>
              <w:jc w:val="both"/>
              <w:rPr>
                <w:rFonts w:ascii="Arial" w:eastAsia="Calibri" w:hAnsi="Arial" w:cs="Arial"/>
                <w:sz w:val="20"/>
                <w:szCs w:val="20"/>
              </w:rPr>
            </w:pPr>
          </w:p>
          <w:p w14:paraId="01E20259" w14:textId="0135E2B5" w:rsidR="00E23DE3" w:rsidRDefault="00E23DE3" w:rsidP="00E23DE3">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Za zavezance za dohodnino </w:t>
            </w:r>
            <w:r w:rsidR="00B0150D">
              <w:rPr>
                <w:rFonts w:ascii="Arial" w:eastAsia="Calibri" w:hAnsi="Arial" w:cs="Arial"/>
                <w:sz w:val="20"/>
                <w:szCs w:val="20"/>
              </w:rPr>
              <w:t xml:space="preserve">od </w:t>
            </w:r>
            <w:r>
              <w:rPr>
                <w:rFonts w:ascii="Arial" w:eastAsia="Calibri" w:hAnsi="Arial" w:cs="Arial"/>
                <w:sz w:val="20"/>
                <w:szCs w:val="20"/>
              </w:rPr>
              <w:t>dohodk</w:t>
            </w:r>
            <w:r w:rsidR="00B0150D">
              <w:rPr>
                <w:rFonts w:ascii="Arial" w:eastAsia="Calibri" w:hAnsi="Arial" w:cs="Arial"/>
                <w:sz w:val="20"/>
                <w:szCs w:val="20"/>
              </w:rPr>
              <w:t>a</w:t>
            </w:r>
            <w:r>
              <w:rPr>
                <w:rFonts w:ascii="Arial" w:eastAsia="Calibri" w:hAnsi="Arial" w:cs="Arial"/>
                <w:sz w:val="20"/>
                <w:szCs w:val="20"/>
              </w:rPr>
              <w:t xml:space="preserve"> iz osnovne kmetijske in osnovne gozdarske dejavnosti velja, da se jim pripiše katastrski dohodek oziroma pavšalna ocena na čebelji panj za zemljišča in panje, ki jih imajo v uporabi. Ta se ugotavlja na podlagi uradnih evidenc (zemljiški kataster oz. kataster nepremičnin ter register čebeljih panjev). Pripiše se jim tudi del drugih dohodkov (torej dohodkov iz naslova dohodkovnih kmetijskih subvencij)</w:t>
            </w:r>
            <w:r w:rsidR="000D5182">
              <w:rPr>
                <w:rFonts w:ascii="Arial" w:eastAsia="Calibri" w:hAnsi="Arial" w:cs="Arial"/>
                <w:sz w:val="20"/>
                <w:szCs w:val="20"/>
              </w:rPr>
              <w:t>,</w:t>
            </w:r>
            <w:r>
              <w:rPr>
                <w:rFonts w:ascii="Arial" w:eastAsia="Calibri" w:hAnsi="Arial" w:cs="Arial"/>
                <w:sz w:val="20"/>
                <w:szCs w:val="20"/>
              </w:rPr>
              <w:t xml:space="preserve"> in sicer sorazmerno skupnemu številu zavezancev za dohodnino za te dohodke znotraj kmečkega gospodinjstva. Ker pavšalna ocena dohodka </w:t>
            </w:r>
            <w:r w:rsidR="00B0150D">
              <w:rPr>
                <w:rFonts w:ascii="Arial" w:eastAsia="Calibri" w:hAnsi="Arial" w:cs="Arial"/>
                <w:sz w:val="20"/>
                <w:szCs w:val="20"/>
              </w:rPr>
              <w:t>(katastrski dohodek in pavšalna ocena dohodka na panj) že</w:t>
            </w:r>
            <w:r>
              <w:rPr>
                <w:rFonts w:ascii="Arial" w:eastAsia="Calibri" w:hAnsi="Arial" w:cs="Arial"/>
                <w:sz w:val="20"/>
                <w:szCs w:val="20"/>
              </w:rPr>
              <w:t xml:space="preserve"> upošteva vse stroške pridelave, se praviloma drugi dohodki v davčno osnovo pripišejo v polnem znesku, razen drugih dohodkov, ki so na podlagi 26.</w:t>
            </w:r>
            <w:r w:rsidR="000D5182">
              <w:rPr>
                <w:rFonts w:ascii="Arial" w:eastAsia="Calibri" w:hAnsi="Arial" w:cs="Arial"/>
                <w:sz w:val="20"/>
                <w:szCs w:val="20"/>
              </w:rPr>
              <w:t> </w:t>
            </w:r>
            <w:r>
              <w:rPr>
                <w:rFonts w:ascii="Arial" w:eastAsia="Calibri" w:hAnsi="Arial" w:cs="Arial"/>
                <w:sz w:val="20"/>
                <w:szCs w:val="20"/>
              </w:rPr>
              <w:t xml:space="preserve">člena ZDoh-2 dohodnine oproščeni. Med oproščene druge dohodke se </w:t>
            </w:r>
            <w:r w:rsidR="00801FBC">
              <w:rPr>
                <w:rFonts w:ascii="Arial" w:eastAsia="Calibri" w:hAnsi="Arial" w:cs="Arial"/>
                <w:sz w:val="20"/>
                <w:szCs w:val="20"/>
              </w:rPr>
              <w:t xml:space="preserve">med drugim </w:t>
            </w:r>
            <w:r>
              <w:rPr>
                <w:rFonts w:ascii="Arial" w:eastAsia="Calibri" w:hAnsi="Arial" w:cs="Arial"/>
                <w:sz w:val="20"/>
                <w:szCs w:val="20"/>
              </w:rPr>
              <w:t xml:space="preserve">uvrščajo </w:t>
            </w:r>
            <w:r w:rsidR="00801FBC">
              <w:rPr>
                <w:rFonts w:ascii="Arial" w:eastAsia="Calibri" w:hAnsi="Arial" w:cs="Arial"/>
                <w:sz w:val="20"/>
                <w:szCs w:val="20"/>
              </w:rPr>
              <w:t xml:space="preserve">tudi </w:t>
            </w:r>
            <w:r>
              <w:rPr>
                <w:rFonts w:ascii="Arial" w:eastAsia="Calibri" w:hAnsi="Arial" w:cs="Arial"/>
                <w:sz w:val="20"/>
                <w:szCs w:val="20"/>
              </w:rPr>
              <w:t>različna plačila za nadomeščanje dodatnih stroškov ali izpada prihodkov, vezano na izvajanje okolju bolj prijaznih tehnologij ali za pridelavo v težjih pridelovalnih razmerah (</w:t>
            </w:r>
            <w:r w:rsidR="00880131">
              <w:rPr>
                <w:rFonts w:ascii="Arial" w:eastAsia="Calibri" w:hAnsi="Arial" w:cs="Arial"/>
                <w:sz w:val="20"/>
                <w:szCs w:val="20"/>
              </w:rPr>
              <w:t>2.</w:t>
            </w:r>
            <w:r w:rsidR="006D3B73">
              <w:rPr>
                <w:rFonts w:ascii="Arial" w:eastAsia="Calibri" w:hAnsi="Arial" w:cs="Arial"/>
                <w:sz w:val="20"/>
                <w:szCs w:val="20"/>
              </w:rPr>
              <w:t> </w:t>
            </w:r>
            <w:r w:rsidR="00880131">
              <w:rPr>
                <w:rFonts w:ascii="Arial" w:eastAsia="Calibri" w:hAnsi="Arial" w:cs="Arial"/>
                <w:sz w:val="20"/>
                <w:szCs w:val="20"/>
              </w:rPr>
              <w:t>točka 26.</w:t>
            </w:r>
            <w:r w:rsidR="006D3B73">
              <w:rPr>
                <w:rFonts w:ascii="Arial" w:eastAsia="Calibri" w:hAnsi="Arial" w:cs="Arial"/>
                <w:sz w:val="20"/>
                <w:szCs w:val="20"/>
              </w:rPr>
              <w:t> </w:t>
            </w:r>
            <w:r w:rsidR="00880131">
              <w:rPr>
                <w:rFonts w:ascii="Arial" w:eastAsia="Calibri" w:hAnsi="Arial" w:cs="Arial"/>
                <w:sz w:val="20"/>
                <w:szCs w:val="20"/>
              </w:rPr>
              <w:t>člena ZDoh-2</w:t>
            </w:r>
            <w:r>
              <w:rPr>
                <w:rFonts w:ascii="Arial" w:eastAsia="Calibri" w:hAnsi="Arial" w:cs="Arial"/>
                <w:sz w:val="20"/>
                <w:szCs w:val="20"/>
              </w:rPr>
              <w:t>)</w:t>
            </w:r>
            <w:r w:rsidR="00880131">
              <w:rPr>
                <w:rFonts w:ascii="Arial" w:eastAsia="Calibri" w:hAnsi="Arial" w:cs="Arial"/>
                <w:sz w:val="20"/>
                <w:szCs w:val="20"/>
              </w:rPr>
              <w:t>, čeprav je v</w:t>
            </w:r>
            <w:r w:rsidR="00801FBC">
              <w:rPr>
                <w:rFonts w:ascii="Arial" w:eastAsia="Calibri" w:hAnsi="Arial" w:cs="Arial"/>
                <w:sz w:val="20"/>
                <w:szCs w:val="20"/>
              </w:rPr>
              <w:t xml:space="preserve">pliv teh dejavnikov na dohodek kmetovanja </w:t>
            </w:r>
            <w:r w:rsidR="00880131">
              <w:rPr>
                <w:rFonts w:ascii="Arial" w:eastAsia="Calibri" w:hAnsi="Arial" w:cs="Arial"/>
                <w:sz w:val="20"/>
                <w:szCs w:val="20"/>
              </w:rPr>
              <w:t xml:space="preserve">skladno z novo metodo ugotavljanja katastrskega dohodka načeloma </w:t>
            </w:r>
            <w:r w:rsidR="00801FBC">
              <w:rPr>
                <w:rFonts w:ascii="Arial" w:eastAsia="Calibri" w:hAnsi="Arial" w:cs="Arial"/>
                <w:sz w:val="20"/>
                <w:szCs w:val="20"/>
              </w:rPr>
              <w:t>že zajet v izračunu katastrskega dohodka</w:t>
            </w:r>
            <w:r w:rsidR="008F4EB4">
              <w:rPr>
                <w:rFonts w:ascii="Arial" w:eastAsia="Calibri" w:hAnsi="Arial" w:cs="Arial"/>
                <w:sz w:val="20"/>
                <w:szCs w:val="20"/>
              </w:rPr>
              <w:t xml:space="preserve">, zato sedaj veljavna oprostitev za taka plačila </w:t>
            </w:r>
            <w:r w:rsidR="00C90642">
              <w:rPr>
                <w:rFonts w:ascii="Arial" w:eastAsia="Calibri" w:hAnsi="Arial" w:cs="Arial"/>
                <w:sz w:val="20"/>
                <w:szCs w:val="20"/>
              </w:rPr>
              <w:t>nima več polnega ekonomskega upravičenja</w:t>
            </w:r>
            <w:r w:rsidR="00C90642" w:rsidRPr="00C90642">
              <w:rPr>
                <w:rFonts w:ascii="Arial" w:eastAsia="Calibri" w:hAnsi="Arial" w:cs="Arial"/>
                <w:sz w:val="20"/>
                <w:szCs w:val="20"/>
              </w:rPr>
              <w:t xml:space="preserve">. </w:t>
            </w:r>
            <w:r w:rsidR="008F4EB4" w:rsidRPr="003A155E">
              <w:rPr>
                <w:rFonts w:ascii="Arial" w:eastAsia="Calibri" w:hAnsi="Arial" w:cs="Arial"/>
                <w:sz w:val="20"/>
                <w:szCs w:val="20"/>
              </w:rPr>
              <w:t xml:space="preserve">To velja </w:t>
            </w:r>
            <w:r w:rsidR="00801FBC" w:rsidRPr="00C90642">
              <w:rPr>
                <w:rFonts w:ascii="Arial" w:eastAsia="Calibri" w:hAnsi="Arial" w:cs="Arial"/>
                <w:sz w:val="20"/>
                <w:szCs w:val="20"/>
              </w:rPr>
              <w:t xml:space="preserve">predvsem </w:t>
            </w:r>
            <w:r w:rsidR="008F4EB4" w:rsidRPr="00C90642">
              <w:rPr>
                <w:rFonts w:ascii="Arial" w:eastAsia="Calibri" w:hAnsi="Arial" w:cs="Arial"/>
                <w:sz w:val="20"/>
                <w:szCs w:val="20"/>
              </w:rPr>
              <w:t xml:space="preserve">za plačila za </w:t>
            </w:r>
            <w:r w:rsidR="00801FBC" w:rsidRPr="00C90642">
              <w:rPr>
                <w:rFonts w:ascii="Arial" w:eastAsia="Calibri" w:hAnsi="Arial" w:cs="Arial"/>
                <w:sz w:val="20"/>
                <w:szCs w:val="20"/>
              </w:rPr>
              <w:t>težj</w:t>
            </w:r>
            <w:r w:rsidR="008F4EB4" w:rsidRPr="00C90642">
              <w:rPr>
                <w:rFonts w:ascii="Arial" w:eastAsia="Calibri" w:hAnsi="Arial" w:cs="Arial"/>
                <w:sz w:val="20"/>
                <w:szCs w:val="20"/>
              </w:rPr>
              <w:t>e</w:t>
            </w:r>
            <w:r w:rsidR="00801FBC" w:rsidRPr="00C90642">
              <w:rPr>
                <w:rFonts w:ascii="Arial" w:eastAsia="Calibri" w:hAnsi="Arial" w:cs="Arial"/>
                <w:sz w:val="20"/>
                <w:szCs w:val="20"/>
              </w:rPr>
              <w:t xml:space="preserve"> pridelovaln</w:t>
            </w:r>
            <w:r w:rsidR="008F4EB4" w:rsidRPr="00C90642">
              <w:rPr>
                <w:rFonts w:ascii="Arial" w:eastAsia="Calibri" w:hAnsi="Arial" w:cs="Arial"/>
                <w:sz w:val="20"/>
                <w:szCs w:val="20"/>
              </w:rPr>
              <w:t>e</w:t>
            </w:r>
            <w:r w:rsidR="00801FBC" w:rsidRPr="00C90642" w:rsidDel="008F4EB4">
              <w:rPr>
                <w:rFonts w:ascii="Arial" w:eastAsia="Calibri" w:hAnsi="Arial" w:cs="Arial"/>
                <w:sz w:val="20"/>
                <w:szCs w:val="20"/>
              </w:rPr>
              <w:t xml:space="preserve"> </w:t>
            </w:r>
            <w:r w:rsidR="00801FBC" w:rsidRPr="00C90642">
              <w:rPr>
                <w:rFonts w:ascii="Arial" w:eastAsia="Calibri" w:hAnsi="Arial" w:cs="Arial"/>
                <w:sz w:val="20"/>
                <w:szCs w:val="20"/>
              </w:rPr>
              <w:t>razmer</w:t>
            </w:r>
            <w:r w:rsidR="008F4EB4" w:rsidRPr="00C90642">
              <w:rPr>
                <w:rFonts w:ascii="Arial" w:eastAsia="Calibri" w:hAnsi="Arial" w:cs="Arial"/>
                <w:sz w:val="20"/>
                <w:szCs w:val="20"/>
              </w:rPr>
              <w:t>e</w:t>
            </w:r>
            <w:r w:rsidR="00801FBC" w:rsidRPr="00C90642">
              <w:rPr>
                <w:rFonts w:ascii="Arial" w:eastAsia="Calibri" w:hAnsi="Arial" w:cs="Arial"/>
                <w:sz w:val="20"/>
                <w:szCs w:val="20"/>
              </w:rPr>
              <w:t xml:space="preserve">, </w:t>
            </w:r>
            <w:r w:rsidR="008F4EB4" w:rsidRPr="00C90642">
              <w:rPr>
                <w:rFonts w:ascii="Arial" w:eastAsia="Calibri" w:hAnsi="Arial" w:cs="Arial"/>
                <w:sz w:val="20"/>
                <w:szCs w:val="20"/>
              </w:rPr>
              <w:t xml:space="preserve">tako imenovana OMD plačila, </w:t>
            </w:r>
            <w:r w:rsidR="00801FBC" w:rsidRPr="003A155E">
              <w:rPr>
                <w:rFonts w:ascii="Arial" w:eastAsia="Calibri" w:hAnsi="Arial" w:cs="Arial"/>
                <w:sz w:val="20"/>
                <w:szCs w:val="20"/>
              </w:rPr>
              <w:t>saj se katastrski dohodek za taka območja pomembno zniža</w:t>
            </w:r>
            <w:r w:rsidR="008F4EB4" w:rsidRPr="00C90642">
              <w:rPr>
                <w:rFonts w:ascii="Arial" w:eastAsia="Calibri" w:hAnsi="Arial" w:cs="Arial"/>
                <w:sz w:val="20"/>
                <w:szCs w:val="20"/>
              </w:rPr>
              <w:t xml:space="preserve">. Precej manj pa katastrski dohodek odrazi vpliv okolju prijaznih tehnologij, saj pri nas prevladuje standardna pridelava, ki v največji meri oblikuje ekonomski račun kmetijstva. </w:t>
            </w:r>
            <w:r w:rsidR="00326A99" w:rsidRPr="00326A99">
              <w:rPr>
                <w:rFonts w:ascii="Arial" w:eastAsia="Calibri" w:hAnsi="Arial" w:cs="Arial"/>
                <w:sz w:val="20"/>
                <w:szCs w:val="20"/>
              </w:rPr>
              <w:t xml:space="preserve">V kmetijski politiki pa se poleg vedno bolj izražene podpore okolju prijaznejši pridelavi zaradi soočanja s podnebnimi spremembami uveljavljajo tudi močnejše prioritete na področju spodbujanja zavarovanja pridelave, kar je smiselno podpreti tudi skozi davčne ukrepe. </w:t>
            </w:r>
            <w:r w:rsidR="00326A99">
              <w:rPr>
                <w:rFonts w:ascii="Arial" w:eastAsia="Calibri" w:hAnsi="Arial" w:cs="Arial"/>
                <w:sz w:val="20"/>
                <w:szCs w:val="20"/>
              </w:rPr>
              <w:t>O</w:t>
            </w:r>
            <w:r w:rsidR="00C90642">
              <w:rPr>
                <w:rFonts w:ascii="Arial" w:eastAsia="Calibri" w:hAnsi="Arial" w:cs="Arial"/>
                <w:sz w:val="20"/>
                <w:szCs w:val="20"/>
              </w:rPr>
              <w:t xml:space="preserve">bstoječa ureditev z vidika </w:t>
            </w:r>
            <w:r w:rsidR="00326A99">
              <w:rPr>
                <w:rFonts w:ascii="Arial" w:eastAsia="Calibri" w:hAnsi="Arial" w:cs="Arial"/>
                <w:sz w:val="20"/>
                <w:szCs w:val="20"/>
              </w:rPr>
              <w:t xml:space="preserve">spremenjenih vsebinskih ciljev </w:t>
            </w:r>
            <w:r w:rsidR="00C90642">
              <w:rPr>
                <w:rFonts w:ascii="Arial" w:eastAsia="Calibri" w:hAnsi="Arial" w:cs="Arial"/>
                <w:sz w:val="20"/>
                <w:szCs w:val="20"/>
              </w:rPr>
              <w:t>zahteva posodobitev</w:t>
            </w:r>
            <w:r w:rsidR="00326A99">
              <w:rPr>
                <w:rFonts w:ascii="Arial" w:eastAsia="Calibri" w:hAnsi="Arial" w:cs="Arial"/>
                <w:sz w:val="20"/>
                <w:szCs w:val="20"/>
              </w:rPr>
              <w:t xml:space="preserve"> pristopa</w:t>
            </w:r>
            <w:r w:rsidR="00C90642">
              <w:rPr>
                <w:rFonts w:ascii="Arial" w:eastAsia="Calibri" w:hAnsi="Arial" w:cs="Arial"/>
                <w:sz w:val="20"/>
                <w:szCs w:val="20"/>
              </w:rPr>
              <w:t>.</w:t>
            </w:r>
            <w:r w:rsidR="00801FBC" w:rsidDel="00880131">
              <w:rPr>
                <w:rFonts w:ascii="Arial" w:eastAsia="Calibri" w:hAnsi="Arial" w:cs="Arial"/>
                <w:sz w:val="20"/>
                <w:szCs w:val="20"/>
              </w:rPr>
              <w:t xml:space="preserve"> </w:t>
            </w:r>
          </w:p>
          <w:p w14:paraId="5680B472" w14:textId="77777777" w:rsidR="00E23DE3" w:rsidRDefault="00E23DE3" w:rsidP="00E23DE3">
            <w:pPr>
              <w:spacing w:after="0" w:line="276" w:lineRule="auto"/>
              <w:contextualSpacing/>
              <w:jc w:val="both"/>
              <w:rPr>
                <w:rFonts w:ascii="Arial" w:eastAsia="Calibri" w:hAnsi="Arial" w:cs="Arial"/>
                <w:sz w:val="20"/>
                <w:szCs w:val="20"/>
              </w:rPr>
            </w:pPr>
          </w:p>
          <w:p w14:paraId="2B74E93C" w14:textId="03902697" w:rsidR="00801FBC" w:rsidRDefault="00C90642" w:rsidP="00E23DE3">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Poleg tega se z </w:t>
            </w:r>
            <w:r w:rsidR="00E23DE3" w:rsidRPr="00EE0FA7">
              <w:rPr>
                <w:rFonts w:ascii="Arial" w:eastAsia="Calibri" w:hAnsi="Arial" w:cs="Arial"/>
                <w:sz w:val="20"/>
                <w:szCs w:val="20"/>
              </w:rPr>
              <w:t xml:space="preserve"> letom 2023 v kmetijskem sektorju začne izvajati n</w:t>
            </w:r>
            <w:r w:rsidR="00E23DE3" w:rsidRPr="008146C3">
              <w:rPr>
                <w:rFonts w:ascii="Arial" w:eastAsia="Calibri" w:hAnsi="Arial" w:cs="Arial"/>
                <w:sz w:val="20"/>
                <w:szCs w:val="20"/>
              </w:rPr>
              <w:t>ova vsebina skupne k</w:t>
            </w:r>
            <w:r w:rsidR="00E23DE3" w:rsidRPr="000209C8">
              <w:rPr>
                <w:rFonts w:ascii="Arial" w:eastAsia="Calibri" w:hAnsi="Arial" w:cs="Arial"/>
                <w:sz w:val="20"/>
                <w:szCs w:val="20"/>
              </w:rPr>
              <w:t xml:space="preserve">metijske politike, urejena </w:t>
            </w:r>
            <w:r w:rsidR="00E23DE3" w:rsidRPr="00AD191F">
              <w:rPr>
                <w:rFonts w:ascii="Arial" w:eastAsia="Calibri" w:hAnsi="Arial" w:cs="Arial"/>
                <w:sz w:val="20"/>
                <w:szCs w:val="20"/>
              </w:rPr>
              <w:t xml:space="preserve">v Uredbi </w:t>
            </w:r>
            <w:r w:rsidR="00E23DE3" w:rsidRPr="000C680C">
              <w:rPr>
                <w:rFonts w:ascii="Arial" w:hAnsi="Arial" w:cs="Arial"/>
                <w:sz w:val="20"/>
                <w:szCs w:val="20"/>
              </w:rPr>
              <w:t xml:space="preserve">(EU)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w:t>
            </w:r>
            <w:r w:rsidR="000D5182">
              <w:rPr>
                <w:rFonts w:ascii="Arial" w:hAnsi="Arial" w:cs="Arial"/>
                <w:sz w:val="20"/>
                <w:szCs w:val="20"/>
              </w:rPr>
              <w:t>št. </w:t>
            </w:r>
            <w:r w:rsidR="00E23DE3" w:rsidRPr="000C680C">
              <w:rPr>
                <w:rFonts w:ascii="Arial" w:hAnsi="Arial" w:cs="Arial"/>
                <w:sz w:val="20"/>
                <w:szCs w:val="20"/>
              </w:rPr>
              <w:t xml:space="preserve">1305/2013 in (EU) </w:t>
            </w:r>
            <w:r w:rsidR="000D5182">
              <w:rPr>
                <w:rFonts w:ascii="Arial" w:hAnsi="Arial" w:cs="Arial"/>
                <w:sz w:val="20"/>
                <w:szCs w:val="20"/>
              </w:rPr>
              <w:t>št. </w:t>
            </w:r>
            <w:r w:rsidR="00E23DE3" w:rsidRPr="000C680C">
              <w:rPr>
                <w:rFonts w:ascii="Arial" w:hAnsi="Arial" w:cs="Arial"/>
                <w:sz w:val="20"/>
                <w:szCs w:val="20"/>
              </w:rPr>
              <w:t>1307/2013</w:t>
            </w:r>
            <w:r w:rsidR="00E23DE3" w:rsidRPr="00EE0FA7">
              <w:rPr>
                <w:rFonts w:ascii="Arial" w:eastAsia="Calibri" w:hAnsi="Arial" w:cs="Arial"/>
                <w:sz w:val="20"/>
                <w:szCs w:val="20"/>
              </w:rPr>
              <w:t xml:space="preserve"> (EU)</w:t>
            </w:r>
            <w:r w:rsidR="00E23DE3" w:rsidRPr="008146C3">
              <w:rPr>
                <w:rFonts w:ascii="Arial" w:eastAsia="Calibri" w:hAnsi="Arial" w:cs="Arial"/>
                <w:sz w:val="20"/>
                <w:szCs w:val="20"/>
              </w:rPr>
              <w:t>.</w:t>
            </w:r>
            <w:r w:rsidR="00E23DE3" w:rsidRPr="000209C8">
              <w:rPr>
                <w:rFonts w:ascii="Arial" w:eastAsia="Calibri" w:hAnsi="Arial" w:cs="Arial"/>
                <w:sz w:val="20"/>
                <w:szCs w:val="20"/>
              </w:rPr>
              <w:t xml:space="preserve"> S 1.</w:t>
            </w:r>
            <w:r w:rsidR="000D5182">
              <w:rPr>
                <w:rFonts w:ascii="Arial" w:eastAsia="Calibri" w:hAnsi="Arial" w:cs="Arial"/>
                <w:sz w:val="20"/>
                <w:szCs w:val="20"/>
              </w:rPr>
              <w:t> </w:t>
            </w:r>
            <w:r w:rsidR="00BC6C40">
              <w:rPr>
                <w:rFonts w:ascii="Arial" w:eastAsia="Calibri" w:hAnsi="Arial" w:cs="Arial"/>
                <w:sz w:val="20"/>
                <w:szCs w:val="20"/>
              </w:rPr>
              <w:t xml:space="preserve">januarjem </w:t>
            </w:r>
            <w:r w:rsidR="00E23DE3" w:rsidRPr="000209C8">
              <w:rPr>
                <w:rFonts w:ascii="Arial" w:eastAsia="Calibri" w:hAnsi="Arial" w:cs="Arial"/>
                <w:sz w:val="20"/>
                <w:szCs w:val="20"/>
              </w:rPr>
              <w:t>2023</w:t>
            </w:r>
            <w:r w:rsidR="00E23DE3" w:rsidRPr="000209C8" w:rsidDel="000541AA">
              <w:rPr>
                <w:rFonts w:ascii="Arial" w:eastAsia="Calibri" w:hAnsi="Arial" w:cs="Arial"/>
                <w:sz w:val="20"/>
                <w:szCs w:val="20"/>
              </w:rPr>
              <w:t xml:space="preserve"> </w:t>
            </w:r>
            <w:r w:rsidR="00E23DE3" w:rsidRPr="000209C8">
              <w:rPr>
                <w:rFonts w:ascii="Arial" w:eastAsia="Calibri" w:hAnsi="Arial" w:cs="Arial"/>
                <w:sz w:val="20"/>
                <w:szCs w:val="20"/>
              </w:rPr>
              <w:t>posledi</w:t>
            </w:r>
            <w:r w:rsidR="00E23DE3" w:rsidRPr="00AD191F">
              <w:rPr>
                <w:rFonts w:ascii="Arial" w:eastAsia="Calibri" w:hAnsi="Arial" w:cs="Arial"/>
                <w:sz w:val="20"/>
                <w:szCs w:val="20"/>
              </w:rPr>
              <w:t>čno preneha</w:t>
            </w:r>
            <w:r w:rsidR="000541AA">
              <w:rPr>
                <w:rFonts w:ascii="Arial" w:eastAsia="Calibri" w:hAnsi="Arial" w:cs="Arial"/>
                <w:sz w:val="20"/>
                <w:szCs w:val="20"/>
              </w:rPr>
              <w:t>ta veljati</w:t>
            </w:r>
            <w:r w:rsidR="00E23DE3" w:rsidRPr="00AD191F">
              <w:rPr>
                <w:rFonts w:ascii="Arial" w:eastAsia="Calibri" w:hAnsi="Arial" w:cs="Arial"/>
                <w:sz w:val="20"/>
                <w:szCs w:val="20"/>
              </w:rPr>
              <w:t xml:space="preserve"> </w:t>
            </w:r>
            <w:r w:rsidR="000541AA" w:rsidRPr="00AB45A4">
              <w:rPr>
                <w:rFonts w:ascii="Arial" w:hAnsi="Arial" w:cs="Arial"/>
                <w:sz w:val="20"/>
                <w:szCs w:val="20"/>
              </w:rPr>
              <w:t xml:space="preserve">Uredba (EU) št. 1305/2013 Evropskega parlamenta in Sveta z dne 17. decembra 2013 o podpori za razvoj podeželja iz Evropskega kmetijskega sklada za razvoj podeželja (EKSRP) in razveljavitvi Uredbe Sveta (ES) št. 1698/2005 (UL L </w:t>
            </w:r>
            <w:r w:rsidR="000541AA" w:rsidRPr="00AB45A4">
              <w:rPr>
                <w:rFonts w:ascii="Arial" w:hAnsi="Arial" w:cs="Arial"/>
                <w:sz w:val="20"/>
                <w:szCs w:val="20"/>
              </w:rPr>
              <w:lastRenderedPageBreak/>
              <w:t>347 z dne 20. 12. 2013, str. 487), zadnjič spremenjene z Uredbo (EU) 2022/1033 Evropskega parlamenta in Sveta z dne 29. junija 2022 o spremembi Uredbe (EU) št. 1305/2013 glede posebnega ukrepa za zagotovitev izjemne začasne podpore v okviru Evropskega kmetijskega sklada za razvoj podeželja (EKSRP) kot odziv na vpliv ruske invazije na Ukrajino (UL L št. 173 z dne 30. 6. 2022, str. 34),</w:t>
            </w:r>
            <w:r w:rsidR="000541AA" w:rsidRPr="000541AA">
              <w:rPr>
                <w:rFonts w:ascii="Arial" w:hAnsi="Arial" w:cs="Arial"/>
                <w:sz w:val="20"/>
                <w:szCs w:val="20"/>
              </w:rPr>
              <w:t xml:space="preserve"> </w:t>
            </w:r>
            <w:r w:rsidR="000541AA" w:rsidRPr="0092597C">
              <w:rPr>
                <w:rFonts w:ascii="Arial" w:hAnsi="Arial" w:cs="Arial"/>
                <w:sz w:val="20"/>
                <w:szCs w:val="20"/>
              </w:rPr>
              <w:t xml:space="preserve">in </w:t>
            </w:r>
            <w:r w:rsidR="000541AA" w:rsidRPr="00AB45A4">
              <w:rPr>
                <w:rFonts w:ascii="Arial" w:hAnsi="Arial" w:cs="Arial"/>
                <w:sz w:val="20"/>
                <w:szCs w:val="20"/>
              </w:rPr>
              <w:t>Uredba (EU) št. 1307/2013 Evropskega parlamenta in Sveta z dne 17. december 2013 o pravilih za neposredna plačila kmetom na podlagi shem podpore v okviru skupne kmetijske politike ter razveljavitvi Uredbe Sveta (ES) št. 637/2008 in Uredbe Sveta (ES) št. 73/2009 (UL L št. 347 z dne 20. 12. 2013, str. 608), zadnjič spremenjene z Delegirano uredbo Komisije (EU) 2022/42 z dne 8. novembra 2021 o spremembi prilog II in III k Uredbi (EU) št. 1307/2013 Evropskega parlamenta in Sveta glede nacionalnih in neto zgornjih mej za neposredna plačila za nekatere države članice za koledarsko leto 2022 (UL L št. 9 z dne 14. 1. 2022, str. 3)</w:t>
            </w:r>
            <w:r w:rsidR="000541AA" w:rsidRPr="000541AA">
              <w:rPr>
                <w:rFonts w:ascii="Arial" w:hAnsi="Arial" w:cs="Arial"/>
                <w:sz w:val="20"/>
                <w:szCs w:val="20"/>
              </w:rPr>
              <w:t>,</w:t>
            </w:r>
            <w:r w:rsidR="00E23DE3" w:rsidRPr="000541AA">
              <w:rPr>
                <w:rFonts w:ascii="Arial" w:eastAsia="Calibri" w:hAnsi="Arial" w:cs="Arial"/>
                <w:sz w:val="20"/>
                <w:szCs w:val="20"/>
              </w:rPr>
              <w:t xml:space="preserve"> na kater</w:t>
            </w:r>
            <w:r w:rsidR="000541AA" w:rsidRPr="000541AA">
              <w:rPr>
                <w:rFonts w:ascii="Arial" w:eastAsia="Calibri" w:hAnsi="Arial" w:cs="Arial"/>
                <w:sz w:val="20"/>
                <w:szCs w:val="20"/>
              </w:rPr>
              <w:t>i</w:t>
            </w:r>
            <w:r w:rsidR="00E23DE3" w:rsidRPr="008146C3">
              <w:rPr>
                <w:rFonts w:ascii="Arial" w:eastAsia="Calibri" w:hAnsi="Arial" w:cs="Arial"/>
                <w:sz w:val="20"/>
                <w:szCs w:val="20"/>
              </w:rPr>
              <w:t xml:space="preserve"> se</w:t>
            </w:r>
            <w:r w:rsidR="00E23DE3" w:rsidRPr="000209C8">
              <w:rPr>
                <w:rFonts w:ascii="Arial" w:eastAsia="Calibri" w:hAnsi="Arial" w:cs="Arial"/>
                <w:sz w:val="20"/>
                <w:szCs w:val="20"/>
              </w:rPr>
              <w:t xml:space="preserve"> naslanjajo </w:t>
            </w:r>
            <w:r w:rsidR="000D5182">
              <w:rPr>
                <w:rFonts w:ascii="Arial" w:eastAsia="Calibri" w:hAnsi="Arial" w:cs="Arial"/>
                <w:sz w:val="20"/>
                <w:szCs w:val="20"/>
              </w:rPr>
              <w:t>z</w:t>
            </w:r>
            <w:r w:rsidR="00B0150D">
              <w:rPr>
                <w:rFonts w:ascii="Arial" w:eastAsia="Calibri" w:hAnsi="Arial" w:cs="Arial"/>
                <w:sz w:val="20"/>
                <w:szCs w:val="20"/>
              </w:rPr>
              <w:t xml:space="preserve">daj veljavne </w:t>
            </w:r>
            <w:r w:rsidR="00E23DE3" w:rsidRPr="000209C8">
              <w:rPr>
                <w:rFonts w:ascii="Arial" w:eastAsia="Calibri" w:hAnsi="Arial" w:cs="Arial"/>
                <w:sz w:val="20"/>
                <w:szCs w:val="20"/>
              </w:rPr>
              <w:t>oprostitve</w:t>
            </w:r>
            <w:r w:rsidR="00B0150D">
              <w:rPr>
                <w:rFonts w:ascii="Arial" w:eastAsia="Calibri" w:hAnsi="Arial" w:cs="Arial"/>
                <w:sz w:val="20"/>
                <w:szCs w:val="20"/>
              </w:rPr>
              <w:t xml:space="preserve"> dohodnine</w:t>
            </w:r>
            <w:r w:rsidR="00801FBC">
              <w:rPr>
                <w:rFonts w:ascii="Arial" w:eastAsia="Calibri" w:hAnsi="Arial" w:cs="Arial"/>
                <w:sz w:val="20"/>
                <w:szCs w:val="20"/>
              </w:rPr>
              <w:t xml:space="preserve"> v 2. točki 26.</w:t>
            </w:r>
            <w:r w:rsidR="000D5182">
              <w:rPr>
                <w:rFonts w:ascii="Arial" w:eastAsia="Calibri" w:hAnsi="Arial" w:cs="Arial"/>
                <w:sz w:val="20"/>
                <w:szCs w:val="20"/>
              </w:rPr>
              <w:t> </w:t>
            </w:r>
            <w:r w:rsidR="00801FBC">
              <w:rPr>
                <w:rFonts w:ascii="Arial" w:eastAsia="Calibri" w:hAnsi="Arial" w:cs="Arial"/>
                <w:sz w:val="20"/>
                <w:szCs w:val="20"/>
              </w:rPr>
              <w:t>člena ZDoh-2</w:t>
            </w:r>
            <w:r w:rsidR="00E23DE3">
              <w:rPr>
                <w:rFonts w:ascii="Arial" w:eastAsia="Calibri" w:hAnsi="Arial" w:cs="Arial"/>
                <w:sz w:val="20"/>
                <w:szCs w:val="20"/>
              </w:rPr>
              <w:t xml:space="preserve">. </w:t>
            </w:r>
            <w:r w:rsidR="00801FBC">
              <w:rPr>
                <w:rFonts w:ascii="Arial" w:eastAsia="Calibri" w:hAnsi="Arial" w:cs="Arial"/>
                <w:sz w:val="20"/>
                <w:szCs w:val="20"/>
              </w:rPr>
              <w:t>Poseg v 2.</w:t>
            </w:r>
            <w:r w:rsidR="000D5182">
              <w:rPr>
                <w:rFonts w:ascii="Arial" w:eastAsia="Calibri" w:hAnsi="Arial" w:cs="Arial"/>
                <w:sz w:val="20"/>
                <w:szCs w:val="20"/>
              </w:rPr>
              <w:t> </w:t>
            </w:r>
            <w:r w:rsidR="00801FBC">
              <w:rPr>
                <w:rFonts w:ascii="Arial" w:eastAsia="Calibri" w:hAnsi="Arial" w:cs="Arial"/>
                <w:sz w:val="20"/>
                <w:szCs w:val="20"/>
              </w:rPr>
              <w:t>točko 26.</w:t>
            </w:r>
            <w:r w:rsidR="000D5182">
              <w:rPr>
                <w:rFonts w:ascii="Arial" w:eastAsia="Calibri" w:hAnsi="Arial" w:cs="Arial"/>
                <w:sz w:val="20"/>
                <w:szCs w:val="20"/>
              </w:rPr>
              <w:t> </w:t>
            </w:r>
            <w:r w:rsidR="00801FBC">
              <w:rPr>
                <w:rFonts w:ascii="Arial" w:eastAsia="Calibri" w:hAnsi="Arial" w:cs="Arial"/>
                <w:sz w:val="20"/>
                <w:szCs w:val="20"/>
              </w:rPr>
              <w:t xml:space="preserve">člena je </w:t>
            </w:r>
            <w:r w:rsidR="00E23DE3">
              <w:rPr>
                <w:rFonts w:ascii="Arial" w:eastAsia="Calibri" w:hAnsi="Arial" w:cs="Arial"/>
                <w:sz w:val="20"/>
                <w:szCs w:val="20"/>
              </w:rPr>
              <w:t xml:space="preserve">torej </w:t>
            </w:r>
            <w:r w:rsidR="00E23DE3" w:rsidRPr="00AD191F">
              <w:rPr>
                <w:rFonts w:ascii="Arial" w:eastAsia="Calibri" w:hAnsi="Arial" w:cs="Arial"/>
                <w:sz w:val="20"/>
                <w:szCs w:val="20"/>
              </w:rPr>
              <w:t>potreb</w:t>
            </w:r>
            <w:r w:rsidR="00801FBC">
              <w:rPr>
                <w:rFonts w:ascii="Arial" w:eastAsia="Calibri" w:hAnsi="Arial" w:cs="Arial"/>
                <w:sz w:val="20"/>
                <w:szCs w:val="20"/>
              </w:rPr>
              <w:t xml:space="preserve">en </w:t>
            </w:r>
            <w:r w:rsidR="00880131">
              <w:rPr>
                <w:rFonts w:ascii="Arial" w:eastAsia="Calibri" w:hAnsi="Arial" w:cs="Arial"/>
                <w:sz w:val="20"/>
                <w:szCs w:val="20"/>
              </w:rPr>
              <w:t xml:space="preserve">tudi </w:t>
            </w:r>
            <w:r w:rsidR="00E23DE3" w:rsidRPr="00AD191F">
              <w:rPr>
                <w:rFonts w:ascii="Arial" w:eastAsia="Calibri" w:hAnsi="Arial" w:cs="Arial"/>
                <w:sz w:val="20"/>
                <w:szCs w:val="20"/>
              </w:rPr>
              <w:t>zaradi spremenjenih pravnih podlag, na katerih bodo sloneli uk</w:t>
            </w:r>
            <w:r w:rsidR="00E23DE3">
              <w:rPr>
                <w:rFonts w:ascii="Arial" w:eastAsia="Calibri" w:hAnsi="Arial" w:cs="Arial"/>
                <w:sz w:val="20"/>
                <w:szCs w:val="20"/>
              </w:rPr>
              <w:t>repi</w:t>
            </w:r>
            <w:r w:rsidR="00E23DE3" w:rsidRPr="00EE0FA7">
              <w:rPr>
                <w:rFonts w:ascii="Arial" w:eastAsia="Calibri" w:hAnsi="Arial" w:cs="Arial"/>
                <w:sz w:val="20"/>
                <w:szCs w:val="20"/>
              </w:rPr>
              <w:t xml:space="preserve"> km</w:t>
            </w:r>
            <w:r w:rsidR="00E23DE3">
              <w:rPr>
                <w:rFonts w:ascii="Arial" w:eastAsia="Calibri" w:hAnsi="Arial" w:cs="Arial"/>
                <w:sz w:val="20"/>
                <w:szCs w:val="20"/>
              </w:rPr>
              <w:t>e</w:t>
            </w:r>
            <w:r w:rsidR="00E23DE3" w:rsidRPr="00EE0FA7">
              <w:rPr>
                <w:rFonts w:ascii="Arial" w:eastAsia="Calibri" w:hAnsi="Arial" w:cs="Arial"/>
                <w:sz w:val="20"/>
                <w:szCs w:val="20"/>
              </w:rPr>
              <w:t>t</w:t>
            </w:r>
            <w:r w:rsidR="00E23DE3">
              <w:rPr>
                <w:rFonts w:ascii="Arial" w:eastAsia="Calibri" w:hAnsi="Arial" w:cs="Arial"/>
                <w:sz w:val="20"/>
                <w:szCs w:val="20"/>
              </w:rPr>
              <w:t>i</w:t>
            </w:r>
            <w:r w:rsidR="00E23DE3" w:rsidRPr="00EE0FA7">
              <w:rPr>
                <w:rFonts w:ascii="Arial" w:eastAsia="Calibri" w:hAnsi="Arial" w:cs="Arial"/>
                <w:sz w:val="20"/>
                <w:szCs w:val="20"/>
              </w:rPr>
              <w:t>jsk</w:t>
            </w:r>
            <w:r w:rsidR="00E23DE3">
              <w:rPr>
                <w:rFonts w:ascii="Arial" w:eastAsia="Calibri" w:hAnsi="Arial" w:cs="Arial"/>
                <w:sz w:val="20"/>
                <w:szCs w:val="20"/>
              </w:rPr>
              <w:t>e</w:t>
            </w:r>
            <w:r w:rsidR="00E23DE3" w:rsidRPr="00EE0FA7">
              <w:rPr>
                <w:rFonts w:ascii="Arial" w:eastAsia="Calibri" w:hAnsi="Arial" w:cs="Arial"/>
                <w:sz w:val="20"/>
                <w:szCs w:val="20"/>
              </w:rPr>
              <w:t xml:space="preserve"> politike v obdobju 2023</w:t>
            </w:r>
            <w:r w:rsidR="000D5182">
              <w:rPr>
                <w:rFonts w:ascii="Arial" w:eastAsia="Calibri" w:hAnsi="Arial" w:cs="Arial"/>
                <w:sz w:val="20"/>
                <w:szCs w:val="20"/>
              </w:rPr>
              <w:t>–</w:t>
            </w:r>
            <w:r w:rsidR="00E23DE3" w:rsidRPr="00EE0FA7">
              <w:rPr>
                <w:rFonts w:ascii="Arial" w:eastAsia="Calibri" w:hAnsi="Arial" w:cs="Arial"/>
                <w:sz w:val="20"/>
                <w:szCs w:val="20"/>
              </w:rPr>
              <w:t>27</w:t>
            </w:r>
            <w:r w:rsidR="00801FBC">
              <w:rPr>
                <w:rFonts w:ascii="Arial" w:eastAsia="Calibri" w:hAnsi="Arial" w:cs="Arial"/>
                <w:sz w:val="20"/>
                <w:szCs w:val="20"/>
              </w:rPr>
              <w:t xml:space="preserve">. </w:t>
            </w:r>
          </w:p>
          <w:p w14:paraId="7274DBB1" w14:textId="77777777" w:rsidR="00491935" w:rsidRDefault="00491935" w:rsidP="00E23DE3">
            <w:pPr>
              <w:spacing w:after="0" w:line="276" w:lineRule="auto"/>
              <w:contextualSpacing/>
              <w:jc w:val="both"/>
              <w:rPr>
                <w:rFonts w:ascii="Arial" w:eastAsia="Times New Roman" w:hAnsi="Arial" w:cs="Arial"/>
                <w:sz w:val="20"/>
                <w:szCs w:val="20"/>
                <w:lang w:eastAsia="sl-SI"/>
              </w:rPr>
            </w:pPr>
          </w:p>
          <w:p w14:paraId="5CFA3C9D" w14:textId="56E35CB4" w:rsidR="00491935" w:rsidRDefault="00491935" w:rsidP="00E23DE3">
            <w:pPr>
              <w:spacing w:after="0" w:line="276" w:lineRule="auto"/>
              <w:contextualSpacing/>
              <w:jc w:val="both"/>
              <w:rPr>
                <w:rFonts w:ascii="Arial" w:eastAsia="Calibri" w:hAnsi="Arial" w:cs="Arial"/>
                <w:sz w:val="20"/>
                <w:szCs w:val="20"/>
              </w:rPr>
            </w:pPr>
            <w:r w:rsidRPr="00D42269">
              <w:rPr>
                <w:rFonts w:ascii="Arial" w:eastAsia="Times New Roman" w:hAnsi="Arial" w:cs="Arial"/>
                <w:sz w:val="20"/>
                <w:szCs w:val="20"/>
                <w:lang w:eastAsia="sl-SI"/>
              </w:rPr>
              <w:t xml:space="preserve">Po podatkih odmere dohodnine za leto 2020 se je v davčno osnovo zajelo okoli </w:t>
            </w:r>
            <w:r>
              <w:rPr>
                <w:rFonts w:ascii="Arial" w:eastAsia="Times New Roman" w:hAnsi="Arial" w:cs="Arial"/>
                <w:sz w:val="20"/>
                <w:szCs w:val="20"/>
                <w:lang w:eastAsia="sl-SI"/>
              </w:rPr>
              <w:t>86,6</w:t>
            </w:r>
            <w:r w:rsidRPr="00D42269">
              <w:rPr>
                <w:rFonts w:ascii="Arial" w:eastAsia="Times New Roman" w:hAnsi="Arial" w:cs="Arial"/>
                <w:sz w:val="20"/>
                <w:szCs w:val="20"/>
                <w:lang w:eastAsia="sl-SI"/>
              </w:rPr>
              <w:t xml:space="preserve"> mio</w:t>
            </w:r>
            <w:r>
              <w:rPr>
                <w:rFonts w:ascii="Arial" w:eastAsia="Times New Roman" w:hAnsi="Arial" w:cs="Arial"/>
                <w:sz w:val="20"/>
                <w:szCs w:val="20"/>
                <w:lang w:eastAsia="sl-SI"/>
              </w:rPr>
              <w:t> </w:t>
            </w:r>
            <w:r w:rsidRPr="00D42269">
              <w:rPr>
                <w:rFonts w:ascii="Arial" w:eastAsia="Times New Roman" w:hAnsi="Arial" w:cs="Arial"/>
                <w:sz w:val="20"/>
                <w:szCs w:val="20"/>
                <w:lang w:eastAsia="sl-SI"/>
              </w:rPr>
              <w:t>EUR drugih dohodkov</w:t>
            </w:r>
            <w:r>
              <w:rPr>
                <w:rFonts w:ascii="Arial" w:eastAsia="Times New Roman" w:hAnsi="Arial" w:cs="Arial"/>
                <w:sz w:val="20"/>
                <w:szCs w:val="20"/>
                <w:lang w:eastAsia="sl-SI"/>
              </w:rPr>
              <w:t xml:space="preserve"> (torej kmetijskih subvencij z naravo dohodka)</w:t>
            </w:r>
            <w:r w:rsidRPr="00D42269">
              <w:rPr>
                <w:rFonts w:ascii="Arial" w:eastAsia="Times New Roman" w:hAnsi="Arial" w:cs="Arial"/>
                <w:sz w:val="20"/>
                <w:szCs w:val="20"/>
                <w:lang w:eastAsia="sl-SI"/>
              </w:rPr>
              <w:t xml:space="preserve">, </w:t>
            </w:r>
            <w:r>
              <w:rPr>
                <w:rFonts w:ascii="Arial" w:eastAsia="Times New Roman" w:hAnsi="Arial" w:cs="Arial"/>
                <w:sz w:val="20"/>
                <w:szCs w:val="20"/>
                <w:lang w:eastAsia="sl-SI"/>
              </w:rPr>
              <w:t>skozi določbo 2. točke 26. člena pa je bilo dohodnine oproščenih okoli 102,9 mio EUR takih dohodkov.</w:t>
            </w:r>
            <w:r w:rsidRPr="00D42269">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Od teh je bilo okoli 40 % (39,6 mio EUR) plačil za težje pridelovalne razmere in nekaj nad 60 % (okoli 63,3 mio EUR) pravih </w:t>
            </w:r>
            <w:proofErr w:type="spellStart"/>
            <w:r>
              <w:rPr>
                <w:rFonts w:ascii="Arial" w:eastAsia="Times New Roman" w:hAnsi="Arial" w:cs="Arial"/>
                <w:sz w:val="20"/>
                <w:szCs w:val="20"/>
                <w:lang w:eastAsia="sl-SI"/>
              </w:rPr>
              <w:t>okoljskih</w:t>
            </w:r>
            <w:proofErr w:type="spellEnd"/>
            <w:r>
              <w:rPr>
                <w:rFonts w:ascii="Arial" w:eastAsia="Times New Roman" w:hAnsi="Arial" w:cs="Arial"/>
                <w:sz w:val="20"/>
                <w:szCs w:val="20"/>
                <w:lang w:eastAsia="sl-SI"/>
              </w:rPr>
              <w:t xml:space="preserve"> podpor. </w:t>
            </w:r>
            <w:r w:rsidRPr="00951BAE">
              <w:rPr>
                <w:rFonts w:ascii="Arial" w:eastAsia="Times New Roman" w:hAnsi="Arial" w:cs="Arial"/>
                <w:sz w:val="20"/>
                <w:szCs w:val="20"/>
                <w:lang w:eastAsia="sl-SI"/>
              </w:rPr>
              <w:t xml:space="preserve">Tudi v novi finančni perspektivi bodo ti zneski na letni ravni podobni. </w:t>
            </w:r>
            <w:r>
              <w:rPr>
                <w:rFonts w:ascii="Arial" w:eastAsia="Times New Roman" w:hAnsi="Arial" w:cs="Arial"/>
                <w:sz w:val="20"/>
                <w:szCs w:val="20"/>
                <w:lang w:eastAsia="sl-SI"/>
              </w:rPr>
              <w:t xml:space="preserve"> </w:t>
            </w:r>
          </w:p>
          <w:p w14:paraId="5FDFD5FA" w14:textId="77777777" w:rsidR="00E23DE3" w:rsidRPr="00833C5D" w:rsidRDefault="00E23DE3" w:rsidP="00833C5D">
            <w:pPr>
              <w:shd w:val="clear" w:color="auto" w:fill="FFFFFF" w:themeFill="background1"/>
              <w:spacing w:after="0" w:line="260" w:lineRule="exact"/>
              <w:jc w:val="both"/>
              <w:rPr>
                <w:rFonts w:ascii="Arial" w:hAnsi="Arial" w:cs="Arial"/>
                <w:sz w:val="20"/>
                <w:szCs w:val="20"/>
              </w:rPr>
            </w:pPr>
          </w:p>
          <w:p w14:paraId="529427DE" w14:textId="6CF2DE09" w:rsidR="005C0A8A" w:rsidRPr="005C0A8A" w:rsidRDefault="005C0A8A" w:rsidP="005C0A8A">
            <w:pPr>
              <w:spacing w:after="0" w:line="276" w:lineRule="auto"/>
              <w:contextualSpacing/>
              <w:jc w:val="both"/>
              <w:rPr>
                <w:rFonts w:ascii="Arial" w:eastAsia="Calibri" w:hAnsi="Arial" w:cs="Arial"/>
                <w:sz w:val="20"/>
                <w:szCs w:val="20"/>
              </w:rPr>
            </w:pPr>
            <w:r w:rsidRPr="005C0A8A">
              <w:rPr>
                <w:rFonts w:ascii="Arial" w:eastAsia="Calibri" w:hAnsi="Arial" w:cs="Arial"/>
                <w:sz w:val="20"/>
                <w:szCs w:val="20"/>
              </w:rPr>
              <w:t>1.</w:t>
            </w:r>
            <w:r w:rsidR="00E23DE3">
              <w:rPr>
                <w:rFonts w:ascii="Arial" w:eastAsia="Calibri" w:hAnsi="Arial" w:cs="Arial"/>
                <w:sz w:val="20"/>
                <w:szCs w:val="20"/>
              </w:rPr>
              <w:t>7</w:t>
            </w:r>
            <w:r w:rsidRPr="005C0A8A">
              <w:rPr>
                <w:rFonts w:ascii="Arial" w:eastAsia="Calibri" w:hAnsi="Arial" w:cs="Arial"/>
                <w:sz w:val="20"/>
                <w:szCs w:val="20"/>
              </w:rPr>
              <w:t xml:space="preserve"> Namenitev dela dohodnine za donacije</w:t>
            </w:r>
          </w:p>
          <w:p w14:paraId="5F48D445" w14:textId="77777777" w:rsidR="00AD68A5" w:rsidRPr="00C86DCA" w:rsidRDefault="00AD68A5" w:rsidP="00833C5D">
            <w:pPr>
              <w:shd w:val="clear" w:color="auto" w:fill="FFFFFF" w:themeFill="background1"/>
              <w:spacing w:after="0" w:line="260" w:lineRule="exact"/>
              <w:jc w:val="both"/>
              <w:rPr>
                <w:rFonts w:ascii="Arial" w:eastAsia="Times New Roman" w:hAnsi="Arial" w:cs="Arial"/>
                <w:sz w:val="20"/>
                <w:szCs w:val="20"/>
                <w:lang w:eastAsia="sl-SI"/>
              </w:rPr>
            </w:pPr>
            <w:r w:rsidRPr="00AD68A5">
              <w:rPr>
                <w:rFonts w:ascii="Arial" w:eastAsia="Times New Roman" w:hAnsi="Arial" w:cs="Arial"/>
                <w:sz w:val="20"/>
                <w:szCs w:val="20"/>
                <w:lang w:eastAsia="sl-SI"/>
              </w:rPr>
              <w:t xml:space="preserve">Od zadnje spremembe instituta namenitve dela dohodnine za donacije v ZDoh-2 so se v drugi zakonodaji parcialno določali posamezni elementi tega instituta. V ZDoh-2 je delež dohodnine, ki jo lahko rezident nameni upravičencem do donacij, določen v višini 0,5 % dohodnine, odmerjene po tem zakonu, od dohodkov, ki se vštevajo v letno davčno osnovo. Zakon o interventnih ukrepih za pomoč pri omilitvi posledic drugega vala epidemije COVID-19 (Uradni list RS, št. 203/20, 15/21 – ZDUOP, 82/21 – ZNB-C, 112/21 – ZNUPZ in 206/21 – ZDUPŠOP; v nadaljnjem besedilu: ZIUPOPDVE) pa je določil, da ta delež, ne glede na določbo ZDoh-2, znaša 1 %. V letu 2021 pa so bile sprejete spremembe Zakona o organizaciji in financiranju vzgoje in izobraževanja (Uradni list RS, št. 16/07 – uradno prečiščeno besedilo, 36/08, 58/09, 64/09 – </w:t>
            </w:r>
            <w:proofErr w:type="spellStart"/>
            <w:r w:rsidRPr="00AD68A5">
              <w:rPr>
                <w:rFonts w:ascii="Arial" w:eastAsia="Times New Roman" w:hAnsi="Arial" w:cs="Arial"/>
                <w:sz w:val="20"/>
                <w:szCs w:val="20"/>
                <w:lang w:eastAsia="sl-SI"/>
              </w:rPr>
              <w:t>popr</w:t>
            </w:r>
            <w:proofErr w:type="spellEnd"/>
            <w:r w:rsidRPr="00AD68A5">
              <w:rPr>
                <w:rFonts w:ascii="Arial" w:eastAsia="Times New Roman" w:hAnsi="Arial" w:cs="Arial"/>
                <w:sz w:val="20"/>
                <w:szCs w:val="20"/>
                <w:lang w:eastAsia="sl-SI"/>
              </w:rPr>
              <w:t xml:space="preserve">., 65/09 – </w:t>
            </w:r>
            <w:proofErr w:type="spellStart"/>
            <w:r w:rsidRPr="00AD68A5">
              <w:rPr>
                <w:rFonts w:ascii="Arial" w:eastAsia="Times New Roman" w:hAnsi="Arial" w:cs="Arial"/>
                <w:sz w:val="20"/>
                <w:szCs w:val="20"/>
                <w:lang w:eastAsia="sl-SI"/>
              </w:rPr>
              <w:t>popr</w:t>
            </w:r>
            <w:proofErr w:type="spellEnd"/>
            <w:r w:rsidRPr="00AD68A5">
              <w:rPr>
                <w:rFonts w:ascii="Arial" w:eastAsia="Times New Roman" w:hAnsi="Arial" w:cs="Arial"/>
                <w:sz w:val="20"/>
                <w:szCs w:val="20"/>
                <w:lang w:eastAsia="sl-SI"/>
              </w:rPr>
              <w:t xml:space="preserve">., 20/11, 40/12 – ZUJF, 57/12 – ZPCP-2D, 47/15, 46/16, 49/16 – </w:t>
            </w:r>
            <w:proofErr w:type="spellStart"/>
            <w:r w:rsidRPr="00AD68A5">
              <w:rPr>
                <w:rFonts w:ascii="Arial" w:eastAsia="Times New Roman" w:hAnsi="Arial" w:cs="Arial"/>
                <w:sz w:val="20"/>
                <w:szCs w:val="20"/>
                <w:lang w:eastAsia="sl-SI"/>
              </w:rPr>
              <w:t>popr</w:t>
            </w:r>
            <w:proofErr w:type="spellEnd"/>
            <w:r w:rsidRPr="00AD68A5">
              <w:rPr>
                <w:rFonts w:ascii="Arial" w:eastAsia="Times New Roman" w:hAnsi="Arial" w:cs="Arial"/>
                <w:sz w:val="20"/>
                <w:szCs w:val="20"/>
                <w:lang w:eastAsia="sl-SI"/>
              </w:rPr>
              <w:t xml:space="preserve">., 25/17 – </w:t>
            </w:r>
            <w:proofErr w:type="spellStart"/>
            <w:r w:rsidRPr="00AD68A5">
              <w:rPr>
                <w:rFonts w:ascii="Arial" w:eastAsia="Times New Roman" w:hAnsi="Arial" w:cs="Arial"/>
                <w:sz w:val="20"/>
                <w:szCs w:val="20"/>
                <w:lang w:eastAsia="sl-SI"/>
              </w:rPr>
              <w:t>ZVaj</w:t>
            </w:r>
            <w:proofErr w:type="spellEnd"/>
            <w:r w:rsidRPr="00AD68A5">
              <w:rPr>
                <w:rFonts w:ascii="Arial" w:eastAsia="Times New Roman" w:hAnsi="Arial" w:cs="Arial"/>
                <w:sz w:val="20"/>
                <w:szCs w:val="20"/>
                <w:lang w:eastAsia="sl-SI"/>
              </w:rPr>
              <w:t>, 123/21, 172/21, 207/21 in 105/22 – ZZNŠPP; v nadaljnjem besedilu: ZOFVI), ki kot upravičence do donacij opredeljujejo tudi šolske sklade, in sicer do višine 0,3 % odmerjene dohodnine rezidenta.</w:t>
            </w:r>
          </w:p>
          <w:p w14:paraId="080450C8" w14:textId="77777777" w:rsidR="00AD68A5" w:rsidRPr="00AD68A5" w:rsidRDefault="00AD68A5" w:rsidP="00833C5D">
            <w:pPr>
              <w:shd w:val="clear" w:color="auto" w:fill="FFFFFF" w:themeFill="background1"/>
              <w:spacing w:after="0" w:line="260" w:lineRule="exact"/>
              <w:jc w:val="both"/>
              <w:rPr>
                <w:rFonts w:ascii="Arial" w:eastAsia="Times New Roman" w:hAnsi="Arial" w:cs="Arial"/>
                <w:sz w:val="20"/>
                <w:szCs w:val="20"/>
                <w:lang w:eastAsia="sl-SI"/>
              </w:rPr>
            </w:pPr>
          </w:p>
          <w:p w14:paraId="289BC9D8" w14:textId="77777777" w:rsidR="00AD68A5" w:rsidRPr="00C86DCA" w:rsidRDefault="00AD68A5" w:rsidP="00833C5D">
            <w:pPr>
              <w:shd w:val="clear" w:color="auto" w:fill="FFFFFF" w:themeFill="background1"/>
              <w:spacing w:after="0" w:line="260" w:lineRule="exact"/>
              <w:jc w:val="both"/>
              <w:rPr>
                <w:rFonts w:ascii="Arial" w:eastAsia="Times New Roman" w:hAnsi="Arial" w:cs="Arial"/>
                <w:sz w:val="20"/>
                <w:szCs w:val="20"/>
                <w:lang w:eastAsia="sl-SI"/>
              </w:rPr>
            </w:pPr>
            <w:r w:rsidRPr="00AD68A5">
              <w:rPr>
                <w:rFonts w:ascii="Arial" w:eastAsia="Times New Roman" w:hAnsi="Arial" w:cs="Arial"/>
                <w:sz w:val="20"/>
                <w:szCs w:val="20"/>
                <w:lang w:eastAsia="sl-SI"/>
              </w:rPr>
              <w:t>Predlaga se sistemska ureditev instituta namenitve dela dohodnine za donacije v enem, izvirnem predpisu, ki ta institut ureja.</w:t>
            </w:r>
          </w:p>
          <w:p w14:paraId="7B9B3E5A" w14:textId="77777777" w:rsidR="00AD68A5" w:rsidRPr="00AD68A5" w:rsidRDefault="00AD68A5" w:rsidP="00833C5D">
            <w:pPr>
              <w:shd w:val="clear" w:color="auto" w:fill="FFFFFF" w:themeFill="background1"/>
              <w:spacing w:after="0" w:line="260" w:lineRule="exact"/>
              <w:jc w:val="both"/>
              <w:rPr>
                <w:rFonts w:ascii="Arial" w:eastAsia="Times New Roman" w:hAnsi="Arial" w:cs="Arial"/>
                <w:sz w:val="20"/>
                <w:szCs w:val="20"/>
                <w:lang w:eastAsia="sl-SI"/>
              </w:rPr>
            </w:pPr>
          </w:p>
          <w:p w14:paraId="4273AD77" w14:textId="32ADE3AD" w:rsidR="00581348" w:rsidRPr="00833C5D" w:rsidRDefault="00AD68A5" w:rsidP="00833C5D">
            <w:pPr>
              <w:shd w:val="clear" w:color="auto" w:fill="FFFFFF" w:themeFill="background1"/>
              <w:spacing w:after="0" w:line="260" w:lineRule="exact"/>
              <w:jc w:val="both"/>
              <w:rPr>
                <w:rFonts w:ascii="Arial" w:hAnsi="Arial" w:cs="Arial"/>
                <w:sz w:val="20"/>
                <w:szCs w:val="20"/>
              </w:rPr>
            </w:pPr>
            <w:r w:rsidRPr="00AD68A5">
              <w:rPr>
                <w:rFonts w:ascii="Arial" w:eastAsia="Times New Roman" w:hAnsi="Arial" w:cs="Arial"/>
                <w:sz w:val="20"/>
                <w:szCs w:val="20"/>
                <w:lang w:eastAsia="sl-SI"/>
              </w:rPr>
              <w:t>Zaradi konsistentnosti ureditve instituta namenitve dela dohodnine za donacije je treba parcialne rešitve, ki so v veljavi po posameznih zakonih, sistemsko prenesti v primarni zakon. Zaradi jasnosti predpisa je treba dodatno opredeliti tudi sestavne dele registriranih cerkva in drugih verskih skupnosti, ki so pridobili pravno osebnost, saj so ti lahko samostojni nosilci pravic in obveznosti in so že vključeni v Sklep o določitvi upravičencev do donacij za leto 2021 (Uradni list RS, št. 158/21).</w:t>
            </w:r>
          </w:p>
        </w:tc>
      </w:tr>
      <w:tr w:rsidR="004513FD" w:rsidRPr="004513FD" w14:paraId="7CF2A991" w14:textId="77777777" w:rsidTr="00C106E6">
        <w:tc>
          <w:tcPr>
            <w:tcW w:w="9434" w:type="dxa"/>
          </w:tcPr>
          <w:p w14:paraId="08983FDC" w14:textId="77777777" w:rsidR="00234F29" w:rsidRDefault="00234F29" w:rsidP="004513FD">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AB500F6" w14:textId="0172351A" w:rsidR="00292360" w:rsidRPr="004513FD" w:rsidRDefault="00292360" w:rsidP="004513FD">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tc>
      </w:tr>
      <w:tr w:rsidR="004513FD" w:rsidRPr="004513FD" w14:paraId="75243E62" w14:textId="77777777" w:rsidTr="00C106E6">
        <w:tc>
          <w:tcPr>
            <w:tcW w:w="9434" w:type="dxa"/>
          </w:tcPr>
          <w:p w14:paraId="04601578"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t>2. CILJI, NAČELA IN POGLAVITNE REŠITVE PREDLOGA ZAKONA</w:t>
            </w:r>
          </w:p>
        </w:tc>
      </w:tr>
      <w:tr w:rsidR="004513FD" w:rsidRPr="004513FD" w14:paraId="0CF916F7" w14:textId="77777777" w:rsidTr="00C106E6">
        <w:tc>
          <w:tcPr>
            <w:tcW w:w="9434" w:type="dxa"/>
          </w:tcPr>
          <w:p w14:paraId="0A7A32BC" w14:textId="77777777" w:rsidR="004513FD" w:rsidRPr="004513FD" w:rsidRDefault="004513FD" w:rsidP="00076F4A">
            <w:pPr>
              <w:numPr>
                <w:ilvl w:val="1"/>
                <w:numId w:val="19"/>
              </w:num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t>Cilji</w:t>
            </w:r>
          </w:p>
        </w:tc>
      </w:tr>
      <w:tr w:rsidR="004513FD" w:rsidRPr="004513FD" w14:paraId="602B3821" w14:textId="77777777" w:rsidTr="00C106E6">
        <w:tc>
          <w:tcPr>
            <w:tcW w:w="9434" w:type="dxa"/>
          </w:tcPr>
          <w:p w14:paraId="4AF2ABD7" w14:textId="77777777" w:rsidR="004513FD" w:rsidRPr="004513FD" w:rsidRDefault="004513FD" w:rsidP="004513FD">
            <w:pPr>
              <w:spacing w:after="0" w:line="276" w:lineRule="auto"/>
              <w:jc w:val="both"/>
              <w:rPr>
                <w:rFonts w:ascii="Arial" w:eastAsia="Calibri" w:hAnsi="Arial" w:cs="Arial"/>
                <w:sz w:val="20"/>
                <w:szCs w:val="20"/>
              </w:rPr>
            </w:pPr>
          </w:p>
          <w:p w14:paraId="40080C3B" w14:textId="343C5314" w:rsidR="008123F6" w:rsidRPr="004513FD" w:rsidRDefault="008123F6" w:rsidP="008123F6">
            <w:pPr>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 xml:space="preserve">Predlog zakona zasleduje osnovni cilj zagotavljanja javnofinančne stabilnosti. </w:t>
            </w:r>
          </w:p>
          <w:p w14:paraId="7E8D29F1" w14:textId="088F041B" w:rsidR="000A5C23" w:rsidRDefault="000A5C23" w:rsidP="00E608B0">
            <w:pPr>
              <w:spacing w:after="0" w:line="276" w:lineRule="auto"/>
              <w:contextualSpacing/>
              <w:jc w:val="both"/>
              <w:rPr>
                <w:rFonts w:ascii="Arial" w:eastAsia="Times New Roman" w:hAnsi="Arial" w:cs="Arial"/>
                <w:sz w:val="20"/>
                <w:szCs w:val="20"/>
              </w:rPr>
            </w:pPr>
          </w:p>
          <w:p w14:paraId="4DC6C95D" w14:textId="678E8E62" w:rsidR="000A5C23" w:rsidRPr="000A5C23" w:rsidRDefault="000A5C23" w:rsidP="000A5C23">
            <w:pPr>
              <w:spacing w:after="0" w:line="276" w:lineRule="auto"/>
              <w:contextualSpacing/>
              <w:jc w:val="both"/>
              <w:rPr>
                <w:rFonts w:ascii="Arial" w:eastAsia="Times New Roman" w:hAnsi="Arial" w:cs="Arial"/>
                <w:sz w:val="20"/>
                <w:szCs w:val="20"/>
              </w:rPr>
            </w:pPr>
            <w:r w:rsidRPr="000A5C23">
              <w:rPr>
                <w:rFonts w:ascii="Arial" w:eastAsia="Times New Roman" w:hAnsi="Arial" w:cs="Arial"/>
                <w:sz w:val="20"/>
                <w:szCs w:val="20"/>
              </w:rPr>
              <w:t>Cilj je tudi ob ohranitvi administrativne enostavnosti sistema normiranih odhodkov bolj upoštevati ekonomsko moč zavezanca in s tem pravičnost sistema ter zmanjšati spodbudno delovanja sistema za uporabo nezakonitih praks na trgu dela, torej zmanjšati privlačnost sistema za uporabo kot instrumenta zniževanja davčnih obveznosti. Posredno je cilj tudi pravičnejša participacija v sistemu uveljavljanja pravic iz javnih sredstev in sistemu socialnih zavarovanj.</w:t>
            </w:r>
          </w:p>
          <w:p w14:paraId="70E44A3A" w14:textId="010075E8" w:rsidR="00E83114" w:rsidRDefault="00E83114" w:rsidP="00E608B0">
            <w:pPr>
              <w:spacing w:after="0" w:line="276" w:lineRule="auto"/>
              <w:contextualSpacing/>
              <w:jc w:val="both"/>
              <w:rPr>
                <w:rFonts w:ascii="Arial" w:eastAsia="Times New Roman" w:hAnsi="Arial" w:cs="Arial"/>
                <w:sz w:val="20"/>
                <w:szCs w:val="20"/>
              </w:rPr>
            </w:pPr>
          </w:p>
          <w:p w14:paraId="09B7E8E0" w14:textId="0DB8DB60" w:rsidR="00E83114" w:rsidRDefault="00E83114" w:rsidP="00E608B0">
            <w:pPr>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 xml:space="preserve">Cilj zakona pa je tudi preoblikovati vsebine, ki bi lahko, če ostanejo nespremenjene, povzročile težave </w:t>
            </w:r>
            <w:r w:rsidR="001955FF">
              <w:rPr>
                <w:rFonts w:ascii="Arial" w:eastAsia="Times New Roman" w:hAnsi="Arial" w:cs="Arial"/>
                <w:sz w:val="20"/>
                <w:szCs w:val="20"/>
              </w:rPr>
              <w:t>pri</w:t>
            </w:r>
            <w:r>
              <w:rPr>
                <w:rFonts w:ascii="Arial" w:eastAsia="Times New Roman" w:hAnsi="Arial" w:cs="Arial"/>
                <w:sz w:val="20"/>
                <w:szCs w:val="20"/>
              </w:rPr>
              <w:t xml:space="preserve"> izvajanju </w:t>
            </w:r>
            <w:r w:rsidR="00EF1FDF">
              <w:rPr>
                <w:rFonts w:ascii="Arial" w:eastAsia="Times New Roman" w:hAnsi="Arial" w:cs="Arial"/>
                <w:sz w:val="20"/>
                <w:szCs w:val="20"/>
              </w:rPr>
              <w:t>ZDoh-2</w:t>
            </w:r>
            <w:r w:rsidR="00BF7AB0">
              <w:rPr>
                <w:rFonts w:ascii="Arial" w:eastAsia="Times New Roman" w:hAnsi="Arial" w:cs="Arial"/>
                <w:sz w:val="20"/>
                <w:szCs w:val="20"/>
              </w:rPr>
              <w:t>,</w:t>
            </w:r>
            <w:r w:rsidR="007A3406">
              <w:rPr>
                <w:rFonts w:ascii="Arial" w:eastAsia="Times New Roman" w:hAnsi="Arial" w:cs="Arial"/>
                <w:sz w:val="20"/>
                <w:szCs w:val="20"/>
              </w:rPr>
              <w:t xml:space="preserve"> ter z jasn</w:t>
            </w:r>
            <w:r w:rsidR="008D6AE1">
              <w:rPr>
                <w:rFonts w:ascii="Arial" w:eastAsia="Times New Roman" w:hAnsi="Arial" w:cs="Arial"/>
                <w:sz w:val="20"/>
                <w:szCs w:val="20"/>
              </w:rPr>
              <w:t>ejšimi</w:t>
            </w:r>
            <w:r w:rsidR="007A3406">
              <w:rPr>
                <w:rFonts w:ascii="Arial" w:eastAsia="Times New Roman" w:hAnsi="Arial" w:cs="Arial"/>
                <w:sz w:val="20"/>
                <w:szCs w:val="20"/>
              </w:rPr>
              <w:t xml:space="preserve"> opredelitvami </w:t>
            </w:r>
            <w:r w:rsidR="00BF7AB0">
              <w:rPr>
                <w:rFonts w:ascii="Arial" w:eastAsia="Times New Roman" w:hAnsi="Arial" w:cs="Arial"/>
                <w:sz w:val="20"/>
                <w:szCs w:val="20"/>
              </w:rPr>
              <w:t xml:space="preserve">veljavnih davčnih pravil </w:t>
            </w:r>
            <w:r w:rsidR="007A3406">
              <w:rPr>
                <w:rFonts w:ascii="Arial" w:eastAsia="Times New Roman" w:hAnsi="Arial" w:cs="Arial"/>
                <w:sz w:val="20"/>
                <w:szCs w:val="20"/>
              </w:rPr>
              <w:t>povečati davčno gotovost pri izvajanju ZDoh-2</w:t>
            </w:r>
            <w:r>
              <w:rPr>
                <w:rFonts w:ascii="Arial" w:eastAsia="Times New Roman" w:hAnsi="Arial" w:cs="Arial"/>
                <w:sz w:val="20"/>
                <w:szCs w:val="20"/>
              </w:rPr>
              <w:t xml:space="preserve">. </w:t>
            </w:r>
          </w:p>
          <w:p w14:paraId="002053A4" w14:textId="73355B2B" w:rsidR="008A7506" w:rsidRDefault="008A7506" w:rsidP="00E608B0">
            <w:pPr>
              <w:spacing w:after="0" w:line="276" w:lineRule="auto"/>
              <w:contextualSpacing/>
              <w:jc w:val="both"/>
              <w:rPr>
                <w:rFonts w:ascii="Arial" w:eastAsia="Times New Roman" w:hAnsi="Arial" w:cs="Arial"/>
                <w:sz w:val="20"/>
                <w:szCs w:val="20"/>
              </w:rPr>
            </w:pPr>
          </w:p>
          <w:p w14:paraId="10313E15" w14:textId="07C4B77D" w:rsidR="005C0A8A" w:rsidRDefault="005C0A8A" w:rsidP="005C0A8A">
            <w:pPr>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 xml:space="preserve">Cilj predloga zakona je tudi sistemsko urediti področje namenitve dela dohodnine za donacije, ki je </w:t>
            </w:r>
            <w:r w:rsidR="008D6AE1">
              <w:rPr>
                <w:rFonts w:ascii="Arial" w:eastAsia="Times New Roman" w:hAnsi="Arial" w:cs="Arial"/>
                <w:sz w:val="20"/>
                <w:szCs w:val="20"/>
              </w:rPr>
              <w:t>z</w:t>
            </w:r>
            <w:r>
              <w:rPr>
                <w:rFonts w:ascii="Arial" w:eastAsia="Times New Roman" w:hAnsi="Arial" w:cs="Arial"/>
                <w:sz w:val="20"/>
                <w:szCs w:val="20"/>
              </w:rPr>
              <w:t xml:space="preserve">daj delno parcialno urejeno tudi v ZOFVI in </w:t>
            </w:r>
            <w:r>
              <w:rPr>
                <w:rFonts w:ascii="Arial" w:hAnsi="Arial" w:cs="Arial"/>
                <w:sz w:val="20"/>
                <w:szCs w:val="20"/>
                <w:shd w:val="clear" w:color="auto" w:fill="FFFFFF"/>
              </w:rPr>
              <w:t>ZIUPOPDVE</w:t>
            </w:r>
            <w:r>
              <w:rPr>
                <w:rFonts w:ascii="Arial" w:eastAsia="Times New Roman" w:hAnsi="Arial" w:cs="Arial"/>
                <w:sz w:val="20"/>
                <w:szCs w:val="20"/>
              </w:rPr>
              <w:t>.</w:t>
            </w:r>
          </w:p>
          <w:p w14:paraId="1B211B91" w14:textId="6EB2D59B" w:rsidR="006115F8" w:rsidRPr="004513FD" w:rsidRDefault="006115F8">
            <w:pPr>
              <w:spacing w:after="0" w:line="276" w:lineRule="auto"/>
              <w:contextualSpacing/>
              <w:jc w:val="both"/>
              <w:rPr>
                <w:rFonts w:ascii="Arial" w:eastAsia="Calibri" w:hAnsi="Arial" w:cs="Arial"/>
                <w:sz w:val="20"/>
                <w:szCs w:val="20"/>
              </w:rPr>
            </w:pPr>
          </w:p>
        </w:tc>
      </w:tr>
      <w:tr w:rsidR="004513FD" w:rsidRPr="004513FD" w14:paraId="4A98A4D2" w14:textId="77777777" w:rsidTr="00833C5D">
        <w:tc>
          <w:tcPr>
            <w:tcW w:w="9434" w:type="dxa"/>
            <w:vAlign w:val="center"/>
          </w:tcPr>
          <w:p w14:paraId="75153B80"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lastRenderedPageBreak/>
              <w:t>2.2 Načela</w:t>
            </w:r>
          </w:p>
        </w:tc>
      </w:tr>
      <w:tr w:rsidR="004513FD" w:rsidRPr="004513FD" w14:paraId="5B29071C" w14:textId="77777777" w:rsidTr="00C106E6">
        <w:tc>
          <w:tcPr>
            <w:tcW w:w="9434" w:type="dxa"/>
          </w:tcPr>
          <w:p w14:paraId="5CF7E7ED" w14:textId="77777777" w:rsidR="004513FD" w:rsidRPr="004513FD" w:rsidRDefault="004513FD" w:rsidP="004513FD">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p>
          <w:p w14:paraId="3FA07FD0" w14:textId="7C03EC13" w:rsidR="00244DA7" w:rsidRPr="004513FD" w:rsidRDefault="00244DA7" w:rsidP="00244DA7">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r w:rsidRPr="004513FD">
              <w:rPr>
                <w:rFonts w:ascii="Arial" w:eastAsia="Times New Roman" w:hAnsi="Arial" w:cs="Arial"/>
                <w:sz w:val="20"/>
                <w:szCs w:val="20"/>
                <w:lang w:eastAsia="sl-SI"/>
              </w:rPr>
              <w:t xml:space="preserve">Načela tega zakona </w:t>
            </w:r>
            <w:r w:rsidR="008D6AE1">
              <w:rPr>
                <w:rFonts w:ascii="Arial" w:eastAsia="Times New Roman" w:hAnsi="Arial" w:cs="Arial"/>
                <w:sz w:val="20"/>
                <w:szCs w:val="20"/>
                <w:lang w:eastAsia="sl-SI"/>
              </w:rPr>
              <w:t>na</w:t>
            </w:r>
            <w:r w:rsidRPr="004513FD">
              <w:rPr>
                <w:rFonts w:ascii="Arial" w:eastAsia="Times New Roman" w:hAnsi="Arial" w:cs="Arial"/>
                <w:sz w:val="20"/>
                <w:szCs w:val="20"/>
                <w:lang w:eastAsia="sl-SI"/>
              </w:rPr>
              <w:t xml:space="preserve"> splošn</w:t>
            </w:r>
            <w:r w:rsidR="008D6AE1">
              <w:rPr>
                <w:rFonts w:ascii="Arial" w:eastAsia="Times New Roman" w:hAnsi="Arial" w:cs="Arial"/>
                <w:sz w:val="20"/>
                <w:szCs w:val="20"/>
                <w:lang w:eastAsia="sl-SI"/>
              </w:rPr>
              <w:t>o</w:t>
            </w:r>
            <w:r w:rsidRPr="004513FD">
              <w:rPr>
                <w:rFonts w:ascii="Arial" w:eastAsia="Times New Roman" w:hAnsi="Arial" w:cs="Arial"/>
                <w:sz w:val="20"/>
                <w:szCs w:val="20"/>
                <w:lang w:eastAsia="sl-SI"/>
              </w:rPr>
              <w:t xml:space="preserve"> ne odstopajo od temeljnih načel veljavnega ZDoh-2. V predlogu zakona se tako izhaja iz načela splošne davčne obveznosti, načela obdavčitve svetovnega dohodka, enake oziroma primerljive davčne obravnave davčnih zavezancev v enakem oziroma primerljivem položaju in sposobnosti za plačilo davka.</w:t>
            </w:r>
          </w:p>
          <w:p w14:paraId="0797872A" w14:textId="77777777" w:rsidR="004513FD" w:rsidRPr="004513FD" w:rsidRDefault="004513FD" w:rsidP="004513FD">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p>
        </w:tc>
      </w:tr>
      <w:tr w:rsidR="004513FD" w:rsidRPr="004513FD" w14:paraId="10E08350" w14:textId="77777777" w:rsidTr="00833C5D">
        <w:tc>
          <w:tcPr>
            <w:tcW w:w="9434" w:type="dxa"/>
            <w:vAlign w:val="center"/>
          </w:tcPr>
          <w:p w14:paraId="5002A77F"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t>2.3 Poglavitne rešitve</w:t>
            </w:r>
          </w:p>
        </w:tc>
      </w:tr>
      <w:tr w:rsidR="004513FD" w:rsidRPr="004513FD" w14:paraId="196AB2FA" w14:textId="77777777" w:rsidTr="00C106E6">
        <w:trPr>
          <w:trHeight w:val="434"/>
        </w:trPr>
        <w:tc>
          <w:tcPr>
            <w:tcW w:w="9434" w:type="dxa"/>
          </w:tcPr>
          <w:p w14:paraId="4A5DCF13" w14:textId="6471473F" w:rsidR="00B2034C" w:rsidRPr="009926FB" w:rsidRDefault="00B2034C" w:rsidP="004513FD">
            <w:pPr>
              <w:overflowPunct w:val="0"/>
              <w:autoSpaceDE w:val="0"/>
              <w:autoSpaceDN w:val="0"/>
              <w:adjustRightInd w:val="0"/>
              <w:spacing w:after="0" w:line="276" w:lineRule="auto"/>
              <w:contextualSpacing/>
              <w:jc w:val="both"/>
              <w:textAlignment w:val="baseline"/>
              <w:rPr>
                <w:rFonts w:ascii="Arial" w:eastAsia="Times New Roman" w:hAnsi="Arial" w:cs="Arial"/>
                <w:b/>
                <w:bCs/>
                <w:sz w:val="20"/>
                <w:szCs w:val="20"/>
                <w:lang w:eastAsia="sl-SI"/>
              </w:rPr>
            </w:pPr>
          </w:p>
          <w:p w14:paraId="3A373F9F" w14:textId="6264F0F9" w:rsidR="00E608B0" w:rsidRPr="00F120D9" w:rsidRDefault="00E608B0" w:rsidP="00E608B0">
            <w:pPr>
              <w:spacing w:after="0" w:line="276" w:lineRule="auto"/>
              <w:contextualSpacing/>
              <w:jc w:val="both"/>
              <w:rPr>
                <w:rFonts w:ascii="Arial" w:eastAsia="Times New Roman" w:hAnsi="Arial" w:cs="Arial"/>
                <w:sz w:val="20"/>
                <w:szCs w:val="20"/>
              </w:rPr>
            </w:pPr>
            <w:r w:rsidRPr="00B74B49">
              <w:rPr>
                <w:rFonts w:ascii="Arial" w:eastAsia="Times New Roman" w:hAnsi="Arial" w:cs="Arial"/>
                <w:sz w:val="20"/>
                <w:szCs w:val="20"/>
              </w:rPr>
              <w:t>2.3.1 Davčna obravnava dohodkov, ki se vštevajo v letno davčno osnovo</w:t>
            </w:r>
          </w:p>
          <w:p w14:paraId="49914CBA" w14:textId="5573F933" w:rsidR="00E608B0" w:rsidRPr="00F120D9" w:rsidRDefault="00E608B0" w:rsidP="00E608B0">
            <w:pPr>
              <w:spacing w:after="0" w:line="276" w:lineRule="auto"/>
              <w:contextualSpacing/>
              <w:jc w:val="both"/>
              <w:rPr>
                <w:rFonts w:ascii="Arial" w:eastAsia="Calibri" w:hAnsi="Arial" w:cs="Arial"/>
                <w:i/>
                <w:iCs/>
                <w:sz w:val="20"/>
                <w:szCs w:val="20"/>
              </w:rPr>
            </w:pPr>
            <w:r w:rsidRPr="00F120D9">
              <w:rPr>
                <w:rFonts w:ascii="Arial" w:eastAsia="Calibri" w:hAnsi="Arial" w:cs="Arial"/>
                <w:i/>
                <w:iCs/>
                <w:sz w:val="20"/>
                <w:szCs w:val="20"/>
              </w:rPr>
              <w:t>a) Olajšave in mehanizem usklajevanja olajšav ter neto letnih davčnih osnov</w:t>
            </w:r>
            <w:r w:rsidR="007A6775" w:rsidRPr="00F120D9">
              <w:rPr>
                <w:rFonts w:ascii="Arial" w:eastAsia="Calibri" w:hAnsi="Arial" w:cs="Arial"/>
                <w:i/>
                <w:iCs/>
                <w:sz w:val="20"/>
                <w:szCs w:val="20"/>
              </w:rPr>
              <w:t xml:space="preserve"> (</w:t>
            </w:r>
            <w:r w:rsidR="00D71136">
              <w:rPr>
                <w:rFonts w:ascii="Arial" w:eastAsia="Calibri" w:hAnsi="Arial" w:cs="Arial"/>
                <w:i/>
                <w:iCs/>
                <w:sz w:val="20"/>
                <w:szCs w:val="20"/>
              </w:rPr>
              <w:t>8</w:t>
            </w:r>
            <w:r w:rsidR="00950DD2">
              <w:rPr>
                <w:rFonts w:ascii="Arial" w:eastAsia="Calibri" w:hAnsi="Arial" w:cs="Arial"/>
                <w:i/>
                <w:iCs/>
                <w:sz w:val="20"/>
                <w:szCs w:val="20"/>
              </w:rPr>
              <w:t xml:space="preserve">., </w:t>
            </w:r>
            <w:r w:rsidR="00D71136">
              <w:rPr>
                <w:rFonts w:ascii="Arial" w:eastAsia="Calibri" w:hAnsi="Arial" w:cs="Arial"/>
                <w:i/>
                <w:iCs/>
                <w:sz w:val="20"/>
                <w:szCs w:val="20"/>
              </w:rPr>
              <w:t>9</w:t>
            </w:r>
            <w:r w:rsidR="00950DD2">
              <w:rPr>
                <w:rFonts w:ascii="Arial" w:eastAsia="Calibri" w:hAnsi="Arial" w:cs="Arial"/>
                <w:i/>
                <w:iCs/>
                <w:sz w:val="20"/>
                <w:szCs w:val="20"/>
              </w:rPr>
              <w:t>., 1</w:t>
            </w:r>
            <w:r w:rsidR="00D71136">
              <w:rPr>
                <w:rFonts w:ascii="Arial" w:eastAsia="Calibri" w:hAnsi="Arial" w:cs="Arial"/>
                <w:i/>
                <w:iCs/>
                <w:sz w:val="20"/>
                <w:szCs w:val="20"/>
              </w:rPr>
              <w:t>0</w:t>
            </w:r>
            <w:r w:rsidR="00950DD2">
              <w:rPr>
                <w:rFonts w:ascii="Arial" w:eastAsia="Calibri" w:hAnsi="Arial" w:cs="Arial"/>
                <w:i/>
                <w:iCs/>
                <w:sz w:val="20"/>
                <w:szCs w:val="20"/>
              </w:rPr>
              <w:t xml:space="preserve">., </w:t>
            </w:r>
            <w:r w:rsidR="00AE541F">
              <w:rPr>
                <w:rFonts w:ascii="Arial" w:eastAsia="Calibri" w:hAnsi="Arial" w:cs="Arial"/>
                <w:i/>
                <w:iCs/>
                <w:sz w:val="20"/>
                <w:szCs w:val="20"/>
              </w:rPr>
              <w:t>1</w:t>
            </w:r>
            <w:r w:rsidR="00D71136">
              <w:rPr>
                <w:rFonts w:ascii="Arial" w:eastAsia="Calibri" w:hAnsi="Arial" w:cs="Arial"/>
                <w:i/>
                <w:iCs/>
                <w:sz w:val="20"/>
                <w:szCs w:val="20"/>
              </w:rPr>
              <w:t>1</w:t>
            </w:r>
            <w:r w:rsidR="00AE541F">
              <w:rPr>
                <w:rFonts w:ascii="Arial" w:eastAsia="Calibri" w:hAnsi="Arial" w:cs="Arial"/>
                <w:i/>
                <w:iCs/>
                <w:sz w:val="20"/>
                <w:szCs w:val="20"/>
              </w:rPr>
              <w:t>.,</w:t>
            </w:r>
            <w:r w:rsidR="00950DD2">
              <w:rPr>
                <w:rFonts w:ascii="Arial" w:eastAsia="Calibri" w:hAnsi="Arial" w:cs="Arial"/>
                <w:i/>
                <w:iCs/>
                <w:sz w:val="20"/>
                <w:szCs w:val="20"/>
              </w:rPr>
              <w:t xml:space="preserve"> 1</w:t>
            </w:r>
            <w:r w:rsidR="00D71136">
              <w:rPr>
                <w:rFonts w:ascii="Arial" w:eastAsia="Calibri" w:hAnsi="Arial" w:cs="Arial"/>
                <w:i/>
                <w:iCs/>
                <w:sz w:val="20"/>
                <w:szCs w:val="20"/>
              </w:rPr>
              <w:t>6</w:t>
            </w:r>
            <w:r w:rsidR="00950DD2">
              <w:rPr>
                <w:rFonts w:ascii="Arial" w:eastAsia="Calibri" w:hAnsi="Arial" w:cs="Arial"/>
                <w:i/>
                <w:iCs/>
                <w:sz w:val="20"/>
                <w:szCs w:val="20"/>
              </w:rPr>
              <w:t>. in 1</w:t>
            </w:r>
            <w:r w:rsidR="00D71136">
              <w:rPr>
                <w:rFonts w:ascii="Arial" w:eastAsia="Calibri" w:hAnsi="Arial" w:cs="Arial"/>
                <w:i/>
                <w:iCs/>
                <w:sz w:val="20"/>
                <w:szCs w:val="20"/>
              </w:rPr>
              <w:t>8</w:t>
            </w:r>
            <w:r w:rsidR="00950DD2">
              <w:rPr>
                <w:rFonts w:ascii="Arial" w:eastAsia="Calibri" w:hAnsi="Arial" w:cs="Arial"/>
                <w:i/>
                <w:iCs/>
                <w:sz w:val="20"/>
                <w:szCs w:val="20"/>
              </w:rPr>
              <w:t>.</w:t>
            </w:r>
            <w:r w:rsidR="008D6AE1">
              <w:rPr>
                <w:rFonts w:ascii="Arial" w:eastAsia="Calibri" w:hAnsi="Arial" w:cs="Arial"/>
                <w:i/>
                <w:sz w:val="20"/>
                <w:szCs w:val="20"/>
              </w:rPr>
              <w:t> </w:t>
            </w:r>
            <w:r w:rsidR="00B41D4C" w:rsidRPr="00F120D9">
              <w:rPr>
                <w:rFonts w:ascii="Arial" w:eastAsia="Calibri" w:hAnsi="Arial" w:cs="Arial"/>
                <w:i/>
                <w:sz w:val="20"/>
                <w:szCs w:val="20"/>
              </w:rPr>
              <w:t xml:space="preserve">člen </w:t>
            </w:r>
            <w:r w:rsidR="007A6775" w:rsidRPr="00F120D9">
              <w:rPr>
                <w:rFonts w:ascii="Arial" w:eastAsia="Calibri" w:hAnsi="Arial" w:cs="Arial"/>
                <w:i/>
                <w:sz w:val="20"/>
                <w:szCs w:val="20"/>
              </w:rPr>
              <w:t>predloga zakona):</w:t>
            </w:r>
          </w:p>
          <w:p w14:paraId="18F21996" w14:textId="25B4206D" w:rsidR="00E608B0" w:rsidRPr="00F120D9" w:rsidRDefault="007A6775" w:rsidP="00076F4A">
            <w:pPr>
              <w:pStyle w:val="Odstavekseznama"/>
              <w:numPr>
                <w:ilvl w:val="0"/>
                <w:numId w:val="29"/>
              </w:numPr>
              <w:spacing w:line="276" w:lineRule="auto"/>
              <w:contextualSpacing/>
              <w:jc w:val="both"/>
              <w:rPr>
                <w:rFonts w:ascii="Arial" w:eastAsia="Calibri" w:hAnsi="Arial" w:cs="Arial"/>
                <w:sz w:val="20"/>
                <w:szCs w:val="20"/>
              </w:rPr>
            </w:pPr>
            <w:r w:rsidRPr="00F120D9">
              <w:rPr>
                <w:rFonts w:ascii="Arial" w:eastAsia="Calibri" w:hAnsi="Arial" w:cs="Arial"/>
                <w:sz w:val="20"/>
                <w:szCs w:val="20"/>
              </w:rPr>
              <w:t>v</w:t>
            </w:r>
            <w:r w:rsidR="00E608B0" w:rsidRPr="00F120D9">
              <w:rPr>
                <w:rFonts w:ascii="Arial" w:eastAsia="Calibri" w:hAnsi="Arial" w:cs="Arial"/>
                <w:sz w:val="20"/>
                <w:szCs w:val="20"/>
              </w:rPr>
              <w:t xml:space="preserve">išina splošne olajšave </w:t>
            </w:r>
            <w:r w:rsidRPr="00F120D9">
              <w:rPr>
                <w:rFonts w:ascii="Arial" w:eastAsia="Calibri" w:hAnsi="Arial" w:cs="Arial"/>
                <w:sz w:val="20"/>
                <w:szCs w:val="20"/>
              </w:rPr>
              <w:t xml:space="preserve">se </w:t>
            </w:r>
            <w:r w:rsidR="003A33DD" w:rsidRPr="00F120D9">
              <w:rPr>
                <w:rFonts w:ascii="Arial" w:eastAsia="Calibri" w:hAnsi="Arial" w:cs="Arial"/>
                <w:sz w:val="20"/>
                <w:szCs w:val="20"/>
              </w:rPr>
              <w:t>določi na višini 5.000</w:t>
            </w:r>
            <w:r w:rsidR="008D6AE1">
              <w:rPr>
                <w:rFonts w:ascii="Arial" w:eastAsia="Calibri" w:hAnsi="Arial" w:cs="Arial"/>
                <w:sz w:val="20"/>
                <w:szCs w:val="20"/>
              </w:rPr>
              <w:t> </w:t>
            </w:r>
            <w:r w:rsidR="00E608B0" w:rsidRPr="00F120D9">
              <w:rPr>
                <w:rFonts w:ascii="Arial" w:eastAsia="Calibri" w:hAnsi="Arial" w:cs="Arial"/>
                <w:sz w:val="20"/>
                <w:szCs w:val="20"/>
              </w:rPr>
              <w:t>EUR in odpravi postopno zvišanje na 7.500</w:t>
            </w:r>
            <w:r w:rsidR="008D6AE1">
              <w:rPr>
                <w:rFonts w:ascii="Arial" w:eastAsia="Calibri" w:hAnsi="Arial" w:cs="Arial"/>
                <w:sz w:val="20"/>
                <w:szCs w:val="20"/>
              </w:rPr>
              <w:t> </w:t>
            </w:r>
            <w:r w:rsidR="00E608B0" w:rsidRPr="00F120D9">
              <w:rPr>
                <w:rFonts w:ascii="Arial" w:eastAsia="Calibri" w:hAnsi="Arial" w:cs="Arial"/>
                <w:sz w:val="20"/>
                <w:szCs w:val="20"/>
              </w:rPr>
              <w:t>EUR</w:t>
            </w:r>
            <w:r w:rsidRPr="00F120D9">
              <w:rPr>
                <w:rFonts w:ascii="Arial" w:eastAsia="Calibri" w:hAnsi="Arial" w:cs="Arial"/>
                <w:sz w:val="20"/>
                <w:szCs w:val="20"/>
              </w:rPr>
              <w:t>;</w:t>
            </w:r>
          </w:p>
          <w:p w14:paraId="50C7468A" w14:textId="3E829B96" w:rsidR="00ED0FB2" w:rsidRPr="00F120D9" w:rsidRDefault="00ED0FB2" w:rsidP="00076F4A">
            <w:pPr>
              <w:pStyle w:val="Odstavekseznama"/>
              <w:numPr>
                <w:ilvl w:val="0"/>
                <w:numId w:val="29"/>
              </w:numPr>
              <w:spacing w:line="276" w:lineRule="auto"/>
              <w:contextualSpacing/>
              <w:jc w:val="both"/>
              <w:rPr>
                <w:rFonts w:ascii="Arial" w:eastAsia="Calibri" w:hAnsi="Arial" w:cs="Arial"/>
                <w:sz w:val="20"/>
                <w:szCs w:val="20"/>
              </w:rPr>
            </w:pPr>
            <w:r w:rsidRPr="00F120D9">
              <w:rPr>
                <w:rFonts w:ascii="Arial" w:eastAsia="Calibri" w:hAnsi="Arial" w:cs="Arial"/>
                <w:sz w:val="20"/>
                <w:szCs w:val="20"/>
              </w:rPr>
              <w:t>zvišuje se skupni dohodek, do katerega se rezidentu poleg splošne olajšave prizna tudi dodatna splošna olajšave, in sicer se poveča s 13.716,33</w:t>
            </w:r>
            <w:r w:rsidR="008D6AE1">
              <w:rPr>
                <w:rFonts w:ascii="Arial" w:eastAsia="Calibri" w:hAnsi="Arial" w:cs="Arial"/>
                <w:sz w:val="20"/>
                <w:szCs w:val="20"/>
              </w:rPr>
              <w:t> </w:t>
            </w:r>
            <w:r w:rsidRPr="00F120D9">
              <w:rPr>
                <w:rFonts w:ascii="Arial" w:eastAsia="Calibri" w:hAnsi="Arial" w:cs="Arial"/>
                <w:sz w:val="20"/>
                <w:szCs w:val="20"/>
              </w:rPr>
              <w:t>EUR na 1</w:t>
            </w:r>
            <w:r w:rsidR="00C75AB3">
              <w:rPr>
                <w:rFonts w:ascii="Arial" w:eastAsia="Calibri" w:hAnsi="Arial" w:cs="Arial"/>
                <w:sz w:val="20"/>
                <w:szCs w:val="20"/>
              </w:rPr>
              <w:t>6</w:t>
            </w:r>
            <w:r w:rsidRPr="00F120D9">
              <w:rPr>
                <w:rFonts w:ascii="Arial" w:eastAsia="Calibri" w:hAnsi="Arial" w:cs="Arial"/>
                <w:sz w:val="20"/>
                <w:szCs w:val="20"/>
              </w:rPr>
              <w:t>.000</w:t>
            </w:r>
            <w:r w:rsidR="008D6AE1">
              <w:rPr>
                <w:rFonts w:ascii="Arial" w:eastAsia="Calibri" w:hAnsi="Arial" w:cs="Arial"/>
                <w:sz w:val="20"/>
                <w:szCs w:val="20"/>
              </w:rPr>
              <w:t> </w:t>
            </w:r>
            <w:r w:rsidRPr="00F120D9">
              <w:rPr>
                <w:rFonts w:ascii="Arial" w:eastAsia="Calibri" w:hAnsi="Arial" w:cs="Arial"/>
                <w:sz w:val="20"/>
                <w:szCs w:val="20"/>
              </w:rPr>
              <w:t>EUR</w:t>
            </w:r>
            <w:r w:rsidR="0079692B" w:rsidRPr="00F120D9">
              <w:rPr>
                <w:rFonts w:ascii="Arial" w:eastAsia="Calibri" w:hAnsi="Arial" w:cs="Arial"/>
                <w:sz w:val="20"/>
                <w:szCs w:val="20"/>
              </w:rPr>
              <w:t>;</w:t>
            </w:r>
          </w:p>
          <w:p w14:paraId="6BE9CDCC" w14:textId="33979BD7" w:rsidR="008B373D" w:rsidRPr="00F120D9" w:rsidRDefault="008B373D" w:rsidP="00076F4A">
            <w:pPr>
              <w:pStyle w:val="Odstavekseznama"/>
              <w:numPr>
                <w:ilvl w:val="0"/>
                <w:numId w:val="29"/>
              </w:numPr>
              <w:spacing w:line="276" w:lineRule="auto"/>
              <w:contextualSpacing/>
              <w:jc w:val="both"/>
              <w:rPr>
                <w:rFonts w:ascii="Arial" w:eastAsia="Calibri" w:hAnsi="Arial" w:cs="Arial"/>
                <w:sz w:val="20"/>
                <w:szCs w:val="20"/>
              </w:rPr>
            </w:pPr>
            <w:r w:rsidRPr="00F120D9">
              <w:rPr>
                <w:rFonts w:ascii="Arial" w:eastAsia="Calibri" w:hAnsi="Arial" w:cs="Arial"/>
                <w:sz w:val="20"/>
                <w:szCs w:val="20"/>
              </w:rPr>
              <w:t>uvaja se znižanje davčne osnove od dohodkov iz delovnega razmerja v višini 1.000</w:t>
            </w:r>
            <w:r w:rsidR="008D6AE1">
              <w:rPr>
                <w:rFonts w:ascii="Arial" w:eastAsia="Calibri" w:hAnsi="Arial" w:cs="Arial"/>
                <w:sz w:val="20"/>
                <w:szCs w:val="20"/>
              </w:rPr>
              <w:t> </w:t>
            </w:r>
            <w:r w:rsidRPr="00F120D9">
              <w:rPr>
                <w:rFonts w:ascii="Arial" w:eastAsia="Calibri" w:hAnsi="Arial" w:cs="Arial"/>
                <w:sz w:val="20"/>
                <w:szCs w:val="20"/>
              </w:rPr>
              <w:t>EUR v davčnem letu za zavezance do dopolnjenega 2</w:t>
            </w:r>
            <w:r w:rsidR="004A3C05">
              <w:rPr>
                <w:rFonts w:ascii="Arial" w:eastAsia="Calibri" w:hAnsi="Arial" w:cs="Arial"/>
                <w:sz w:val="20"/>
                <w:szCs w:val="20"/>
              </w:rPr>
              <w:t>9</w:t>
            </w:r>
            <w:r w:rsidRPr="00F120D9">
              <w:rPr>
                <w:rFonts w:ascii="Arial" w:eastAsia="Calibri" w:hAnsi="Arial" w:cs="Arial"/>
                <w:sz w:val="20"/>
                <w:szCs w:val="20"/>
              </w:rPr>
              <w:t>. leta starosti;</w:t>
            </w:r>
          </w:p>
          <w:p w14:paraId="2D7BFA59" w14:textId="3D632E8C" w:rsidR="008B373D" w:rsidRPr="00F120D9" w:rsidRDefault="008B373D" w:rsidP="00076F4A">
            <w:pPr>
              <w:pStyle w:val="Odstavekseznama"/>
              <w:numPr>
                <w:ilvl w:val="0"/>
                <w:numId w:val="29"/>
              </w:numPr>
              <w:spacing w:line="276" w:lineRule="auto"/>
              <w:contextualSpacing/>
              <w:jc w:val="both"/>
              <w:rPr>
                <w:rFonts w:ascii="Arial" w:eastAsia="Calibri" w:hAnsi="Arial" w:cs="Arial"/>
                <w:sz w:val="20"/>
                <w:szCs w:val="20"/>
              </w:rPr>
            </w:pPr>
            <w:r w:rsidRPr="00F120D9">
              <w:rPr>
                <w:rFonts w:ascii="Arial" w:eastAsia="Calibri" w:hAnsi="Arial" w:cs="Arial"/>
                <w:sz w:val="20"/>
                <w:szCs w:val="20"/>
              </w:rPr>
              <w:t>zvišuje se davčna stopnja v zadnjem 5. dohodninskem razredu s sedanjih 45</w:t>
            </w:r>
            <w:r w:rsidR="008D6AE1">
              <w:rPr>
                <w:rFonts w:ascii="Arial" w:eastAsia="Calibri" w:hAnsi="Arial" w:cs="Arial"/>
                <w:sz w:val="20"/>
                <w:szCs w:val="20"/>
              </w:rPr>
              <w:t> </w:t>
            </w:r>
            <w:r w:rsidRPr="00F120D9">
              <w:rPr>
                <w:rFonts w:ascii="Arial" w:eastAsia="Calibri" w:hAnsi="Arial" w:cs="Arial"/>
                <w:sz w:val="20"/>
                <w:szCs w:val="20"/>
              </w:rPr>
              <w:t>% na 50</w:t>
            </w:r>
            <w:r w:rsidR="008D6AE1">
              <w:rPr>
                <w:rFonts w:ascii="Arial" w:eastAsia="Calibri" w:hAnsi="Arial" w:cs="Arial"/>
                <w:sz w:val="20"/>
                <w:szCs w:val="20"/>
              </w:rPr>
              <w:t> </w:t>
            </w:r>
            <w:r w:rsidRPr="00F120D9">
              <w:rPr>
                <w:rFonts w:ascii="Arial" w:eastAsia="Calibri" w:hAnsi="Arial" w:cs="Arial"/>
                <w:sz w:val="20"/>
                <w:szCs w:val="20"/>
              </w:rPr>
              <w:t>%;</w:t>
            </w:r>
          </w:p>
          <w:p w14:paraId="427EDC6C" w14:textId="2D93B4C7" w:rsidR="00E608B0" w:rsidRPr="00F120D9" w:rsidRDefault="00ED2BD5" w:rsidP="00076F4A">
            <w:pPr>
              <w:pStyle w:val="Odstavekseznama"/>
              <w:numPr>
                <w:ilvl w:val="0"/>
                <w:numId w:val="29"/>
              </w:numPr>
              <w:spacing w:line="276" w:lineRule="auto"/>
              <w:contextualSpacing/>
              <w:jc w:val="both"/>
              <w:rPr>
                <w:rFonts w:ascii="Arial" w:hAnsi="Arial" w:cs="Arial"/>
                <w:sz w:val="20"/>
                <w:szCs w:val="20"/>
              </w:rPr>
            </w:pPr>
            <w:r>
              <w:rPr>
                <w:rFonts w:ascii="Arial" w:eastAsia="Calibri" w:hAnsi="Arial" w:cs="Arial"/>
                <w:sz w:val="20"/>
                <w:szCs w:val="20"/>
              </w:rPr>
              <w:t>spreminja</w:t>
            </w:r>
            <w:r w:rsidR="008B373D" w:rsidRPr="00F120D9">
              <w:rPr>
                <w:rFonts w:ascii="Arial" w:eastAsia="Calibri" w:hAnsi="Arial" w:cs="Arial"/>
                <w:sz w:val="20"/>
                <w:szCs w:val="20"/>
              </w:rPr>
              <w:t xml:space="preserve"> se</w:t>
            </w:r>
            <w:r w:rsidR="007A6775" w:rsidRPr="00F120D9">
              <w:rPr>
                <w:rFonts w:ascii="Arial" w:eastAsia="Calibri" w:hAnsi="Arial" w:cs="Arial"/>
                <w:sz w:val="20"/>
                <w:szCs w:val="20"/>
              </w:rPr>
              <w:t xml:space="preserve"> mehaniz</w:t>
            </w:r>
            <w:r w:rsidR="008B373D" w:rsidRPr="00F120D9">
              <w:rPr>
                <w:rFonts w:ascii="Arial" w:eastAsia="Calibri" w:hAnsi="Arial" w:cs="Arial"/>
                <w:sz w:val="20"/>
                <w:szCs w:val="20"/>
              </w:rPr>
              <w:t>e</w:t>
            </w:r>
            <w:r w:rsidR="007A6775" w:rsidRPr="00F120D9">
              <w:rPr>
                <w:rFonts w:ascii="Arial" w:eastAsia="Calibri" w:hAnsi="Arial" w:cs="Arial"/>
                <w:sz w:val="20"/>
                <w:szCs w:val="20"/>
              </w:rPr>
              <w:t xml:space="preserve">m usklajevanja </w:t>
            </w:r>
            <w:r w:rsidR="00E608B0" w:rsidRPr="00F120D9">
              <w:rPr>
                <w:rFonts w:ascii="Arial" w:eastAsia="Calibri" w:hAnsi="Arial" w:cs="Arial"/>
                <w:sz w:val="20"/>
                <w:szCs w:val="20"/>
              </w:rPr>
              <w:t>višin zneskov olajšav in neto letnih davčnih osnov</w:t>
            </w:r>
            <w:r w:rsidR="008B373D" w:rsidRPr="00F120D9">
              <w:rPr>
                <w:rFonts w:ascii="Arial" w:eastAsia="Calibri" w:hAnsi="Arial" w:cs="Arial"/>
                <w:sz w:val="20"/>
                <w:szCs w:val="20"/>
              </w:rPr>
              <w:t>;</w:t>
            </w:r>
          </w:p>
          <w:p w14:paraId="0A2C5836" w14:textId="2C06803B" w:rsidR="00A2142C" w:rsidRPr="00F120D9" w:rsidRDefault="00A2142C" w:rsidP="00076F4A">
            <w:pPr>
              <w:pStyle w:val="Odstavekseznama"/>
              <w:numPr>
                <w:ilvl w:val="0"/>
                <w:numId w:val="29"/>
              </w:numPr>
              <w:spacing w:line="276" w:lineRule="auto"/>
              <w:contextualSpacing/>
              <w:jc w:val="both"/>
              <w:rPr>
                <w:rFonts w:ascii="Arial" w:hAnsi="Arial" w:cs="Arial"/>
                <w:sz w:val="20"/>
                <w:szCs w:val="20"/>
              </w:rPr>
            </w:pPr>
            <w:r w:rsidRPr="00F120D9">
              <w:rPr>
                <w:rFonts w:ascii="Arial" w:hAnsi="Arial" w:cs="Arial"/>
                <w:sz w:val="20"/>
                <w:szCs w:val="20"/>
              </w:rPr>
              <w:t>za leto 2023 se uskladitev olajšav in neto letnih davčnih osnov</w:t>
            </w:r>
            <w:r w:rsidR="003A33DD" w:rsidRPr="00F120D9">
              <w:rPr>
                <w:rFonts w:ascii="Arial" w:hAnsi="Arial" w:cs="Arial"/>
                <w:sz w:val="20"/>
                <w:szCs w:val="20"/>
              </w:rPr>
              <w:t xml:space="preserve"> ne</w:t>
            </w:r>
            <w:r w:rsidRPr="00F120D9">
              <w:rPr>
                <w:rFonts w:ascii="Arial" w:hAnsi="Arial" w:cs="Arial"/>
                <w:sz w:val="20"/>
                <w:szCs w:val="20"/>
              </w:rPr>
              <w:t xml:space="preserve"> opravi</w:t>
            </w:r>
            <w:r w:rsidR="00ED0FB2" w:rsidRPr="00F120D9">
              <w:rPr>
                <w:rFonts w:ascii="Arial" w:hAnsi="Arial" w:cs="Arial"/>
                <w:sz w:val="20"/>
                <w:szCs w:val="20"/>
              </w:rPr>
              <w:t>.</w:t>
            </w:r>
          </w:p>
          <w:p w14:paraId="17DAE484" w14:textId="77777777" w:rsidR="00E608B0" w:rsidRPr="00F120D9" w:rsidRDefault="00E608B0" w:rsidP="00E608B0">
            <w:pPr>
              <w:spacing w:after="0" w:line="276" w:lineRule="auto"/>
              <w:contextualSpacing/>
              <w:jc w:val="both"/>
              <w:rPr>
                <w:rFonts w:ascii="Arial" w:eastAsia="Calibri" w:hAnsi="Arial" w:cs="Arial"/>
                <w:sz w:val="20"/>
                <w:szCs w:val="20"/>
              </w:rPr>
            </w:pPr>
          </w:p>
          <w:p w14:paraId="1435F5F2" w14:textId="5D2BF64A" w:rsidR="00E608B0" w:rsidRPr="00F120D9" w:rsidRDefault="00777923" w:rsidP="00E608B0">
            <w:pPr>
              <w:spacing w:after="0" w:line="276" w:lineRule="auto"/>
              <w:contextualSpacing/>
              <w:jc w:val="both"/>
              <w:rPr>
                <w:rFonts w:ascii="Arial" w:eastAsia="Times New Roman" w:hAnsi="Arial" w:cs="Arial"/>
                <w:i/>
                <w:iCs/>
                <w:sz w:val="20"/>
                <w:szCs w:val="20"/>
              </w:rPr>
            </w:pPr>
            <w:r w:rsidRPr="00F120D9">
              <w:rPr>
                <w:rFonts w:ascii="Arial" w:eastAsia="Times New Roman" w:hAnsi="Arial" w:cs="Arial"/>
                <w:i/>
                <w:iCs/>
                <w:sz w:val="20"/>
                <w:szCs w:val="20"/>
              </w:rPr>
              <w:t>b</w:t>
            </w:r>
            <w:r w:rsidR="00E608B0" w:rsidRPr="00F120D9">
              <w:rPr>
                <w:rFonts w:ascii="Arial" w:eastAsia="Times New Roman" w:hAnsi="Arial" w:cs="Arial"/>
                <w:i/>
                <w:iCs/>
                <w:sz w:val="20"/>
                <w:szCs w:val="20"/>
              </w:rPr>
              <w:t>) Plačilo za poslovno uspešnost</w:t>
            </w:r>
            <w:r w:rsidR="007A6775" w:rsidRPr="00F120D9">
              <w:rPr>
                <w:rFonts w:ascii="Arial" w:eastAsia="Times New Roman" w:hAnsi="Arial" w:cs="Arial"/>
                <w:i/>
                <w:iCs/>
                <w:sz w:val="20"/>
                <w:szCs w:val="20"/>
              </w:rPr>
              <w:t xml:space="preserve"> </w:t>
            </w:r>
            <w:r w:rsidR="007A6775" w:rsidRPr="00950DD2">
              <w:rPr>
                <w:rFonts w:ascii="Arial" w:eastAsia="Times New Roman" w:hAnsi="Arial" w:cs="Arial"/>
                <w:i/>
                <w:iCs/>
                <w:sz w:val="20"/>
                <w:szCs w:val="20"/>
              </w:rPr>
              <w:t>(</w:t>
            </w:r>
            <w:r w:rsidR="00C60CD1" w:rsidRPr="00950DD2">
              <w:rPr>
                <w:rFonts w:ascii="Arial" w:eastAsia="Times New Roman" w:hAnsi="Arial" w:cs="Arial"/>
                <w:i/>
                <w:iCs/>
                <w:sz w:val="20"/>
                <w:szCs w:val="20"/>
              </w:rPr>
              <w:t>2</w:t>
            </w:r>
            <w:r w:rsidR="00B41D4C" w:rsidRPr="00950DD2">
              <w:rPr>
                <w:rFonts w:ascii="Arial" w:eastAsia="Times New Roman" w:hAnsi="Arial" w:cs="Arial"/>
                <w:i/>
                <w:sz w:val="20"/>
                <w:szCs w:val="20"/>
              </w:rPr>
              <w:t>.</w:t>
            </w:r>
            <w:r w:rsidR="0009797C" w:rsidRPr="00950DD2">
              <w:rPr>
                <w:rFonts w:ascii="Arial" w:eastAsia="Times New Roman" w:hAnsi="Arial" w:cs="Arial"/>
                <w:i/>
                <w:sz w:val="20"/>
                <w:szCs w:val="20"/>
              </w:rPr>
              <w:t xml:space="preserve"> in</w:t>
            </w:r>
            <w:r w:rsidR="00B41D4C" w:rsidRPr="00950DD2">
              <w:rPr>
                <w:rFonts w:ascii="Arial" w:eastAsia="Times New Roman" w:hAnsi="Arial" w:cs="Arial"/>
                <w:i/>
                <w:sz w:val="20"/>
                <w:szCs w:val="20"/>
              </w:rPr>
              <w:t xml:space="preserve"> </w:t>
            </w:r>
            <w:r w:rsidR="00D71136">
              <w:rPr>
                <w:rFonts w:ascii="Arial" w:eastAsia="Times New Roman" w:hAnsi="Arial" w:cs="Arial"/>
                <w:i/>
                <w:sz w:val="20"/>
                <w:szCs w:val="20"/>
              </w:rPr>
              <w:t>7</w:t>
            </w:r>
            <w:r w:rsidR="00C55FD4" w:rsidRPr="00950DD2">
              <w:rPr>
                <w:rFonts w:ascii="Arial" w:eastAsia="Times New Roman" w:hAnsi="Arial" w:cs="Arial"/>
                <w:i/>
                <w:sz w:val="20"/>
                <w:szCs w:val="20"/>
              </w:rPr>
              <w:t>.</w:t>
            </w:r>
            <w:r w:rsidR="008D6AE1">
              <w:rPr>
                <w:rFonts w:ascii="Arial" w:eastAsia="Times New Roman" w:hAnsi="Arial" w:cs="Arial"/>
                <w:i/>
                <w:sz w:val="20"/>
                <w:szCs w:val="20"/>
              </w:rPr>
              <w:t> </w:t>
            </w:r>
            <w:r w:rsidR="007A6775" w:rsidRPr="00950DD2">
              <w:rPr>
                <w:rFonts w:ascii="Arial" w:eastAsia="Times New Roman" w:hAnsi="Arial" w:cs="Arial"/>
                <w:i/>
                <w:sz w:val="20"/>
                <w:szCs w:val="20"/>
              </w:rPr>
              <w:t>člen</w:t>
            </w:r>
            <w:r w:rsidR="007A6775" w:rsidRPr="00F120D9">
              <w:rPr>
                <w:rFonts w:ascii="Arial" w:eastAsia="Times New Roman" w:hAnsi="Arial" w:cs="Arial"/>
                <w:i/>
                <w:iCs/>
                <w:sz w:val="20"/>
                <w:szCs w:val="20"/>
              </w:rPr>
              <w:t xml:space="preserve"> predloga zakona)</w:t>
            </w:r>
          </w:p>
          <w:p w14:paraId="195547F7" w14:textId="56284211" w:rsidR="00E608B0" w:rsidRPr="00F120D9" w:rsidRDefault="00061FDF" w:rsidP="00E608B0">
            <w:pPr>
              <w:spacing w:after="0" w:line="276" w:lineRule="auto"/>
              <w:contextualSpacing/>
              <w:jc w:val="both"/>
              <w:rPr>
                <w:rFonts w:ascii="Arial" w:eastAsia="Calibri" w:hAnsi="Arial" w:cs="Arial"/>
                <w:sz w:val="20"/>
                <w:szCs w:val="20"/>
              </w:rPr>
            </w:pPr>
            <w:r w:rsidRPr="00F120D9">
              <w:rPr>
                <w:rFonts w:ascii="Arial" w:eastAsia="Calibri" w:hAnsi="Arial" w:cs="Arial"/>
                <w:sz w:val="20"/>
                <w:szCs w:val="20"/>
              </w:rPr>
              <w:t xml:space="preserve">Uvaja se </w:t>
            </w:r>
            <w:r w:rsidR="00E608B0" w:rsidRPr="00F120D9">
              <w:rPr>
                <w:rFonts w:ascii="Arial" w:eastAsia="Calibri" w:hAnsi="Arial" w:cs="Arial"/>
                <w:sz w:val="20"/>
                <w:szCs w:val="20"/>
              </w:rPr>
              <w:t xml:space="preserve">pogoj izplačila </w:t>
            </w:r>
            <w:r w:rsidR="0009797C" w:rsidRPr="00F120D9">
              <w:rPr>
                <w:rFonts w:ascii="Arial" w:eastAsia="Calibri" w:hAnsi="Arial" w:cs="Arial"/>
                <w:sz w:val="20"/>
                <w:szCs w:val="20"/>
              </w:rPr>
              <w:t xml:space="preserve">največ </w:t>
            </w:r>
            <w:r w:rsidRPr="00F120D9">
              <w:rPr>
                <w:rFonts w:ascii="Arial" w:eastAsia="Calibri" w:hAnsi="Arial" w:cs="Arial"/>
                <w:sz w:val="20"/>
                <w:szCs w:val="20"/>
              </w:rPr>
              <w:t>dva</w:t>
            </w:r>
            <w:r w:rsidR="00E608B0" w:rsidRPr="00F120D9">
              <w:rPr>
                <w:rFonts w:ascii="Arial" w:eastAsia="Calibri" w:hAnsi="Arial" w:cs="Arial"/>
                <w:sz w:val="20"/>
                <w:szCs w:val="20"/>
              </w:rPr>
              <w:t>krat v koledarskem letu</w:t>
            </w:r>
            <w:r w:rsidR="008D6AE1">
              <w:rPr>
                <w:rFonts w:ascii="Arial" w:eastAsia="Calibri" w:hAnsi="Arial" w:cs="Arial"/>
                <w:sz w:val="20"/>
                <w:szCs w:val="20"/>
              </w:rPr>
              <w:t>,</w:t>
            </w:r>
            <w:r w:rsidR="00E608B0" w:rsidRPr="00F120D9">
              <w:rPr>
                <w:rFonts w:ascii="Arial" w:eastAsia="Calibri" w:hAnsi="Arial" w:cs="Arial"/>
                <w:sz w:val="20"/>
                <w:szCs w:val="20"/>
              </w:rPr>
              <w:t xml:space="preserve"> odpravlja</w:t>
            </w:r>
            <w:r w:rsidR="008D6AE1">
              <w:rPr>
                <w:rFonts w:ascii="Arial" w:eastAsia="Calibri" w:hAnsi="Arial" w:cs="Arial"/>
                <w:sz w:val="20"/>
                <w:szCs w:val="20"/>
              </w:rPr>
              <w:t xml:space="preserve"> se</w:t>
            </w:r>
            <w:r w:rsidR="00E608B0" w:rsidRPr="00F120D9">
              <w:rPr>
                <w:rFonts w:ascii="Arial" w:eastAsia="Calibri" w:hAnsi="Arial" w:cs="Arial"/>
                <w:sz w:val="20"/>
                <w:szCs w:val="20"/>
              </w:rPr>
              <w:t xml:space="preserve"> možnost davčno ugodnejše obravnave </w:t>
            </w:r>
            <w:r w:rsidR="007A6775" w:rsidRPr="00F120D9">
              <w:rPr>
                <w:rFonts w:ascii="Arial" w:eastAsia="Calibri" w:hAnsi="Arial" w:cs="Arial"/>
                <w:sz w:val="20"/>
                <w:szCs w:val="20"/>
              </w:rPr>
              <w:t>dohodka</w:t>
            </w:r>
            <w:r w:rsidR="00AF3521" w:rsidRPr="00F120D9">
              <w:rPr>
                <w:rFonts w:ascii="Arial" w:eastAsia="Calibri" w:hAnsi="Arial" w:cs="Arial"/>
                <w:sz w:val="20"/>
                <w:szCs w:val="20"/>
              </w:rPr>
              <w:t xml:space="preserve"> iz tega naslova</w:t>
            </w:r>
            <w:r w:rsidR="007A6775" w:rsidRPr="00F120D9">
              <w:rPr>
                <w:rFonts w:ascii="Arial" w:eastAsia="Calibri" w:hAnsi="Arial" w:cs="Arial"/>
                <w:sz w:val="20"/>
                <w:szCs w:val="20"/>
              </w:rPr>
              <w:t xml:space="preserve"> </w:t>
            </w:r>
            <w:r w:rsidR="00E608B0" w:rsidRPr="00F120D9">
              <w:rPr>
                <w:rFonts w:ascii="Arial" w:eastAsia="Calibri" w:hAnsi="Arial" w:cs="Arial"/>
                <w:sz w:val="20"/>
                <w:szCs w:val="20"/>
              </w:rPr>
              <w:t>v višini 100</w:t>
            </w:r>
            <w:r w:rsidR="008D6AE1">
              <w:rPr>
                <w:rFonts w:ascii="Arial" w:eastAsia="Calibri" w:hAnsi="Arial" w:cs="Arial"/>
                <w:sz w:val="20"/>
                <w:szCs w:val="20"/>
              </w:rPr>
              <w:t> </w:t>
            </w:r>
            <w:r w:rsidR="00E608B0" w:rsidRPr="00F120D9">
              <w:rPr>
                <w:rFonts w:ascii="Arial" w:eastAsia="Calibri" w:hAnsi="Arial" w:cs="Arial"/>
                <w:sz w:val="20"/>
                <w:szCs w:val="20"/>
              </w:rPr>
              <w:t xml:space="preserve">% povprečne plače delavca </w:t>
            </w:r>
            <w:r w:rsidR="008D6AE1">
              <w:rPr>
                <w:rFonts w:ascii="Arial" w:eastAsia="Calibri" w:hAnsi="Arial" w:cs="Arial"/>
                <w:sz w:val="20"/>
                <w:szCs w:val="20"/>
              </w:rPr>
              <w:t>ter</w:t>
            </w:r>
            <w:r w:rsidR="00E608B0" w:rsidRPr="00F120D9">
              <w:rPr>
                <w:rFonts w:ascii="Arial" w:eastAsia="Calibri" w:hAnsi="Arial" w:cs="Arial"/>
                <w:sz w:val="20"/>
                <w:szCs w:val="20"/>
              </w:rPr>
              <w:t xml:space="preserve"> ohranja splošna višina neobdavčenega dela, to je 100</w:t>
            </w:r>
            <w:r w:rsidR="008D6AE1">
              <w:rPr>
                <w:rFonts w:ascii="Arial" w:eastAsia="Calibri" w:hAnsi="Arial" w:cs="Arial"/>
                <w:sz w:val="20"/>
                <w:szCs w:val="20"/>
              </w:rPr>
              <w:t> </w:t>
            </w:r>
            <w:r w:rsidR="00E608B0" w:rsidRPr="00F120D9">
              <w:rPr>
                <w:rFonts w:ascii="Arial" w:eastAsia="Calibri" w:hAnsi="Arial" w:cs="Arial"/>
                <w:sz w:val="20"/>
                <w:szCs w:val="20"/>
              </w:rPr>
              <w:t>% povprečne mesečne plače zaposlenih v Sloveniji.</w:t>
            </w:r>
          </w:p>
          <w:p w14:paraId="3D3FF6E6" w14:textId="59EFA99F" w:rsidR="002C75FC" w:rsidRPr="002C75FC" w:rsidRDefault="002C75FC" w:rsidP="00E608B0">
            <w:pPr>
              <w:spacing w:after="0" w:line="276" w:lineRule="auto"/>
              <w:contextualSpacing/>
              <w:jc w:val="both"/>
              <w:rPr>
                <w:rFonts w:ascii="Arial" w:eastAsia="Calibri" w:hAnsi="Arial" w:cs="Arial"/>
                <w:i/>
                <w:iCs/>
                <w:sz w:val="20"/>
                <w:szCs w:val="20"/>
              </w:rPr>
            </w:pPr>
          </w:p>
          <w:p w14:paraId="5A4B3152" w14:textId="617B7119" w:rsidR="002C75FC" w:rsidRPr="002C75FC" w:rsidRDefault="002C75FC" w:rsidP="00E608B0">
            <w:pPr>
              <w:spacing w:after="0" w:line="276" w:lineRule="auto"/>
              <w:contextualSpacing/>
              <w:jc w:val="both"/>
              <w:rPr>
                <w:rFonts w:ascii="Arial" w:eastAsia="Calibri" w:hAnsi="Arial" w:cs="Arial"/>
                <w:i/>
                <w:iCs/>
                <w:sz w:val="20"/>
                <w:szCs w:val="20"/>
              </w:rPr>
            </w:pPr>
            <w:r w:rsidRPr="002C75FC">
              <w:rPr>
                <w:rFonts w:ascii="Arial" w:eastAsia="Calibri" w:hAnsi="Arial" w:cs="Arial"/>
                <w:i/>
                <w:iCs/>
                <w:sz w:val="20"/>
                <w:szCs w:val="20"/>
              </w:rPr>
              <w:t>c) Nadomestilo za uporabo lastnih sredstev pri delu na domu (2.</w:t>
            </w:r>
            <w:r w:rsidR="008D6AE1">
              <w:rPr>
                <w:rFonts w:ascii="Arial" w:eastAsia="Calibri" w:hAnsi="Arial" w:cs="Arial"/>
                <w:i/>
                <w:iCs/>
                <w:sz w:val="20"/>
                <w:szCs w:val="20"/>
              </w:rPr>
              <w:t> </w:t>
            </w:r>
            <w:r w:rsidRPr="002C75FC">
              <w:rPr>
                <w:rFonts w:ascii="Arial" w:eastAsia="Calibri" w:hAnsi="Arial" w:cs="Arial"/>
                <w:i/>
                <w:iCs/>
                <w:sz w:val="20"/>
                <w:szCs w:val="20"/>
              </w:rPr>
              <w:t>člen predloga zakona)</w:t>
            </w:r>
          </w:p>
          <w:p w14:paraId="35D450C8" w14:textId="57AEADA3" w:rsidR="002C75FC" w:rsidRPr="00F120D9" w:rsidRDefault="002C75FC" w:rsidP="00E608B0">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Spreminjajo se pogoji in višina, do katere se nadomestilo za uporabo lastnih sredstev pri delu na domu ne všteva v davčno osnovo. </w:t>
            </w:r>
            <w:r w:rsidRPr="002C75FC">
              <w:rPr>
                <w:rFonts w:ascii="Arial" w:eastAsia="Calibri" w:hAnsi="Arial" w:cs="Arial"/>
                <w:sz w:val="20"/>
                <w:szCs w:val="20"/>
              </w:rPr>
              <w:t>Odpravlja se pogoj, da nadomestilo delodajalec določi na podlagi izračuna realnih stroškov</w:t>
            </w:r>
            <w:r>
              <w:rPr>
                <w:rFonts w:ascii="Arial" w:eastAsia="Calibri" w:hAnsi="Arial" w:cs="Arial"/>
                <w:sz w:val="20"/>
                <w:szCs w:val="20"/>
              </w:rPr>
              <w:t xml:space="preserve">, </w:t>
            </w:r>
            <w:r w:rsidRPr="002C75FC">
              <w:rPr>
                <w:rFonts w:ascii="Arial" w:eastAsia="Calibri" w:hAnsi="Arial" w:cs="Arial"/>
                <w:sz w:val="20"/>
                <w:szCs w:val="20"/>
              </w:rPr>
              <w:t>pogoj, da gre za sredstva, ki so značilna, nujna in običajna za opravljanje določenega dela</w:t>
            </w:r>
            <w:r w:rsidR="008D6AE1">
              <w:rPr>
                <w:rFonts w:ascii="Arial" w:eastAsia="Calibri" w:hAnsi="Arial" w:cs="Arial"/>
                <w:sz w:val="20"/>
                <w:szCs w:val="20"/>
              </w:rPr>
              <w:t>,</w:t>
            </w:r>
            <w:r>
              <w:rPr>
                <w:rFonts w:ascii="Arial" w:eastAsia="Calibri" w:hAnsi="Arial" w:cs="Arial"/>
                <w:sz w:val="20"/>
                <w:szCs w:val="20"/>
              </w:rPr>
              <w:t xml:space="preserve"> ter posledično tudi možnost </w:t>
            </w:r>
            <w:r w:rsidR="009C4313">
              <w:rPr>
                <w:rFonts w:ascii="Arial" w:eastAsia="Calibri" w:hAnsi="Arial" w:cs="Arial"/>
                <w:sz w:val="20"/>
                <w:szCs w:val="20"/>
              </w:rPr>
              <w:t>uveljavljanja dejanskih stroškov.</w:t>
            </w:r>
            <w:r w:rsidRPr="002C75FC">
              <w:rPr>
                <w:rFonts w:ascii="Arial" w:eastAsia="Calibri" w:hAnsi="Arial" w:cs="Arial"/>
                <w:sz w:val="20"/>
                <w:szCs w:val="20"/>
              </w:rPr>
              <w:t xml:space="preserve"> Črta se tudi </w:t>
            </w:r>
            <w:r w:rsidR="009C4313">
              <w:rPr>
                <w:rFonts w:ascii="Arial" w:eastAsia="Calibri" w:hAnsi="Arial" w:cs="Arial"/>
                <w:sz w:val="20"/>
                <w:szCs w:val="20"/>
              </w:rPr>
              <w:t xml:space="preserve">določitev neobdavčene višine </w:t>
            </w:r>
            <w:r w:rsidRPr="002C75FC">
              <w:rPr>
                <w:rFonts w:ascii="Arial" w:eastAsia="Calibri" w:hAnsi="Arial" w:cs="Arial"/>
                <w:sz w:val="20"/>
                <w:szCs w:val="20"/>
              </w:rPr>
              <w:t xml:space="preserve">z vezavo na mesečno plačo delojemalca </w:t>
            </w:r>
            <w:r w:rsidR="008D6AE1">
              <w:rPr>
                <w:rFonts w:ascii="Arial" w:eastAsia="Calibri" w:hAnsi="Arial" w:cs="Arial"/>
                <w:sz w:val="20"/>
                <w:szCs w:val="20"/>
              </w:rPr>
              <w:t>in</w:t>
            </w:r>
            <w:r w:rsidR="009C4313">
              <w:rPr>
                <w:rFonts w:ascii="Arial" w:eastAsia="Calibri" w:hAnsi="Arial" w:cs="Arial"/>
                <w:sz w:val="20"/>
                <w:szCs w:val="20"/>
              </w:rPr>
              <w:t xml:space="preserve"> določa </w:t>
            </w:r>
            <w:r w:rsidR="0006151B">
              <w:rPr>
                <w:rFonts w:ascii="Arial" w:eastAsia="Calibri" w:hAnsi="Arial" w:cs="Arial"/>
                <w:sz w:val="20"/>
                <w:szCs w:val="20"/>
              </w:rPr>
              <w:t xml:space="preserve">neobdavčena višina nadomestila </w:t>
            </w:r>
            <w:r w:rsidR="009C4313">
              <w:rPr>
                <w:rFonts w:ascii="Arial" w:eastAsia="Calibri" w:hAnsi="Arial" w:cs="Arial"/>
                <w:sz w:val="20"/>
                <w:szCs w:val="20"/>
              </w:rPr>
              <w:t>z vezavo na povprečno letno plačo zaposlenih v Sloveniji</w:t>
            </w:r>
            <w:r w:rsidR="00D52CF9">
              <w:rPr>
                <w:rFonts w:ascii="Arial" w:eastAsia="Calibri" w:hAnsi="Arial" w:cs="Arial"/>
                <w:sz w:val="20"/>
                <w:szCs w:val="20"/>
              </w:rPr>
              <w:t>, preračunano na mesec</w:t>
            </w:r>
            <w:r w:rsidR="009C4313">
              <w:rPr>
                <w:rFonts w:ascii="Arial" w:eastAsia="Calibri" w:hAnsi="Arial" w:cs="Arial"/>
                <w:sz w:val="20"/>
                <w:szCs w:val="20"/>
              </w:rPr>
              <w:t xml:space="preserve">. </w:t>
            </w:r>
          </w:p>
          <w:p w14:paraId="07F86604" w14:textId="77777777" w:rsidR="002A412C" w:rsidRPr="00F120D9" w:rsidRDefault="002A412C" w:rsidP="00E608B0">
            <w:pPr>
              <w:spacing w:after="0" w:line="276" w:lineRule="auto"/>
              <w:contextualSpacing/>
              <w:jc w:val="both"/>
              <w:rPr>
                <w:rFonts w:ascii="Arial" w:eastAsia="Calibri" w:hAnsi="Arial" w:cs="Arial"/>
                <w:sz w:val="20"/>
                <w:szCs w:val="20"/>
              </w:rPr>
            </w:pPr>
          </w:p>
          <w:p w14:paraId="6EFB1551" w14:textId="63483315" w:rsidR="00DD54EB" w:rsidRPr="00F120D9" w:rsidRDefault="008B373D" w:rsidP="00E608B0">
            <w:pPr>
              <w:spacing w:after="0" w:line="276" w:lineRule="auto"/>
              <w:contextualSpacing/>
              <w:jc w:val="both"/>
              <w:rPr>
                <w:rFonts w:ascii="Arial" w:eastAsia="Calibri" w:hAnsi="Arial" w:cs="Arial"/>
                <w:sz w:val="20"/>
                <w:szCs w:val="20"/>
              </w:rPr>
            </w:pPr>
            <w:r w:rsidRPr="00F120D9">
              <w:rPr>
                <w:rFonts w:ascii="Arial" w:eastAsia="Calibri" w:hAnsi="Arial" w:cs="Arial"/>
                <w:sz w:val="20"/>
                <w:szCs w:val="20"/>
              </w:rPr>
              <w:t>2.3.2</w:t>
            </w:r>
            <w:r w:rsidR="00FF6345" w:rsidRPr="00F120D9">
              <w:rPr>
                <w:rFonts w:ascii="Arial" w:eastAsia="Calibri" w:hAnsi="Arial" w:cs="Arial"/>
                <w:sz w:val="20"/>
                <w:szCs w:val="20"/>
              </w:rPr>
              <w:t xml:space="preserve"> Dohodki iz dejavnosti </w:t>
            </w:r>
            <w:r w:rsidR="00FF6345" w:rsidRPr="00950DD2">
              <w:rPr>
                <w:rFonts w:ascii="Arial" w:eastAsia="Calibri" w:hAnsi="Arial" w:cs="Arial"/>
                <w:i/>
                <w:iCs/>
                <w:sz w:val="20"/>
                <w:szCs w:val="20"/>
              </w:rPr>
              <w:t>(</w:t>
            </w:r>
            <w:r w:rsidR="001C72D1" w:rsidRPr="00950DD2">
              <w:rPr>
                <w:rFonts w:ascii="Arial" w:eastAsia="Calibri" w:hAnsi="Arial" w:cs="Arial"/>
                <w:i/>
                <w:iCs/>
                <w:sz w:val="20"/>
                <w:szCs w:val="20"/>
              </w:rPr>
              <w:t>3</w:t>
            </w:r>
            <w:r w:rsidR="00FF6345" w:rsidRPr="00950DD2">
              <w:rPr>
                <w:rFonts w:ascii="Arial" w:eastAsia="Calibri" w:hAnsi="Arial" w:cs="Arial"/>
                <w:i/>
                <w:iCs/>
                <w:sz w:val="20"/>
                <w:szCs w:val="20"/>
              </w:rPr>
              <w:t xml:space="preserve">. </w:t>
            </w:r>
            <w:r w:rsidR="00C60CD1" w:rsidRPr="00950DD2">
              <w:rPr>
                <w:rFonts w:ascii="Arial" w:eastAsia="Calibri" w:hAnsi="Arial" w:cs="Arial"/>
                <w:i/>
                <w:iCs/>
                <w:sz w:val="20"/>
                <w:szCs w:val="20"/>
              </w:rPr>
              <w:t>in 4.</w:t>
            </w:r>
            <w:r w:rsidR="008D6AE1">
              <w:rPr>
                <w:rFonts w:ascii="Arial" w:eastAsia="Calibri" w:hAnsi="Arial" w:cs="Arial"/>
                <w:i/>
                <w:iCs/>
                <w:sz w:val="20"/>
                <w:szCs w:val="20"/>
              </w:rPr>
              <w:t> </w:t>
            </w:r>
            <w:r w:rsidR="00FF6345" w:rsidRPr="00950DD2">
              <w:rPr>
                <w:rFonts w:ascii="Arial" w:eastAsia="Calibri" w:hAnsi="Arial" w:cs="Arial"/>
                <w:i/>
                <w:iCs/>
                <w:sz w:val="20"/>
                <w:szCs w:val="20"/>
              </w:rPr>
              <w:t>člen</w:t>
            </w:r>
            <w:r w:rsidRPr="00950DD2">
              <w:rPr>
                <w:rFonts w:ascii="Arial" w:eastAsia="Calibri" w:hAnsi="Arial" w:cs="Arial"/>
                <w:i/>
                <w:iCs/>
                <w:sz w:val="20"/>
                <w:szCs w:val="20"/>
              </w:rPr>
              <w:t xml:space="preserve"> predloga zakona</w:t>
            </w:r>
            <w:r w:rsidR="00FF6345" w:rsidRPr="00950DD2">
              <w:rPr>
                <w:rFonts w:ascii="Arial" w:eastAsia="Calibri" w:hAnsi="Arial" w:cs="Arial"/>
                <w:i/>
                <w:iCs/>
                <w:sz w:val="20"/>
                <w:szCs w:val="20"/>
              </w:rPr>
              <w:t>)</w:t>
            </w:r>
          </w:p>
          <w:p w14:paraId="4CECC492" w14:textId="44CCB773" w:rsidR="000A5C23" w:rsidRPr="000A5C23" w:rsidRDefault="000A5C23" w:rsidP="000A5C23">
            <w:pPr>
              <w:spacing w:after="0" w:line="276" w:lineRule="auto"/>
              <w:contextualSpacing/>
              <w:jc w:val="both"/>
              <w:rPr>
                <w:rFonts w:ascii="Arial" w:eastAsia="Calibri" w:hAnsi="Arial" w:cs="Arial"/>
                <w:sz w:val="20"/>
                <w:szCs w:val="20"/>
              </w:rPr>
            </w:pPr>
            <w:r w:rsidRPr="000A5C23">
              <w:rPr>
                <w:rFonts w:ascii="Arial" w:eastAsia="Calibri" w:hAnsi="Arial" w:cs="Arial"/>
                <w:sz w:val="20"/>
                <w:szCs w:val="20"/>
              </w:rPr>
              <w:t>Spreminja se višina odhodkov, ki se priznava pri ugotavljanju davčne osnove v sistemu normiranih odhodkov. Višina priznanih normiranih odhodkov se določi v odvisnosti od doseženih prihodkov in obveznega zavarovanja po zakonu, ki ureja pokojninsko in invalidsko zavarovanje, pri zavezancu (v zvezi z dejavnostjo zavezanca), v davčnem letu, za katerega se ugotavlja davčna osnova. Za zavezance, ki izpolnjujejo pogoj, da je pri zavezancu v skladu z zakonom, ki ureja pokojninsko in invalidsko zavarovanje, obvezno zavarovana na podlagi delovnega razmerja ali samozaposlitve, vsaj ena oseba za polni delovni čas neprekinjeno najmanj devet mesecev, se priznajo normiranih odhodki v višini 80</w:t>
            </w:r>
            <w:r w:rsidR="008D6AE1">
              <w:rPr>
                <w:rFonts w:ascii="Arial" w:eastAsia="Calibri" w:hAnsi="Arial" w:cs="Arial"/>
                <w:sz w:val="20"/>
                <w:szCs w:val="20"/>
              </w:rPr>
              <w:t> </w:t>
            </w:r>
            <w:r w:rsidRPr="000A5C23">
              <w:rPr>
                <w:rFonts w:ascii="Arial" w:eastAsia="Calibri" w:hAnsi="Arial" w:cs="Arial"/>
                <w:sz w:val="20"/>
                <w:szCs w:val="20"/>
              </w:rPr>
              <w:t xml:space="preserve">% prihodkov na prihodke do </w:t>
            </w:r>
            <w:r w:rsidR="00545DD6">
              <w:rPr>
                <w:rFonts w:ascii="Arial" w:eastAsia="Calibri" w:hAnsi="Arial" w:cs="Arial"/>
                <w:sz w:val="20"/>
                <w:szCs w:val="20"/>
              </w:rPr>
              <w:t>3</w:t>
            </w:r>
            <w:r w:rsidRPr="000A5C23">
              <w:rPr>
                <w:rFonts w:ascii="Arial" w:eastAsia="Calibri" w:hAnsi="Arial" w:cs="Arial"/>
                <w:sz w:val="20"/>
                <w:szCs w:val="20"/>
              </w:rPr>
              <w:t>5.000</w:t>
            </w:r>
            <w:r w:rsidR="008D6AE1">
              <w:rPr>
                <w:rFonts w:ascii="Arial" w:eastAsia="Calibri" w:hAnsi="Arial" w:cs="Arial"/>
                <w:sz w:val="20"/>
                <w:szCs w:val="20"/>
              </w:rPr>
              <w:t> </w:t>
            </w:r>
            <w:r w:rsidRPr="000A5C23">
              <w:rPr>
                <w:rFonts w:ascii="Arial" w:eastAsia="Calibri" w:hAnsi="Arial" w:cs="Arial"/>
                <w:sz w:val="20"/>
                <w:szCs w:val="20"/>
              </w:rPr>
              <w:t xml:space="preserve">EUR, v višini </w:t>
            </w:r>
            <w:r w:rsidR="005446B9">
              <w:rPr>
                <w:rFonts w:ascii="Arial" w:eastAsia="Calibri" w:hAnsi="Arial" w:cs="Arial"/>
                <w:sz w:val="20"/>
                <w:szCs w:val="20"/>
              </w:rPr>
              <w:t>4</w:t>
            </w:r>
            <w:r w:rsidRPr="000A5C23">
              <w:rPr>
                <w:rFonts w:ascii="Arial" w:eastAsia="Calibri" w:hAnsi="Arial" w:cs="Arial"/>
                <w:sz w:val="20"/>
                <w:szCs w:val="20"/>
              </w:rPr>
              <w:t>0</w:t>
            </w:r>
            <w:r w:rsidR="008D6AE1">
              <w:rPr>
                <w:rFonts w:ascii="Arial" w:eastAsia="Calibri" w:hAnsi="Arial" w:cs="Arial"/>
                <w:sz w:val="20"/>
                <w:szCs w:val="20"/>
              </w:rPr>
              <w:t> </w:t>
            </w:r>
            <w:r w:rsidRPr="000A5C23">
              <w:rPr>
                <w:rFonts w:ascii="Arial" w:eastAsia="Calibri" w:hAnsi="Arial" w:cs="Arial"/>
                <w:sz w:val="20"/>
                <w:szCs w:val="20"/>
              </w:rPr>
              <w:t xml:space="preserve">% prihodkov na prihodke nad </w:t>
            </w:r>
            <w:r w:rsidR="00545DD6">
              <w:rPr>
                <w:rFonts w:ascii="Arial" w:eastAsia="Calibri" w:hAnsi="Arial" w:cs="Arial"/>
                <w:sz w:val="20"/>
                <w:szCs w:val="20"/>
              </w:rPr>
              <w:t>3</w:t>
            </w:r>
            <w:r w:rsidRPr="000A5C23">
              <w:rPr>
                <w:rFonts w:ascii="Arial" w:eastAsia="Calibri" w:hAnsi="Arial" w:cs="Arial"/>
                <w:sz w:val="20"/>
                <w:szCs w:val="20"/>
              </w:rPr>
              <w:t>5.000</w:t>
            </w:r>
            <w:r w:rsidR="008D6AE1">
              <w:rPr>
                <w:rFonts w:ascii="Arial" w:eastAsia="Calibri" w:hAnsi="Arial" w:cs="Arial"/>
                <w:sz w:val="20"/>
                <w:szCs w:val="20"/>
              </w:rPr>
              <w:t> </w:t>
            </w:r>
            <w:r w:rsidRPr="000A5C23">
              <w:rPr>
                <w:rFonts w:ascii="Arial" w:eastAsia="Calibri" w:hAnsi="Arial" w:cs="Arial"/>
                <w:sz w:val="20"/>
                <w:szCs w:val="20"/>
              </w:rPr>
              <w:t>EUR do 100.000</w:t>
            </w:r>
            <w:r w:rsidR="008D6AE1">
              <w:rPr>
                <w:rFonts w:ascii="Arial" w:eastAsia="Calibri" w:hAnsi="Arial" w:cs="Arial"/>
                <w:sz w:val="20"/>
                <w:szCs w:val="20"/>
              </w:rPr>
              <w:t> </w:t>
            </w:r>
            <w:r w:rsidRPr="000A5C23">
              <w:rPr>
                <w:rFonts w:ascii="Arial" w:eastAsia="Calibri" w:hAnsi="Arial" w:cs="Arial"/>
                <w:sz w:val="20"/>
                <w:szCs w:val="20"/>
              </w:rPr>
              <w:t>EUR, ter v višini 0</w:t>
            </w:r>
            <w:r w:rsidR="008D6AE1">
              <w:rPr>
                <w:rFonts w:ascii="Arial" w:eastAsia="Calibri" w:hAnsi="Arial" w:cs="Arial"/>
                <w:sz w:val="20"/>
                <w:szCs w:val="20"/>
              </w:rPr>
              <w:t> </w:t>
            </w:r>
            <w:r w:rsidRPr="000A5C23">
              <w:rPr>
                <w:rFonts w:ascii="Arial" w:eastAsia="Calibri" w:hAnsi="Arial" w:cs="Arial"/>
                <w:sz w:val="20"/>
                <w:szCs w:val="20"/>
              </w:rPr>
              <w:t>% na prihodke nad 100.000</w:t>
            </w:r>
            <w:r w:rsidR="008D6AE1">
              <w:rPr>
                <w:rFonts w:ascii="Arial" w:eastAsia="Calibri" w:hAnsi="Arial" w:cs="Arial"/>
                <w:sz w:val="20"/>
                <w:szCs w:val="20"/>
              </w:rPr>
              <w:t> </w:t>
            </w:r>
            <w:r w:rsidRPr="000A5C23">
              <w:rPr>
                <w:rFonts w:ascii="Arial" w:eastAsia="Calibri" w:hAnsi="Arial" w:cs="Arial"/>
                <w:sz w:val="20"/>
                <w:szCs w:val="20"/>
              </w:rPr>
              <w:t xml:space="preserve">EUR. Za zavezanca, pri katerem ni bila obvezno zavarovana v skladu </w:t>
            </w:r>
            <w:r w:rsidRPr="000A5C23">
              <w:rPr>
                <w:rFonts w:ascii="Arial" w:eastAsia="Calibri" w:hAnsi="Arial" w:cs="Arial"/>
                <w:sz w:val="20"/>
                <w:szCs w:val="20"/>
              </w:rPr>
              <w:lastRenderedPageBreak/>
              <w:t xml:space="preserve">z zakonom, ki ureja pokojninsko in invalidsko zavarovanje, na podlagi delovnega razmerja ali samozaposlitve vsaj ena oseba za polni delovni čas neprekinjeno najmanj devet mesecev, se upoštevajo normirani odhodki  v višini </w:t>
            </w:r>
            <w:r w:rsidR="005446B9">
              <w:rPr>
                <w:rFonts w:ascii="Arial" w:eastAsia="Calibri" w:hAnsi="Arial" w:cs="Arial"/>
                <w:sz w:val="20"/>
                <w:szCs w:val="20"/>
              </w:rPr>
              <w:t>4</w:t>
            </w:r>
            <w:r w:rsidRPr="000A5C23">
              <w:rPr>
                <w:rFonts w:ascii="Arial" w:eastAsia="Calibri" w:hAnsi="Arial" w:cs="Arial"/>
                <w:sz w:val="20"/>
                <w:szCs w:val="20"/>
              </w:rPr>
              <w:t>0</w:t>
            </w:r>
            <w:r w:rsidR="008D6AE1">
              <w:rPr>
                <w:rFonts w:ascii="Arial" w:eastAsia="Calibri" w:hAnsi="Arial" w:cs="Arial"/>
                <w:sz w:val="20"/>
                <w:szCs w:val="20"/>
              </w:rPr>
              <w:t> </w:t>
            </w:r>
            <w:r w:rsidRPr="000A5C23">
              <w:rPr>
                <w:rFonts w:ascii="Arial" w:eastAsia="Calibri" w:hAnsi="Arial" w:cs="Arial"/>
                <w:sz w:val="20"/>
                <w:szCs w:val="20"/>
              </w:rPr>
              <w:t>% prihodkov, vendar ne več kot 2</w:t>
            </w:r>
            <w:r w:rsidR="005446B9">
              <w:rPr>
                <w:rFonts w:ascii="Arial" w:eastAsia="Calibri" w:hAnsi="Arial" w:cs="Arial"/>
                <w:sz w:val="20"/>
                <w:szCs w:val="20"/>
              </w:rPr>
              <w:t>0</w:t>
            </w:r>
            <w:r w:rsidRPr="000A5C23">
              <w:rPr>
                <w:rFonts w:ascii="Arial" w:eastAsia="Calibri" w:hAnsi="Arial" w:cs="Arial"/>
                <w:sz w:val="20"/>
                <w:szCs w:val="20"/>
              </w:rPr>
              <w:t>.000</w:t>
            </w:r>
            <w:r w:rsidR="008D6AE1">
              <w:rPr>
                <w:rFonts w:ascii="Arial" w:eastAsia="Calibri" w:hAnsi="Arial" w:cs="Arial"/>
                <w:sz w:val="20"/>
                <w:szCs w:val="20"/>
              </w:rPr>
              <w:t> </w:t>
            </w:r>
            <w:r w:rsidRPr="000A5C23">
              <w:rPr>
                <w:rFonts w:ascii="Arial" w:eastAsia="Calibri" w:hAnsi="Arial" w:cs="Arial"/>
                <w:sz w:val="20"/>
                <w:szCs w:val="20"/>
              </w:rPr>
              <w:t>EUR.</w:t>
            </w:r>
          </w:p>
          <w:p w14:paraId="323E00F0" w14:textId="77777777" w:rsidR="000A5C23" w:rsidRPr="000A5C23" w:rsidRDefault="000A5C23" w:rsidP="000A5C23">
            <w:pPr>
              <w:spacing w:after="0" w:line="276" w:lineRule="auto"/>
              <w:contextualSpacing/>
              <w:jc w:val="both"/>
              <w:rPr>
                <w:rFonts w:ascii="Arial" w:eastAsia="Calibri" w:hAnsi="Arial" w:cs="Arial"/>
                <w:sz w:val="20"/>
                <w:szCs w:val="20"/>
              </w:rPr>
            </w:pPr>
            <w:r w:rsidRPr="000A5C23">
              <w:rPr>
                <w:rFonts w:ascii="Arial" w:eastAsia="Calibri" w:hAnsi="Arial" w:cs="Arial"/>
                <w:sz w:val="20"/>
                <w:szCs w:val="20"/>
              </w:rPr>
              <w:t xml:space="preserve"> </w:t>
            </w:r>
          </w:p>
          <w:p w14:paraId="128ADD2A" w14:textId="2699CA90" w:rsidR="006E32A6" w:rsidRPr="00F120D9" w:rsidRDefault="000A5C23" w:rsidP="000A5C23">
            <w:pPr>
              <w:spacing w:after="0" w:line="276" w:lineRule="auto"/>
              <w:contextualSpacing/>
              <w:jc w:val="both"/>
              <w:rPr>
                <w:rFonts w:ascii="Arial" w:eastAsia="Calibri" w:hAnsi="Arial" w:cs="Arial"/>
                <w:sz w:val="20"/>
                <w:szCs w:val="20"/>
              </w:rPr>
            </w:pPr>
            <w:r w:rsidRPr="000A5C23">
              <w:rPr>
                <w:rFonts w:ascii="Arial" w:eastAsia="Calibri" w:hAnsi="Arial" w:cs="Arial"/>
                <w:sz w:val="20"/>
                <w:szCs w:val="20"/>
              </w:rPr>
              <w:t>Poleg navedenega se jasneje določa pogoj za vstop oziroma obstoj v sistemu normiranih odhodkov, ki je vezan na obvezno pokojninsko in invalidsko zavarovanje zavezanca ali pri njem zaposlene osebe</w:t>
            </w:r>
            <w:r w:rsidR="008D6AE1">
              <w:rPr>
                <w:rFonts w:ascii="Arial" w:eastAsia="Calibri" w:hAnsi="Arial" w:cs="Arial"/>
                <w:sz w:val="20"/>
                <w:szCs w:val="20"/>
              </w:rPr>
              <w:t>,</w:t>
            </w:r>
            <w:r w:rsidRPr="000A5C23">
              <w:rPr>
                <w:rFonts w:ascii="Arial" w:eastAsia="Calibri" w:hAnsi="Arial" w:cs="Arial"/>
                <w:sz w:val="20"/>
                <w:szCs w:val="20"/>
              </w:rPr>
              <w:t xml:space="preserve"> ter podaljšuje obdobje nepretrgane vključenosti v zavarovanje.</w:t>
            </w:r>
          </w:p>
          <w:p w14:paraId="03F852CC" w14:textId="77777777" w:rsidR="002C436F" w:rsidRPr="00F120D9" w:rsidRDefault="002C436F" w:rsidP="00FD271E">
            <w:pPr>
              <w:spacing w:after="0" w:line="276" w:lineRule="auto"/>
              <w:contextualSpacing/>
              <w:jc w:val="both"/>
              <w:rPr>
                <w:rFonts w:ascii="Arial" w:eastAsia="Calibri" w:hAnsi="Arial" w:cs="Arial"/>
                <w:sz w:val="20"/>
                <w:szCs w:val="20"/>
              </w:rPr>
            </w:pPr>
          </w:p>
          <w:p w14:paraId="4647AB42" w14:textId="7A9449C6" w:rsidR="00BF415F" w:rsidRPr="00F120D9" w:rsidRDefault="0083492E" w:rsidP="00E608B0">
            <w:pPr>
              <w:spacing w:after="0" w:line="276" w:lineRule="auto"/>
              <w:contextualSpacing/>
              <w:jc w:val="both"/>
              <w:rPr>
                <w:rFonts w:ascii="Arial" w:eastAsia="Calibri" w:hAnsi="Arial" w:cs="Arial"/>
                <w:sz w:val="20"/>
                <w:szCs w:val="20"/>
              </w:rPr>
            </w:pPr>
            <w:r w:rsidRPr="00F120D9">
              <w:rPr>
                <w:rFonts w:ascii="Arial" w:eastAsia="Calibri" w:hAnsi="Arial" w:cs="Arial"/>
                <w:sz w:val="20"/>
                <w:szCs w:val="20"/>
              </w:rPr>
              <w:t>2.3</w:t>
            </w:r>
            <w:r w:rsidR="00E608B0" w:rsidRPr="00F120D9">
              <w:rPr>
                <w:rFonts w:ascii="Arial" w:eastAsia="Calibri" w:hAnsi="Arial" w:cs="Arial"/>
                <w:sz w:val="20"/>
                <w:szCs w:val="20"/>
              </w:rPr>
              <w:t>.</w:t>
            </w:r>
            <w:r w:rsidR="008B373D" w:rsidRPr="00F120D9">
              <w:rPr>
                <w:rFonts w:ascii="Arial" w:eastAsia="Calibri" w:hAnsi="Arial" w:cs="Arial"/>
                <w:sz w:val="20"/>
                <w:szCs w:val="20"/>
              </w:rPr>
              <w:t>3</w:t>
            </w:r>
            <w:r w:rsidR="00E608B0" w:rsidRPr="00F120D9">
              <w:rPr>
                <w:rFonts w:ascii="Arial" w:eastAsia="Calibri" w:hAnsi="Arial" w:cs="Arial"/>
                <w:sz w:val="20"/>
                <w:szCs w:val="20"/>
              </w:rPr>
              <w:t xml:space="preserve"> </w:t>
            </w:r>
            <w:r w:rsidR="00BF415F" w:rsidRPr="00F120D9">
              <w:rPr>
                <w:rFonts w:ascii="Arial" w:eastAsia="Calibri" w:hAnsi="Arial" w:cs="Arial"/>
                <w:sz w:val="20"/>
                <w:szCs w:val="20"/>
              </w:rPr>
              <w:t>Dohodki iz oddajanja premoženja v najem</w:t>
            </w:r>
            <w:r w:rsidR="008B373D" w:rsidRPr="00F120D9">
              <w:rPr>
                <w:rFonts w:ascii="Arial" w:eastAsia="Calibri" w:hAnsi="Arial" w:cs="Arial"/>
                <w:sz w:val="20"/>
                <w:szCs w:val="20"/>
              </w:rPr>
              <w:t xml:space="preserve"> </w:t>
            </w:r>
            <w:r w:rsidR="008B373D" w:rsidRPr="00950DD2">
              <w:rPr>
                <w:rFonts w:ascii="Arial" w:eastAsia="Calibri" w:hAnsi="Arial" w:cs="Arial"/>
                <w:i/>
                <w:iCs/>
                <w:sz w:val="20"/>
                <w:szCs w:val="20"/>
              </w:rPr>
              <w:t>(</w:t>
            </w:r>
            <w:r w:rsidR="00D36852" w:rsidRPr="00950DD2">
              <w:rPr>
                <w:rFonts w:ascii="Arial" w:eastAsia="Calibri" w:hAnsi="Arial" w:cs="Arial"/>
                <w:i/>
                <w:iCs/>
                <w:sz w:val="20"/>
                <w:szCs w:val="20"/>
              </w:rPr>
              <w:t>1</w:t>
            </w:r>
            <w:r w:rsidR="00D71136">
              <w:rPr>
                <w:rFonts w:ascii="Arial" w:eastAsia="Calibri" w:hAnsi="Arial" w:cs="Arial"/>
                <w:i/>
                <w:iCs/>
                <w:sz w:val="20"/>
                <w:szCs w:val="20"/>
              </w:rPr>
              <w:t>4</w:t>
            </w:r>
            <w:r w:rsidR="008B373D" w:rsidRPr="00D52CF9">
              <w:rPr>
                <w:rFonts w:ascii="Arial" w:eastAsia="Calibri" w:hAnsi="Arial" w:cs="Arial"/>
                <w:i/>
                <w:iCs/>
                <w:sz w:val="20"/>
                <w:szCs w:val="20"/>
              </w:rPr>
              <w:t>.</w:t>
            </w:r>
            <w:r w:rsidR="008D6AE1">
              <w:rPr>
                <w:rFonts w:ascii="Arial" w:eastAsia="Calibri" w:hAnsi="Arial" w:cs="Arial"/>
                <w:i/>
                <w:iCs/>
                <w:sz w:val="20"/>
                <w:szCs w:val="20"/>
              </w:rPr>
              <w:t> </w:t>
            </w:r>
            <w:r w:rsidR="008B373D" w:rsidRPr="00D52CF9">
              <w:rPr>
                <w:rFonts w:ascii="Arial" w:eastAsia="Calibri" w:hAnsi="Arial" w:cs="Arial"/>
                <w:i/>
                <w:iCs/>
                <w:sz w:val="20"/>
                <w:szCs w:val="20"/>
              </w:rPr>
              <w:t>člen predloga zakona)</w:t>
            </w:r>
          </w:p>
          <w:p w14:paraId="3CADEEC7" w14:textId="62DC1FCA" w:rsidR="00BF415F" w:rsidRPr="00F120D9" w:rsidRDefault="00BF415F" w:rsidP="00E608B0">
            <w:pPr>
              <w:spacing w:after="0" w:line="276" w:lineRule="auto"/>
              <w:contextualSpacing/>
              <w:jc w:val="both"/>
              <w:rPr>
                <w:rFonts w:ascii="Arial" w:eastAsia="Calibri" w:hAnsi="Arial" w:cs="Arial"/>
                <w:sz w:val="20"/>
                <w:szCs w:val="20"/>
              </w:rPr>
            </w:pPr>
            <w:r w:rsidRPr="00F120D9">
              <w:rPr>
                <w:rFonts w:ascii="Arial" w:eastAsia="Calibri" w:hAnsi="Arial" w:cs="Arial"/>
                <w:sz w:val="20"/>
                <w:szCs w:val="20"/>
              </w:rPr>
              <w:t>Ponovno se uvaja obdavčitev dohodkov iz poglavju</w:t>
            </w:r>
            <w:r w:rsidR="008D6AE1">
              <w:rPr>
                <w:rFonts w:ascii="Arial" w:eastAsia="Calibri" w:hAnsi="Arial" w:cs="Arial"/>
                <w:sz w:val="20"/>
                <w:szCs w:val="20"/>
              </w:rPr>
              <w:t> </w:t>
            </w:r>
            <w:r w:rsidRPr="00F120D9">
              <w:rPr>
                <w:rFonts w:ascii="Arial" w:eastAsia="Calibri" w:hAnsi="Arial" w:cs="Arial"/>
                <w:sz w:val="20"/>
                <w:szCs w:val="20"/>
              </w:rPr>
              <w:t xml:space="preserve">III.5.1. ZDoh-2 (dohodkov iz oddajanja premoženja v najem) na </w:t>
            </w:r>
            <w:r w:rsidR="00902193" w:rsidRPr="00F120D9">
              <w:rPr>
                <w:rFonts w:ascii="Arial" w:eastAsia="Calibri" w:hAnsi="Arial" w:cs="Arial"/>
                <w:sz w:val="20"/>
                <w:szCs w:val="20"/>
              </w:rPr>
              <w:t xml:space="preserve">primerljiv </w:t>
            </w:r>
            <w:r w:rsidRPr="00F120D9">
              <w:rPr>
                <w:rFonts w:ascii="Arial" w:eastAsia="Calibri" w:hAnsi="Arial" w:cs="Arial"/>
                <w:sz w:val="20"/>
                <w:szCs w:val="20"/>
              </w:rPr>
              <w:t>način, kot je veljalo v letih 2020 in 2021. Tako se predlaga dvig stopnje dohodnine od tovrstnih dohodkov s 15</w:t>
            </w:r>
            <w:r w:rsidR="008D6AE1">
              <w:rPr>
                <w:rFonts w:ascii="Arial" w:eastAsia="Calibri" w:hAnsi="Arial" w:cs="Arial"/>
                <w:sz w:val="20"/>
                <w:szCs w:val="20"/>
              </w:rPr>
              <w:t> </w:t>
            </w:r>
            <w:r w:rsidRPr="00F120D9">
              <w:rPr>
                <w:rFonts w:ascii="Arial" w:eastAsia="Calibri" w:hAnsi="Arial" w:cs="Arial"/>
                <w:sz w:val="20"/>
                <w:szCs w:val="20"/>
              </w:rPr>
              <w:t xml:space="preserve">% na </w:t>
            </w:r>
            <w:r w:rsidR="00902193" w:rsidRPr="00F120D9">
              <w:rPr>
                <w:rFonts w:ascii="Arial" w:eastAsia="Calibri" w:hAnsi="Arial" w:cs="Arial"/>
                <w:sz w:val="20"/>
                <w:szCs w:val="20"/>
              </w:rPr>
              <w:t>25</w:t>
            </w:r>
            <w:r w:rsidR="008D6AE1">
              <w:rPr>
                <w:rFonts w:ascii="Arial" w:eastAsia="Calibri" w:hAnsi="Arial" w:cs="Arial"/>
                <w:sz w:val="20"/>
                <w:szCs w:val="20"/>
              </w:rPr>
              <w:t> </w:t>
            </w:r>
            <w:r w:rsidR="00902193" w:rsidRPr="00F120D9">
              <w:rPr>
                <w:rFonts w:ascii="Arial" w:eastAsia="Calibri" w:hAnsi="Arial" w:cs="Arial"/>
                <w:sz w:val="20"/>
                <w:szCs w:val="20"/>
              </w:rPr>
              <w:t>%</w:t>
            </w:r>
            <w:r w:rsidRPr="00F120D9">
              <w:rPr>
                <w:rFonts w:ascii="Arial" w:eastAsia="Calibri" w:hAnsi="Arial" w:cs="Arial"/>
                <w:sz w:val="20"/>
                <w:szCs w:val="20"/>
              </w:rPr>
              <w:t>.</w:t>
            </w:r>
            <w:r w:rsidR="00902193" w:rsidRPr="00F120D9">
              <w:rPr>
                <w:rFonts w:ascii="Arial" w:eastAsia="Calibri" w:hAnsi="Arial" w:cs="Arial"/>
                <w:sz w:val="20"/>
                <w:szCs w:val="20"/>
              </w:rPr>
              <w:t xml:space="preserve"> V letih 2020 in 2021 je za dohodke iz oddajanja premoženja v najem in za dohodke iz kapitala veljala davčna stopnja 27,5</w:t>
            </w:r>
            <w:r w:rsidR="00D06582">
              <w:rPr>
                <w:rFonts w:ascii="Arial" w:eastAsia="Calibri" w:hAnsi="Arial" w:cs="Arial"/>
                <w:sz w:val="20"/>
                <w:szCs w:val="20"/>
              </w:rPr>
              <w:t> </w:t>
            </w:r>
            <w:r w:rsidR="00902193" w:rsidRPr="00F120D9">
              <w:rPr>
                <w:rFonts w:ascii="Arial" w:eastAsia="Calibri" w:hAnsi="Arial" w:cs="Arial"/>
                <w:sz w:val="20"/>
                <w:szCs w:val="20"/>
              </w:rPr>
              <w:t xml:space="preserve">%, ki je bila nato </w:t>
            </w:r>
            <w:r w:rsidR="00C12EED" w:rsidRPr="00F120D9">
              <w:rPr>
                <w:rFonts w:ascii="Arial" w:eastAsia="Calibri" w:hAnsi="Arial" w:cs="Arial"/>
                <w:sz w:val="20"/>
                <w:szCs w:val="20"/>
              </w:rPr>
              <w:t>z davčnim letom 2022</w:t>
            </w:r>
            <w:r w:rsidR="00902193" w:rsidRPr="00F120D9">
              <w:rPr>
                <w:rFonts w:ascii="Arial" w:eastAsia="Calibri" w:hAnsi="Arial" w:cs="Arial"/>
                <w:sz w:val="20"/>
                <w:szCs w:val="20"/>
              </w:rPr>
              <w:t xml:space="preserve"> za dohodke iz oddajanja v najem znižana na 15</w:t>
            </w:r>
            <w:r w:rsidR="00D06582">
              <w:rPr>
                <w:rFonts w:ascii="Arial" w:eastAsia="Calibri" w:hAnsi="Arial" w:cs="Arial"/>
                <w:sz w:val="20"/>
                <w:szCs w:val="20"/>
              </w:rPr>
              <w:t> </w:t>
            </w:r>
            <w:r w:rsidR="00902193" w:rsidRPr="00F120D9">
              <w:rPr>
                <w:rFonts w:ascii="Arial" w:eastAsia="Calibri" w:hAnsi="Arial" w:cs="Arial"/>
                <w:sz w:val="20"/>
                <w:szCs w:val="20"/>
              </w:rPr>
              <w:t>%, za dohodke iz kapitala pa na 25</w:t>
            </w:r>
            <w:r w:rsidR="00D06582">
              <w:rPr>
                <w:rFonts w:ascii="Arial" w:eastAsia="Calibri" w:hAnsi="Arial" w:cs="Arial"/>
                <w:sz w:val="20"/>
                <w:szCs w:val="20"/>
              </w:rPr>
              <w:t> </w:t>
            </w:r>
            <w:r w:rsidR="00902193" w:rsidRPr="00F120D9">
              <w:rPr>
                <w:rFonts w:ascii="Arial" w:eastAsia="Calibri" w:hAnsi="Arial" w:cs="Arial"/>
                <w:sz w:val="20"/>
                <w:szCs w:val="20"/>
              </w:rPr>
              <w:t xml:space="preserve">%. </w:t>
            </w:r>
            <w:r w:rsidR="00C12EED" w:rsidRPr="00F120D9">
              <w:rPr>
                <w:rFonts w:ascii="Arial" w:eastAsia="Calibri" w:hAnsi="Arial" w:cs="Arial"/>
                <w:sz w:val="20"/>
                <w:szCs w:val="20"/>
              </w:rPr>
              <w:t>Prav tako so se v letih 2020 in 2021 priznavali normirani stroški v višini 15</w:t>
            </w:r>
            <w:r w:rsidR="00D06582">
              <w:rPr>
                <w:rFonts w:ascii="Arial" w:eastAsia="Calibri" w:hAnsi="Arial" w:cs="Arial"/>
                <w:sz w:val="20"/>
                <w:szCs w:val="20"/>
              </w:rPr>
              <w:t> </w:t>
            </w:r>
            <w:r w:rsidR="00C12EED" w:rsidRPr="00F120D9">
              <w:rPr>
                <w:rFonts w:ascii="Arial" w:eastAsia="Calibri" w:hAnsi="Arial" w:cs="Arial"/>
                <w:sz w:val="20"/>
                <w:szCs w:val="20"/>
              </w:rPr>
              <w:t>%, ki je bila nato z davčnim letom 2022 znižana na 10</w:t>
            </w:r>
            <w:r w:rsidR="00D06582">
              <w:rPr>
                <w:rFonts w:ascii="Arial" w:eastAsia="Calibri" w:hAnsi="Arial" w:cs="Arial"/>
                <w:sz w:val="20"/>
                <w:szCs w:val="20"/>
              </w:rPr>
              <w:t> </w:t>
            </w:r>
            <w:r w:rsidR="00C12EED" w:rsidRPr="00F120D9">
              <w:rPr>
                <w:rFonts w:ascii="Arial" w:eastAsia="Calibri" w:hAnsi="Arial" w:cs="Arial"/>
                <w:sz w:val="20"/>
                <w:szCs w:val="20"/>
              </w:rPr>
              <w:t>%</w:t>
            </w:r>
            <w:r w:rsidR="00902193" w:rsidRPr="00F120D9">
              <w:rPr>
                <w:rFonts w:ascii="Arial" w:eastAsia="Calibri" w:hAnsi="Arial" w:cs="Arial"/>
                <w:sz w:val="20"/>
                <w:szCs w:val="20"/>
              </w:rPr>
              <w:t xml:space="preserve">. Zaradi </w:t>
            </w:r>
            <w:r w:rsidR="00C12EED" w:rsidRPr="00F120D9">
              <w:rPr>
                <w:rFonts w:ascii="Arial" w:eastAsia="Calibri" w:hAnsi="Arial" w:cs="Arial"/>
                <w:sz w:val="20"/>
                <w:szCs w:val="20"/>
              </w:rPr>
              <w:t>navedeneg</w:t>
            </w:r>
            <w:r w:rsidR="00902193" w:rsidRPr="00F120D9">
              <w:rPr>
                <w:rFonts w:ascii="Arial" w:eastAsia="Calibri" w:hAnsi="Arial" w:cs="Arial"/>
                <w:sz w:val="20"/>
                <w:szCs w:val="20"/>
              </w:rPr>
              <w:t xml:space="preserve">a se predlaga, da se stopnja dohodnine od dohodka iz oddajanja v najem </w:t>
            </w:r>
            <w:r w:rsidR="00C12EED" w:rsidRPr="00F120D9">
              <w:rPr>
                <w:rFonts w:ascii="Arial" w:eastAsia="Calibri" w:hAnsi="Arial" w:cs="Arial"/>
                <w:sz w:val="20"/>
                <w:szCs w:val="20"/>
              </w:rPr>
              <w:t>določi v višini</w:t>
            </w:r>
            <w:r w:rsidR="00902193" w:rsidRPr="00F120D9">
              <w:rPr>
                <w:rFonts w:ascii="Arial" w:eastAsia="Calibri" w:hAnsi="Arial" w:cs="Arial"/>
                <w:sz w:val="20"/>
                <w:szCs w:val="20"/>
              </w:rPr>
              <w:t xml:space="preserve"> 25</w:t>
            </w:r>
            <w:r w:rsidR="00D06582">
              <w:rPr>
                <w:rFonts w:ascii="Arial" w:eastAsia="Calibri" w:hAnsi="Arial" w:cs="Arial"/>
                <w:sz w:val="20"/>
                <w:szCs w:val="20"/>
              </w:rPr>
              <w:t> </w:t>
            </w:r>
            <w:r w:rsidR="00902193" w:rsidRPr="00F120D9">
              <w:rPr>
                <w:rFonts w:ascii="Arial" w:eastAsia="Calibri" w:hAnsi="Arial" w:cs="Arial"/>
                <w:sz w:val="20"/>
                <w:szCs w:val="20"/>
              </w:rPr>
              <w:t>%</w:t>
            </w:r>
            <w:r w:rsidR="00C12EED" w:rsidRPr="00F120D9">
              <w:rPr>
                <w:rFonts w:ascii="Arial" w:eastAsia="Calibri" w:hAnsi="Arial" w:cs="Arial"/>
                <w:sz w:val="20"/>
                <w:szCs w:val="20"/>
              </w:rPr>
              <w:t>, višina priznanih normiranih stroškov pa se ne spremeni.</w:t>
            </w:r>
          </w:p>
          <w:p w14:paraId="7D774150" w14:textId="77777777" w:rsidR="00BF415F" w:rsidRPr="00F120D9" w:rsidRDefault="00BF415F" w:rsidP="00E608B0">
            <w:pPr>
              <w:spacing w:after="0" w:line="276" w:lineRule="auto"/>
              <w:contextualSpacing/>
              <w:jc w:val="both"/>
              <w:rPr>
                <w:rFonts w:ascii="Arial" w:eastAsia="Calibri" w:hAnsi="Arial" w:cs="Arial"/>
                <w:sz w:val="20"/>
                <w:szCs w:val="20"/>
              </w:rPr>
            </w:pPr>
          </w:p>
          <w:p w14:paraId="30FE4DCC" w14:textId="31BC7AA6" w:rsidR="00E608B0" w:rsidRPr="00F120D9" w:rsidRDefault="00BF415F" w:rsidP="00E608B0">
            <w:pPr>
              <w:spacing w:after="0" w:line="276" w:lineRule="auto"/>
              <w:contextualSpacing/>
              <w:jc w:val="both"/>
              <w:rPr>
                <w:rFonts w:ascii="Arial" w:eastAsia="Calibri" w:hAnsi="Arial" w:cs="Arial"/>
                <w:sz w:val="20"/>
                <w:szCs w:val="20"/>
              </w:rPr>
            </w:pPr>
            <w:r w:rsidRPr="00F120D9">
              <w:rPr>
                <w:rFonts w:ascii="Arial" w:eastAsia="Calibri" w:hAnsi="Arial" w:cs="Arial"/>
                <w:sz w:val="20"/>
                <w:szCs w:val="20"/>
              </w:rPr>
              <w:t>2.3.</w:t>
            </w:r>
            <w:r w:rsidR="008B373D" w:rsidRPr="00F120D9">
              <w:rPr>
                <w:rFonts w:ascii="Arial" w:eastAsia="Calibri" w:hAnsi="Arial" w:cs="Arial"/>
                <w:sz w:val="20"/>
                <w:szCs w:val="20"/>
              </w:rPr>
              <w:t>4</w:t>
            </w:r>
            <w:r w:rsidRPr="00F120D9">
              <w:rPr>
                <w:rFonts w:ascii="Arial" w:eastAsia="Calibri" w:hAnsi="Arial" w:cs="Arial"/>
                <w:sz w:val="20"/>
                <w:szCs w:val="20"/>
              </w:rPr>
              <w:t xml:space="preserve"> </w:t>
            </w:r>
            <w:r w:rsidR="00E608B0" w:rsidRPr="00F120D9">
              <w:rPr>
                <w:rFonts w:ascii="Arial" w:eastAsia="Calibri" w:hAnsi="Arial" w:cs="Arial"/>
                <w:sz w:val="20"/>
                <w:szCs w:val="20"/>
              </w:rPr>
              <w:t>Dohodki iz kapitala</w:t>
            </w:r>
          </w:p>
          <w:p w14:paraId="66AED4C0" w14:textId="7D44A457" w:rsidR="007F6CEC" w:rsidRPr="00F120D9" w:rsidDel="00AB74FD" w:rsidRDefault="001C472F" w:rsidP="008B373D">
            <w:pPr>
              <w:spacing w:after="0"/>
              <w:rPr>
                <w:rFonts w:ascii="Arial" w:eastAsia="Calibri" w:hAnsi="Arial" w:cs="Arial"/>
                <w:i/>
                <w:iCs/>
                <w:sz w:val="20"/>
                <w:szCs w:val="20"/>
              </w:rPr>
            </w:pPr>
            <w:r>
              <w:rPr>
                <w:rFonts w:ascii="Arial" w:eastAsia="Calibri" w:hAnsi="Arial" w:cs="Arial"/>
                <w:i/>
                <w:sz w:val="20"/>
                <w:szCs w:val="20"/>
              </w:rPr>
              <w:t xml:space="preserve">a) </w:t>
            </w:r>
            <w:r w:rsidR="004F63D6" w:rsidRPr="00F120D9" w:rsidDel="00AB74FD">
              <w:rPr>
                <w:rFonts w:ascii="Arial" w:eastAsia="Calibri" w:hAnsi="Arial" w:cs="Arial"/>
                <w:i/>
                <w:sz w:val="20"/>
                <w:szCs w:val="20"/>
              </w:rPr>
              <w:t xml:space="preserve">Obdavčevanje izplačanih vrednosti delnic ali deležev v primeru odsvojitve delnic ali deležev v okviru pridobivanja lastnih delnic oziroma deležev družbe </w:t>
            </w:r>
            <w:r w:rsidR="00F140B3" w:rsidRPr="00F120D9" w:rsidDel="00AB74FD">
              <w:rPr>
                <w:rFonts w:ascii="Arial" w:eastAsia="Calibri" w:hAnsi="Arial" w:cs="Arial"/>
                <w:i/>
                <w:sz w:val="20"/>
                <w:szCs w:val="20"/>
              </w:rPr>
              <w:t xml:space="preserve"> </w:t>
            </w:r>
            <w:r w:rsidR="00F140B3" w:rsidRPr="00950DD2" w:rsidDel="00AB74FD">
              <w:rPr>
                <w:rFonts w:ascii="Arial" w:eastAsia="Calibri" w:hAnsi="Arial" w:cs="Arial"/>
                <w:i/>
                <w:sz w:val="20"/>
                <w:szCs w:val="20"/>
              </w:rPr>
              <w:t>(</w:t>
            </w:r>
            <w:r w:rsidR="00296DB4">
              <w:rPr>
                <w:rFonts w:ascii="Arial" w:eastAsia="Calibri" w:hAnsi="Arial" w:cs="Arial"/>
                <w:i/>
                <w:sz w:val="20"/>
                <w:szCs w:val="20"/>
              </w:rPr>
              <w:t>5</w:t>
            </w:r>
            <w:r w:rsidR="00C55FD4" w:rsidRPr="00950DD2" w:rsidDel="00AB74FD">
              <w:rPr>
                <w:rFonts w:ascii="Arial" w:eastAsia="Calibri" w:hAnsi="Arial" w:cs="Arial"/>
                <w:i/>
                <w:sz w:val="20"/>
                <w:szCs w:val="20"/>
              </w:rPr>
              <w:t xml:space="preserve">. in </w:t>
            </w:r>
            <w:r w:rsidR="0009797C" w:rsidRPr="00950DD2" w:rsidDel="00AB74FD">
              <w:rPr>
                <w:rFonts w:ascii="Arial" w:eastAsia="Calibri" w:hAnsi="Arial" w:cs="Arial"/>
                <w:i/>
                <w:sz w:val="20"/>
                <w:szCs w:val="20"/>
              </w:rPr>
              <w:t>1</w:t>
            </w:r>
            <w:r w:rsidR="00296DB4">
              <w:rPr>
                <w:rFonts w:ascii="Arial" w:eastAsia="Calibri" w:hAnsi="Arial" w:cs="Arial"/>
                <w:i/>
                <w:sz w:val="20"/>
                <w:szCs w:val="20"/>
              </w:rPr>
              <w:t>7</w:t>
            </w:r>
            <w:r w:rsidR="00C55FD4" w:rsidRPr="00950DD2" w:rsidDel="00AB74FD">
              <w:rPr>
                <w:rFonts w:ascii="Arial" w:eastAsia="Calibri" w:hAnsi="Arial" w:cs="Arial"/>
                <w:i/>
                <w:sz w:val="20"/>
                <w:szCs w:val="20"/>
              </w:rPr>
              <w:t>.</w:t>
            </w:r>
            <w:r w:rsidR="00D06582">
              <w:rPr>
                <w:rFonts w:ascii="Arial" w:hAnsi="Arial" w:cs="Arial"/>
                <w:i/>
                <w:sz w:val="20"/>
                <w:szCs w:val="20"/>
              </w:rPr>
              <w:t> </w:t>
            </w:r>
            <w:r w:rsidR="00F140B3" w:rsidRPr="00950DD2" w:rsidDel="00AB74FD">
              <w:rPr>
                <w:rFonts w:ascii="Arial" w:hAnsi="Arial" w:cs="Arial"/>
                <w:i/>
                <w:sz w:val="20"/>
                <w:szCs w:val="20"/>
              </w:rPr>
              <w:t>člen</w:t>
            </w:r>
            <w:r w:rsidR="00F140B3" w:rsidRPr="00F120D9" w:rsidDel="00AB74FD">
              <w:rPr>
                <w:rFonts w:ascii="Arial" w:hAnsi="Arial" w:cs="Arial"/>
                <w:i/>
                <w:sz w:val="20"/>
                <w:szCs w:val="20"/>
              </w:rPr>
              <w:t xml:space="preserve"> predloga zakona)</w:t>
            </w:r>
          </w:p>
          <w:p w14:paraId="39AAB96A" w14:textId="4710A22A" w:rsidR="005639B0" w:rsidRPr="00F120D9" w:rsidRDefault="007F6CEC" w:rsidP="005639B0">
            <w:pPr>
              <w:spacing w:after="0" w:line="276" w:lineRule="auto"/>
              <w:contextualSpacing/>
              <w:jc w:val="both"/>
              <w:rPr>
                <w:rFonts w:ascii="Arial" w:eastAsia="Calibri" w:hAnsi="Arial" w:cs="Arial"/>
                <w:sz w:val="20"/>
                <w:szCs w:val="20"/>
              </w:rPr>
            </w:pPr>
            <w:r w:rsidRPr="00F120D9">
              <w:rPr>
                <w:rFonts w:ascii="Arial" w:eastAsia="Calibri" w:hAnsi="Arial" w:cs="Arial"/>
                <w:sz w:val="20"/>
                <w:szCs w:val="20"/>
              </w:rPr>
              <w:t>Ponovno se uvaja obdavč</w:t>
            </w:r>
            <w:r w:rsidR="00645C07" w:rsidRPr="00F120D9">
              <w:rPr>
                <w:rFonts w:ascii="Arial" w:eastAsia="Calibri" w:hAnsi="Arial" w:cs="Arial"/>
                <w:sz w:val="20"/>
                <w:szCs w:val="20"/>
              </w:rPr>
              <w:t>evanje</w:t>
            </w:r>
            <w:r w:rsidRPr="00F120D9">
              <w:rPr>
                <w:rFonts w:ascii="Arial" w:eastAsia="Calibri" w:hAnsi="Arial" w:cs="Arial"/>
                <w:sz w:val="20"/>
                <w:szCs w:val="20"/>
              </w:rPr>
              <w:t xml:space="preserve"> </w:t>
            </w:r>
            <w:r w:rsidRPr="00F120D9">
              <w:rPr>
                <w:rFonts w:ascii="Arial" w:hAnsi="Arial" w:cs="Arial"/>
                <w:sz w:val="20"/>
                <w:szCs w:val="20"/>
              </w:rPr>
              <w:t>izplačan</w:t>
            </w:r>
            <w:r w:rsidR="00645C07" w:rsidRPr="00F120D9">
              <w:rPr>
                <w:rFonts w:ascii="Arial" w:hAnsi="Arial" w:cs="Arial"/>
                <w:sz w:val="20"/>
                <w:szCs w:val="20"/>
              </w:rPr>
              <w:t>ih</w:t>
            </w:r>
            <w:r w:rsidRPr="00F120D9">
              <w:rPr>
                <w:rFonts w:ascii="Arial" w:hAnsi="Arial" w:cs="Arial"/>
                <w:sz w:val="20"/>
                <w:szCs w:val="20"/>
              </w:rPr>
              <w:t xml:space="preserve"> vrednost</w:t>
            </w:r>
            <w:r w:rsidR="00645C07" w:rsidRPr="00F120D9">
              <w:rPr>
                <w:rFonts w:ascii="Arial" w:hAnsi="Arial" w:cs="Arial"/>
                <w:sz w:val="20"/>
                <w:szCs w:val="20"/>
              </w:rPr>
              <w:t>i</w:t>
            </w:r>
            <w:r w:rsidRPr="00F120D9">
              <w:rPr>
                <w:rFonts w:ascii="Arial" w:hAnsi="Arial" w:cs="Arial"/>
                <w:sz w:val="20"/>
                <w:szCs w:val="20"/>
              </w:rPr>
              <w:t xml:space="preserve"> delnic ali deležev v primeru odsvojitve delnic ali deležev v okviru pridobivanja lastnih delnic oziroma deležev družbe</w:t>
            </w:r>
            <w:r w:rsidR="00645C07" w:rsidRPr="00F120D9">
              <w:rPr>
                <w:rFonts w:ascii="Arial" w:hAnsi="Arial" w:cs="Arial"/>
                <w:sz w:val="20"/>
                <w:szCs w:val="20"/>
              </w:rPr>
              <w:t xml:space="preserve"> (</w:t>
            </w:r>
            <w:r w:rsidRPr="00F120D9">
              <w:rPr>
                <w:rFonts w:ascii="Arial" w:hAnsi="Arial" w:cs="Arial"/>
                <w:sz w:val="20"/>
                <w:szCs w:val="20"/>
              </w:rPr>
              <w:t>razen v primeru, ko družba pridobiva lastne delnice na organiziranem trgu</w:t>
            </w:r>
            <w:r w:rsidR="00645C07" w:rsidRPr="00F120D9">
              <w:rPr>
                <w:rFonts w:ascii="Arial" w:hAnsi="Arial" w:cs="Arial"/>
                <w:sz w:val="20"/>
                <w:szCs w:val="20"/>
              </w:rPr>
              <w:t>)</w:t>
            </w:r>
            <w:r w:rsidRPr="00F120D9">
              <w:rPr>
                <w:rFonts w:ascii="Arial" w:hAnsi="Arial" w:cs="Arial"/>
                <w:sz w:val="20"/>
                <w:szCs w:val="20"/>
              </w:rPr>
              <w:t xml:space="preserve">, </w:t>
            </w:r>
            <w:r w:rsidRPr="00F120D9">
              <w:rPr>
                <w:rFonts w:ascii="Arial" w:eastAsia="Calibri" w:hAnsi="Arial" w:cs="Arial"/>
                <w:sz w:val="20"/>
                <w:szCs w:val="20"/>
              </w:rPr>
              <w:t xml:space="preserve">kot dividend, s čimer bo zagotovljena </w:t>
            </w:r>
            <w:r w:rsidR="005639B0" w:rsidRPr="00F120D9">
              <w:rPr>
                <w:rFonts w:ascii="Arial" w:eastAsia="Calibri" w:hAnsi="Arial" w:cs="Arial"/>
                <w:sz w:val="20"/>
                <w:szCs w:val="20"/>
              </w:rPr>
              <w:t>primerljiva opredelitev dohodka</w:t>
            </w:r>
            <w:r w:rsidR="006B17F4" w:rsidRPr="00F120D9">
              <w:rPr>
                <w:rFonts w:ascii="Arial" w:eastAsia="Calibri" w:hAnsi="Arial" w:cs="Arial"/>
                <w:sz w:val="20"/>
                <w:szCs w:val="20"/>
              </w:rPr>
              <w:t xml:space="preserve"> (dividend)</w:t>
            </w:r>
            <w:r w:rsidR="005639B0" w:rsidRPr="00F120D9">
              <w:rPr>
                <w:rFonts w:ascii="Arial" w:eastAsia="Calibri" w:hAnsi="Arial" w:cs="Arial"/>
                <w:sz w:val="20"/>
                <w:szCs w:val="20"/>
              </w:rPr>
              <w:t xml:space="preserve">, kot velja po ZDDPO-2, </w:t>
            </w:r>
            <w:r w:rsidR="00D06582">
              <w:rPr>
                <w:rFonts w:ascii="Arial" w:eastAsia="Calibri" w:hAnsi="Arial" w:cs="Arial"/>
                <w:sz w:val="20"/>
                <w:szCs w:val="20"/>
              </w:rPr>
              <w:t>in</w:t>
            </w:r>
            <w:r w:rsidR="005639B0" w:rsidRPr="00F120D9">
              <w:rPr>
                <w:rFonts w:ascii="Arial" w:eastAsia="Calibri" w:hAnsi="Arial" w:cs="Arial"/>
                <w:sz w:val="20"/>
                <w:szCs w:val="20"/>
              </w:rPr>
              <w:t xml:space="preserve"> enaka</w:t>
            </w:r>
            <w:r w:rsidRPr="00F120D9">
              <w:rPr>
                <w:rFonts w:ascii="Arial" w:eastAsia="Calibri" w:hAnsi="Arial" w:cs="Arial"/>
                <w:sz w:val="20"/>
                <w:szCs w:val="20"/>
              </w:rPr>
              <w:t xml:space="preserve"> obravnava</w:t>
            </w:r>
            <w:r w:rsidR="005639B0" w:rsidRPr="00F120D9">
              <w:rPr>
                <w:rFonts w:ascii="Arial" w:eastAsia="Calibri" w:hAnsi="Arial" w:cs="Arial"/>
                <w:sz w:val="20"/>
                <w:szCs w:val="20"/>
              </w:rPr>
              <w:t xml:space="preserve"> tovrstnega dohodka fizičnih oseb</w:t>
            </w:r>
            <w:r w:rsidRPr="00F120D9">
              <w:rPr>
                <w:rFonts w:ascii="Arial" w:eastAsia="Calibri" w:hAnsi="Arial" w:cs="Arial"/>
                <w:sz w:val="20"/>
                <w:szCs w:val="20"/>
              </w:rPr>
              <w:t xml:space="preserve"> s primerljivi </w:t>
            </w:r>
            <w:r w:rsidR="005639B0" w:rsidRPr="00F120D9">
              <w:rPr>
                <w:rFonts w:ascii="Arial" w:eastAsia="Calibri" w:hAnsi="Arial" w:cs="Arial"/>
                <w:sz w:val="20"/>
                <w:szCs w:val="20"/>
              </w:rPr>
              <w:t xml:space="preserve">dohodki. </w:t>
            </w:r>
            <w:r w:rsidR="005639B0" w:rsidRPr="00F120D9">
              <w:rPr>
                <w:rFonts w:ascii="Arial" w:hAnsi="Arial" w:cs="Arial"/>
                <w:sz w:val="20"/>
                <w:szCs w:val="20"/>
              </w:rPr>
              <w:t xml:space="preserve">Rezerve za lastne deleže lahko družba, ki </w:t>
            </w:r>
            <w:r w:rsidR="006B17F4" w:rsidRPr="00F120D9">
              <w:rPr>
                <w:rFonts w:ascii="Arial" w:hAnsi="Arial" w:cs="Arial"/>
                <w:sz w:val="20"/>
                <w:szCs w:val="20"/>
              </w:rPr>
              <w:t xml:space="preserve">je </w:t>
            </w:r>
            <w:r w:rsidR="005639B0" w:rsidRPr="00F120D9">
              <w:rPr>
                <w:rFonts w:ascii="Arial" w:hAnsi="Arial" w:cs="Arial"/>
                <w:sz w:val="20"/>
                <w:szCs w:val="20"/>
              </w:rPr>
              <w:t>pridobi</w:t>
            </w:r>
            <w:r w:rsidR="006B17F4" w:rsidRPr="00F120D9">
              <w:rPr>
                <w:rFonts w:ascii="Arial" w:hAnsi="Arial" w:cs="Arial"/>
                <w:sz w:val="20"/>
                <w:szCs w:val="20"/>
              </w:rPr>
              <w:t>l</w:t>
            </w:r>
            <w:r w:rsidR="005639B0" w:rsidRPr="00F120D9">
              <w:rPr>
                <w:rFonts w:ascii="Arial" w:hAnsi="Arial" w:cs="Arial"/>
                <w:sz w:val="20"/>
                <w:szCs w:val="20"/>
              </w:rPr>
              <w:t xml:space="preserve">a lastne deleže, oblikuje samo iz zneskov čistega dobička poslovnega leta </w:t>
            </w:r>
            <w:r w:rsidR="005639B0" w:rsidRPr="00F120D9">
              <w:rPr>
                <w:rFonts w:ascii="Arial" w:eastAsia="Calibri" w:hAnsi="Arial" w:cs="Arial"/>
                <w:sz w:val="20"/>
                <w:szCs w:val="20"/>
              </w:rPr>
              <w:t>in prenesenega dobičk</w:t>
            </w:r>
            <w:r w:rsidR="006B17F4" w:rsidRPr="00F120D9">
              <w:rPr>
                <w:rFonts w:ascii="Arial" w:eastAsia="Calibri" w:hAnsi="Arial" w:cs="Arial"/>
                <w:sz w:val="20"/>
                <w:szCs w:val="20"/>
              </w:rPr>
              <w:t xml:space="preserve">a, ter iz </w:t>
            </w:r>
            <w:r w:rsidR="005639B0" w:rsidRPr="00F120D9">
              <w:rPr>
                <w:rFonts w:ascii="Arial" w:eastAsia="Calibri" w:hAnsi="Arial" w:cs="Arial"/>
                <w:sz w:val="20"/>
                <w:szCs w:val="20"/>
              </w:rPr>
              <w:t>statutarnih rezerv, če statut določa, da jih je dovoljeno uporabiti za te namene</w:t>
            </w:r>
            <w:r w:rsidR="006B17F4" w:rsidRPr="00F120D9">
              <w:rPr>
                <w:rFonts w:ascii="Arial" w:eastAsia="Calibri" w:hAnsi="Arial" w:cs="Arial"/>
                <w:sz w:val="20"/>
                <w:szCs w:val="20"/>
              </w:rPr>
              <w:t xml:space="preserve">, </w:t>
            </w:r>
            <w:r w:rsidR="00D06582">
              <w:rPr>
                <w:rFonts w:ascii="Arial" w:eastAsia="Calibri" w:hAnsi="Arial" w:cs="Arial"/>
                <w:sz w:val="20"/>
                <w:szCs w:val="20"/>
              </w:rPr>
              <w:t>in</w:t>
            </w:r>
            <w:r w:rsidR="006B17F4" w:rsidRPr="00F120D9">
              <w:rPr>
                <w:rFonts w:ascii="Arial" w:eastAsia="Calibri" w:hAnsi="Arial" w:cs="Arial"/>
                <w:sz w:val="20"/>
                <w:szCs w:val="20"/>
              </w:rPr>
              <w:t xml:space="preserve"> iz </w:t>
            </w:r>
            <w:r w:rsidR="005639B0" w:rsidRPr="00F120D9">
              <w:rPr>
                <w:rFonts w:ascii="Arial" w:eastAsia="Calibri" w:hAnsi="Arial" w:cs="Arial"/>
                <w:sz w:val="20"/>
                <w:szCs w:val="20"/>
              </w:rPr>
              <w:t>zneska drugih rezerv iz dobička, ki presega morebitni znesek prenesene izgube, ki je ni bilo mogoče pokriti iz morebitnega čistega dobička poslovnega leta</w:t>
            </w:r>
            <w:r w:rsidR="006B17F4" w:rsidRPr="00F120D9">
              <w:rPr>
                <w:rFonts w:ascii="Arial" w:eastAsia="Calibri" w:hAnsi="Arial" w:cs="Arial"/>
                <w:sz w:val="20"/>
                <w:szCs w:val="20"/>
              </w:rPr>
              <w:t xml:space="preserve"> (drugi in peti odstavek 64.</w:t>
            </w:r>
            <w:r w:rsidR="00D06582">
              <w:rPr>
                <w:rFonts w:ascii="Arial" w:eastAsia="Calibri" w:hAnsi="Arial" w:cs="Arial"/>
                <w:sz w:val="20"/>
                <w:szCs w:val="20"/>
              </w:rPr>
              <w:t> </w:t>
            </w:r>
            <w:r w:rsidR="006B17F4" w:rsidRPr="00F120D9">
              <w:rPr>
                <w:rFonts w:ascii="Arial" w:eastAsia="Calibri" w:hAnsi="Arial" w:cs="Arial"/>
                <w:sz w:val="20"/>
                <w:szCs w:val="20"/>
              </w:rPr>
              <w:t>člena ZGD-1)</w:t>
            </w:r>
            <w:r w:rsidR="005639B0" w:rsidRPr="00F120D9">
              <w:rPr>
                <w:rFonts w:ascii="Arial" w:eastAsia="Calibri" w:hAnsi="Arial" w:cs="Arial"/>
                <w:sz w:val="20"/>
                <w:szCs w:val="20"/>
              </w:rPr>
              <w:t>.</w:t>
            </w:r>
            <w:r w:rsidR="006B17F4" w:rsidRPr="00F120D9">
              <w:rPr>
                <w:rFonts w:ascii="Arial" w:eastAsia="Calibri" w:hAnsi="Arial" w:cs="Arial"/>
                <w:sz w:val="20"/>
                <w:szCs w:val="20"/>
              </w:rPr>
              <w:t xml:space="preserve"> </w:t>
            </w:r>
            <w:r w:rsidR="00D06582">
              <w:rPr>
                <w:rFonts w:ascii="Arial" w:eastAsia="Calibri" w:hAnsi="Arial" w:cs="Arial"/>
                <w:sz w:val="20"/>
                <w:szCs w:val="20"/>
              </w:rPr>
              <w:t xml:space="preserve">Ob upoštevanju navedenega </w:t>
            </w:r>
            <w:r w:rsidR="006B17F4" w:rsidRPr="00F120D9">
              <w:rPr>
                <w:rFonts w:ascii="Arial" w:eastAsia="Calibri" w:hAnsi="Arial" w:cs="Arial"/>
                <w:sz w:val="20"/>
                <w:szCs w:val="20"/>
              </w:rPr>
              <w:t xml:space="preserve">je primerno, da se </w:t>
            </w:r>
            <w:r w:rsidR="0083492E" w:rsidRPr="00F120D9">
              <w:rPr>
                <w:rFonts w:ascii="Arial" w:eastAsia="Calibri" w:hAnsi="Arial" w:cs="Arial"/>
                <w:sz w:val="20"/>
                <w:szCs w:val="20"/>
              </w:rPr>
              <w:t>tudi</w:t>
            </w:r>
            <w:r w:rsidR="006B17F4" w:rsidRPr="00F120D9">
              <w:rPr>
                <w:rFonts w:ascii="Arial" w:eastAsia="Calibri" w:hAnsi="Arial" w:cs="Arial"/>
                <w:sz w:val="20"/>
                <w:szCs w:val="20"/>
              </w:rPr>
              <w:t xml:space="preserve"> po ZDoh-2, </w:t>
            </w:r>
            <w:r w:rsidR="0083492E" w:rsidRPr="00F120D9">
              <w:rPr>
                <w:rFonts w:ascii="Arial" w:eastAsia="Calibri" w:hAnsi="Arial" w:cs="Arial"/>
                <w:sz w:val="20"/>
                <w:szCs w:val="20"/>
              </w:rPr>
              <w:t>podobno</w:t>
            </w:r>
            <w:r w:rsidR="00D06582">
              <w:rPr>
                <w:rFonts w:ascii="Arial" w:eastAsia="Calibri" w:hAnsi="Arial" w:cs="Arial"/>
                <w:sz w:val="20"/>
                <w:szCs w:val="20"/>
              </w:rPr>
              <w:t>,</w:t>
            </w:r>
            <w:r w:rsidR="0083492E" w:rsidRPr="00F120D9">
              <w:rPr>
                <w:rFonts w:ascii="Arial" w:eastAsia="Calibri" w:hAnsi="Arial" w:cs="Arial"/>
                <w:sz w:val="20"/>
                <w:szCs w:val="20"/>
              </w:rPr>
              <w:t xml:space="preserve"> kot že velja</w:t>
            </w:r>
            <w:r w:rsidR="006B17F4" w:rsidRPr="00F120D9">
              <w:rPr>
                <w:rFonts w:ascii="Arial" w:eastAsia="Calibri" w:hAnsi="Arial" w:cs="Arial"/>
                <w:sz w:val="20"/>
                <w:szCs w:val="20"/>
              </w:rPr>
              <w:t xml:space="preserve"> po ZDDPO-2, izplačana vrednost delnic ali deležev v primeru odsvojitve delnic ali deležev v okviru pridobivanja lastnih delnic oziroma deležev družbe obravnava tako, kot da družbeniki prejmejo dividende.</w:t>
            </w:r>
          </w:p>
          <w:p w14:paraId="0D9BD917" w14:textId="2EE40373" w:rsidR="007F6CEC" w:rsidRPr="00F120D9" w:rsidRDefault="007F6CEC" w:rsidP="007F6CEC">
            <w:pPr>
              <w:spacing w:after="0" w:line="276" w:lineRule="auto"/>
              <w:contextualSpacing/>
              <w:jc w:val="both"/>
              <w:rPr>
                <w:rFonts w:ascii="Arial" w:eastAsia="Calibri" w:hAnsi="Arial" w:cs="Arial"/>
                <w:sz w:val="20"/>
                <w:szCs w:val="20"/>
              </w:rPr>
            </w:pPr>
          </w:p>
          <w:p w14:paraId="0CAABF63" w14:textId="5049B755" w:rsidR="0051058F" w:rsidRPr="00F120D9" w:rsidRDefault="007B07EF" w:rsidP="00863C60">
            <w:pPr>
              <w:pStyle w:val="Alineazaodstavkom"/>
              <w:numPr>
                <w:ilvl w:val="0"/>
                <w:numId w:val="0"/>
              </w:numPr>
              <w:spacing w:line="260" w:lineRule="exact"/>
              <w:rPr>
                <w:sz w:val="20"/>
                <w:szCs w:val="20"/>
              </w:rPr>
            </w:pPr>
            <w:r w:rsidRPr="00F120D9">
              <w:rPr>
                <w:sz w:val="20"/>
                <w:szCs w:val="20"/>
              </w:rPr>
              <w:t>S predlagan</w:t>
            </w:r>
            <w:r w:rsidR="006B17F4" w:rsidRPr="00F120D9">
              <w:rPr>
                <w:sz w:val="20"/>
                <w:szCs w:val="20"/>
              </w:rPr>
              <w:t>o rešitvijo</w:t>
            </w:r>
            <w:r w:rsidRPr="00F120D9">
              <w:rPr>
                <w:sz w:val="20"/>
                <w:szCs w:val="20"/>
              </w:rPr>
              <w:t xml:space="preserve"> se</w:t>
            </w:r>
            <w:r w:rsidR="00863C60" w:rsidRPr="00F120D9">
              <w:rPr>
                <w:sz w:val="20"/>
                <w:szCs w:val="20"/>
              </w:rPr>
              <w:t xml:space="preserve"> </w:t>
            </w:r>
            <w:r w:rsidR="006B17F4" w:rsidRPr="00F120D9">
              <w:rPr>
                <w:sz w:val="20"/>
                <w:szCs w:val="20"/>
              </w:rPr>
              <w:t>tudi</w:t>
            </w:r>
            <w:r w:rsidR="00863C60" w:rsidRPr="00F120D9">
              <w:rPr>
                <w:sz w:val="20"/>
                <w:szCs w:val="20"/>
              </w:rPr>
              <w:t xml:space="preserve"> zasleduje </w:t>
            </w:r>
            <w:r w:rsidR="006B17F4" w:rsidRPr="00F120D9">
              <w:rPr>
                <w:sz w:val="20"/>
                <w:szCs w:val="20"/>
              </w:rPr>
              <w:t>cilj preprečevanja zniževanja</w:t>
            </w:r>
            <w:r w:rsidR="007A40AA" w:rsidRPr="00F120D9">
              <w:rPr>
                <w:sz w:val="20"/>
                <w:szCs w:val="20"/>
              </w:rPr>
              <w:t xml:space="preserve"> kapitalske oz</w:t>
            </w:r>
            <w:r w:rsidR="00863C60" w:rsidRPr="00F120D9">
              <w:rPr>
                <w:sz w:val="20"/>
                <w:szCs w:val="20"/>
              </w:rPr>
              <w:t>iroma</w:t>
            </w:r>
            <w:r w:rsidR="007A40AA" w:rsidRPr="00F120D9">
              <w:rPr>
                <w:sz w:val="20"/>
                <w:szCs w:val="20"/>
              </w:rPr>
              <w:t xml:space="preserve"> investicijske sposobnosti</w:t>
            </w:r>
            <w:r w:rsidR="00863C60" w:rsidRPr="00F120D9">
              <w:rPr>
                <w:sz w:val="20"/>
                <w:szCs w:val="20"/>
              </w:rPr>
              <w:t xml:space="preserve"> podjet</w:t>
            </w:r>
            <w:r w:rsidR="006B17F4" w:rsidRPr="00F120D9">
              <w:rPr>
                <w:sz w:val="20"/>
                <w:szCs w:val="20"/>
              </w:rPr>
              <w:t>ij,</w:t>
            </w:r>
            <w:r w:rsidR="00863C60" w:rsidRPr="00F120D9">
              <w:rPr>
                <w:sz w:val="20"/>
                <w:szCs w:val="20"/>
              </w:rPr>
              <w:t xml:space="preserve"> </w:t>
            </w:r>
            <w:r w:rsidR="006B17F4" w:rsidRPr="00F120D9">
              <w:rPr>
                <w:sz w:val="20"/>
                <w:szCs w:val="20"/>
              </w:rPr>
              <w:t>kar</w:t>
            </w:r>
            <w:r w:rsidR="00863C60" w:rsidRPr="00F120D9">
              <w:rPr>
                <w:sz w:val="20"/>
                <w:szCs w:val="20"/>
              </w:rPr>
              <w:t xml:space="preserve"> je še </w:t>
            </w:r>
            <w:r w:rsidR="006B17F4" w:rsidRPr="00F120D9">
              <w:rPr>
                <w:sz w:val="20"/>
                <w:szCs w:val="20"/>
              </w:rPr>
              <w:t>zlasti</w:t>
            </w:r>
            <w:r w:rsidR="00863C60" w:rsidRPr="00F120D9">
              <w:rPr>
                <w:sz w:val="20"/>
                <w:szCs w:val="20"/>
              </w:rPr>
              <w:t xml:space="preserve"> pomembno v času, ko je potreba </w:t>
            </w:r>
            <w:proofErr w:type="spellStart"/>
            <w:r w:rsidR="00863C60" w:rsidRPr="00F120D9">
              <w:rPr>
                <w:sz w:val="20"/>
                <w:szCs w:val="20"/>
              </w:rPr>
              <w:t>mikro</w:t>
            </w:r>
            <w:proofErr w:type="spellEnd"/>
            <w:r w:rsidR="00863C60" w:rsidRPr="00F120D9">
              <w:rPr>
                <w:sz w:val="20"/>
                <w:szCs w:val="20"/>
              </w:rPr>
              <w:t xml:space="preserve"> in malih podjetij ter večjih družinskih podjetij po močni kapitalski strukturi oz</w:t>
            </w:r>
            <w:r w:rsidR="00D06582">
              <w:rPr>
                <w:sz w:val="20"/>
                <w:szCs w:val="20"/>
              </w:rPr>
              <w:t>iroma</w:t>
            </w:r>
            <w:r w:rsidR="00863C60" w:rsidRPr="00F120D9">
              <w:rPr>
                <w:sz w:val="20"/>
                <w:szCs w:val="20"/>
              </w:rPr>
              <w:t xml:space="preserve"> investicijskem potencialu podjetij izjemno visoka (</w:t>
            </w:r>
            <w:r w:rsidR="0010031F" w:rsidRPr="00F120D9">
              <w:rPr>
                <w:sz w:val="20"/>
                <w:szCs w:val="20"/>
              </w:rPr>
              <w:t>p</w:t>
            </w:r>
            <w:r w:rsidR="00863C60" w:rsidRPr="00F120D9">
              <w:rPr>
                <w:sz w:val="20"/>
                <w:szCs w:val="20"/>
              </w:rPr>
              <w:t>rehod</w:t>
            </w:r>
            <w:r w:rsidR="006B17F4" w:rsidRPr="00F120D9">
              <w:rPr>
                <w:sz w:val="20"/>
                <w:szCs w:val="20"/>
              </w:rPr>
              <w:t xml:space="preserve"> oz. </w:t>
            </w:r>
            <w:r w:rsidR="00863C60" w:rsidRPr="00F120D9">
              <w:rPr>
                <w:sz w:val="20"/>
                <w:szCs w:val="20"/>
              </w:rPr>
              <w:t>prestrukturiranje gospodarstva zaradi digitalizacije, avtomatizacije, robotizacije</w:t>
            </w:r>
            <w:r w:rsidR="00D06582">
              <w:rPr>
                <w:sz w:val="20"/>
                <w:szCs w:val="20"/>
              </w:rPr>
              <w:t> </w:t>
            </w:r>
            <w:r w:rsidR="00863C60" w:rsidRPr="00F120D9">
              <w:rPr>
                <w:sz w:val="20"/>
                <w:szCs w:val="20"/>
              </w:rPr>
              <w:t>ipd. je izrazito kapitalsko intenziv</w:t>
            </w:r>
            <w:r w:rsidR="00732E0C" w:rsidRPr="00F120D9">
              <w:rPr>
                <w:sz w:val="20"/>
                <w:szCs w:val="20"/>
              </w:rPr>
              <w:t>e</w:t>
            </w:r>
            <w:r w:rsidR="00863C60" w:rsidRPr="00F120D9">
              <w:rPr>
                <w:sz w:val="20"/>
                <w:szCs w:val="20"/>
              </w:rPr>
              <w:t>n). Gre torej za ukrep, ki je v javnem interesu in s katerim se gradi učinkovita davčna politika.</w:t>
            </w:r>
          </w:p>
          <w:p w14:paraId="52CBDC4F" w14:textId="77777777" w:rsidR="006708D5" w:rsidRDefault="006708D5" w:rsidP="001C472F">
            <w:pPr>
              <w:spacing w:after="0" w:line="276" w:lineRule="auto"/>
              <w:contextualSpacing/>
              <w:jc w:val="both"/>
              <w:rPr>
                <w:rFonts w:ascii="Arial" w:eastAsia="Calibri" w:hAnsi="Arial" w:cs="Arial"/>
                <w:i/>
                <w:iCs/>
                <w:sz w:val="20"/>
                <w:szCs w:val="20"/>
              </w:rPr>
            </w:pPr>
          </w:p>
          <w:p w14:paraId="5144ECCA" w14:textId="4D619FD5" w:rsidR="007A3406" w:rsidRPr="007A3406" w:rsidRDefault="001C472F" w:rsidP="007A3406">
            <w:pPr>
              <w:spacing w:after="0" w:line="276" w:lineRule="auto"/>
              <w:contextualSpacing/>
              <w:jc w:val="both"/>
              <w:rPr>
                <w:rFonts w:ascii="Arial" w:eastAsia="Calibri" w:hAnsi="Arial" w:cs="Arial"/>
                <w:i/>
                <w:iCs/>
                <w:sz w:val="20"/>
                <w:szCs w:val="20"/>
              </w:rPr>
            </w:pPr>
            <w:r w:rsidRPr="00336C09">
              <w:rPr>
                <w:rFonts w:ascii="Arial" w:eastAsia="Calibri" w:hAnsi="Arial" w:cs="Arial"/>
                <w:i/>
                <w:iCs/>
                <w:sz w:val="20"/>
                <w:szCs w:val="20"/>
              </w:rPr>
              <w:t xml:space="preserve">b) </w:t>
            </w:r>
            <w:r w:rsidR="007A3406" w:rsidRPr="007A3406">
              <w:rPr>
                <w:rFonts w:ascii="Arial" w:eastAsia="Calibri" w:hAnsi="Arial" w:cs="Arial"/>
                <w:i/>
                <w:iCs/>
                <w:sz w:val="20"/>
                <w:szCs w:val="20"/>
              </w:rPr>
              <w:t>Čas pridobitve kapitala ali dela kapitala (delnic ali deležev) v primerih, ko je bil osnovni kapital povečan iz sredstev družbe (</w:t>
            </w:r>
            <w:r w:rsidR="00296DB4">
              <w:rPr>
                <w:rFonts w:ascii="Arial" w:eastAsia="Calibri" w:hAnsi="Arial" w:cs="Arial"/>
                <w:i/>
                <w:iCs/>
                <w:sz w:val="20"/>
                <w:szCs w:val="20"/>
              </w:rPr>
              <w:t>6</w:t>
            </w:r>
            <w:r w:rsidR="007A3406" w:rsidRPr="007A3406">
              <w:rPr>
                <w:rFonts w:ascii="Arial" w:eastAsia="Calibri" w:hAnsi="Arial" w:cs="Arial"/>
                <w:i/>
                <w:iCs/>
                <w:sz w:val="20"/>
                <w:szCs w:val="20"/>
              </w:rPr>
              <w:t>.</w:t>
            </w:r>
            <w:r w:rsidR="00D06582">
              <w:rPr>
                <w:rFonts w:ascii="Arial" w:eastAsia="Calibri" w:hAnsi="Arial" w:cs="Arial"/>
                <w:i/>
                <w:iCs/>
                <w:sz w:val="20"/>
                <w:szCs w:val="20"/>
              </w:rPr>
              <w:t> </w:t>
            </w:r>
            <w:r w:rsidR="007A3406" w:rsidRPr="007A3406">
              <w:rPr>
                <w:rFonts w:ascii="Arial" w:eastAsia="Calibri" w:hAnsi="Arial" w:cs="Arial"/>
                <w:i/>
                <w:iCs/>
                <w:sz w:val="20"/>
                <w:szCs w:val="20"/>
              </w:rPr>
              <w:t>člen predloga zakona)</w:t>
            </w:r>
          </w:p>
          <w:p w14:paraId="6AC80A9F" w14:textId="47839C6F" w:rsidR="007A3406" w:rsidRPr="00F00860" w:rsidRDefault="007A3406" w:rsidP="007A3406">
            <w:pPr>
              <w:spacing w:after="0" w:line="276" w:lineRule="auto"/>
              <w:contextualSpacing/>
              <w:jc w:val="both"/>
              <w:rPr>
                <w:rFonts w:ascii="Arial" w:eastAsia="Calibri" w:hAnsi="Arial" w:cs="Arial"/>
                <w:sz w:val="20"/>
                <w:szCs w:val="20"/>
              </w:rPr>
            </w:pPr>
            <w:r w:rsidRPr="00F00860">
              <w:rPr>
                <w:rFonts w:ascii="Arial" w:eastAsia="Calibri" w:hAnsi="Arial" w:cs="Arial"/>
                <w:sz w:val="20"/>
                <w:szCs w:val="20"/>
              </w:rPr>
              <w:t>V ZDoh-2 se jasneje določi, da se tudi povečanje osnovnega kapitala družbe iz sredstev družbe, podobno</w:t>
            </w:r>
            <w:r w:rsidR="00373EAA">
              <w:rPr>
                <w:rFonts w:ascii="Arial" w:eastAsia="Calibri" w:hAnsi="Arial" w:cs="Arial"/>
                <w:sz w:val="20"/>
                <w:szCs w:val="20"/>
              </w:rPr>
              <w:t>,</w:t>
            </w:r>
            <w:r w:rsidRPr="00F00860">
              <w:rPr>
                <w:rFonts w:ascii="Arial" w:eastAsia="Calibri" w:hAnsi="Arial" w:cs="Arial"/>
                <w:sz w:val="20"/>
                <w:szCs w:val="20"/>
              </w:rPr>
              <w:t xml:space="preserve"> kot v primeru povečanja osnovnega kapitala družbe z vložki, za namene obdavčevanja z dohodnino šteje kot samostojna (tj.</w:t>
            </w:r>
            <w:r w:rsidR="00373EAA">
              <w:rPr>
                <w:rFonts w:ascii="Arial" w:eastAsia="Calibri" w:hAnsi="Arial" w:cs="Arial"/>
                <w:sz w:val="20"/>
                <w:szCs w:val="20"/>
              </w:rPr>
              <w:t> </w:t>
            </w:r>
            <w:r w:rsidRPr="00F00860">
              <w:rPr>
                <w:rFonts w:ascii="Arial" w:eastAsia="Calibri" w:hAnsi="Arial" w:cs="Arial"/>
                <w:sz w:val="20"/>
                <w:szCs w:val="20"/>
              </w:rPr>
              <w:t>ločena oziroma nova) pridobitev kapitala delničarjev/družbenikov, in sicer prek posebne opredelitve časa pridobitve kapitala v teh primerih.</w:t>
            </w:r>
          </w:p>
          <w:p w14:paraId="6925CF9E" w14:textId="77777777" w:rsidR="007A3406" w:rsidRDefault="007A3406" w:rsidP="001C472F">
            <w:pPr>
              <w:spacing w:after="0" w:line="276" w:lineRule="auto"/>
              <w:contextualSpacing/>
              <w:jc w:val="both"/>
              <w:rPr>
                <w:rFonts w:ascii="Arial" w:eastAsia="Calibri" w:hAnsi="Arial" w:cs="Arial"/>
                <w:i/>
                <w:iCs/>
                <w:sz w:val="20"/>
                <w:szCs w:val="20"/>
              </w:rPr>
            </w:pPr>
          </w:p>
          <w:p w14:paraId="3F077AD5" w14:textId="5673C510" w:rsidR="001C472F" w:rsidRPr="00336C09" w:rsidRDefault="007A3406" w:rsidP="001C472F">
            <w:pPr>
              <w:spacing w:after="0" w:line="276" w:lineRule="auto"/>
              <w:contextualSpacing/>
              <w:jc w:val="both"/>
              <w:rPr>
                <w:rFonts w:ascii="Arial" w:eastAsia="Calibri" w:hAnsi="Arial" w:cs="Arial"/>
                <w:i/>
                <w:iCs/>
                <w:sz w:val="20"/>
                <w:szCs w:val="20"/>
              </w:rPr>
            </w:pPr>
            <w:r>
              <w:rPr>
                <w:rFonts w:ascii="Arial" w:eastAsia="Calibri" w:hAnsi="Arial" w:cs="Arial"/>
                <w:i/>
                <w:iCs/>
                <w:sz w:val="20"/>
                <w:szCs w:val="20"/>
              </w:rPr>
              <w:t>c</w:t>
            </w:r>
            <w:r w:rsidR="001C472F" w:rsidRPr="00336C09">
              <w:rPr>
                <w:rFonts w:ascii="Arial" w:eastAsia="Calibri" w:hAnsi="Arial" w:cs="Arial"/>
                <w:i/>
                <w:iCs/>
                <w:sz w:val="20"/>
                <w:szCs w:val="20"/>
              </w:rPr>
              <w:t xml:space="preserve">) </w:t>
            </w:r>
            <w:r w:rsidR="001C472F">
              <w:rPr>
                <w:rFonts w:ascii="Arial" w:eastAsia="Calibri" w:hAnsi="Arial" w:cs="Arial"/>
                <w:i/>
                <w:iCs/>
                <w:sz w:val="20"/>
                <w:szCs w:val="20"/>
              </w:rPr>
              <w:t>Odprava</w:t>
            </w:r>
            <w:r w:rsidR="001C472F" w:rsidRPr="00336C09">
              <w:rPr>
                <w:rFonts w:ascii="Arial" w:eastAsia="Calibri" w:hAnsi="Arial" w:cs="Arial"/>
                <w:i/>
                <w:iCs/>
                <w:sz w:val="20"/>
                <w:szCs w:val="20"/>
              </w:rPr>
              <w:t xml:space="preserve"> možnosti odločitve o vključitvi dohodkov iz oddajanja premoženja v najem in dohodkov iz kapitala v letno davčno osnovo</w:t>
            </w:r>
            <w:r w:rsidR="001C472F">
              <w:rPr>
                <w:rFonts w:ascii="Arial" w:eastAsia="Calibri" w:hAnsi="Arial" w:cs="Arial"/>
                <w:i/>
                <w:iCs/>
                <w:sz w:val="20"/>
                <w:szCs w:val="20"/>
              </w:rPr>
              <w:t xml:space="preserve"> (</w:t>
            </w:r>
            <w:r w:rsidR="00296DB4">
              <w:rPr>
                <w:rFonts w:ascii="Arial" w:eastAsia="Calibri" w:hAnsi="Arial" w:cs="Arial"/>
                <w:i/>
                <w:iCs/>
                <w:sz w:val="20"/>
                <w:szCs w:val="20"/>
              </w:rPr>
              <w:t>7</w:t>
            </w:r>
            <w:r w:rsidR="00C60CD1">
              <w:rPr>
                <w:rFonts w:ascii="Arial" w:eastAsia="Calibri" w:hAnsi="Arial" w:cs="Arial"/>
                <w:i/>
                <w:iCs/>
                <w:sz w:val="20"/>
                <w:szCs w:val="20"/>
              </w:rPr>
              <w:t xml:space="preserve">., </w:t>
            </w:r>
            <w:r w:rsidR="00296DB4">
              <w:rPr>
                <w:rFonts w:ascii="Arial" w:eastAsia="Calibri" w:hAnsi="Arial" w:cs="Arial"/>
                <w:i/>
                <w:iCs/>
                <w:sz w:val="20"/>
                <w:szCs w:val="20"/>
              </w:rPr>
              <w:t>8</w:t>
            </w:r>
            <w:r w:rsidR="00C60CD1">
              <w:rPr>
                <w:rFonts w:ascii="Arial" w:eastAsia="Calibri" w:hAnsi="Arial" w:cs="Arial"/>
                <w:i/>
                <w:iCs/>
                <w:sz w:val="20"/>
                <w:szCs w:val="20"/>
              </w:rPr>
              <w:t>., 1</w:t>
            </w:r>
            <w:r w:rsidR="00296DB4">
              <w:rPr>
                <w:rFonts w:ascii="Arial" w:eastAsia="Calibri" w:hAnsi="Arial" w:cs="Arial"/>
                <w:i/>
                <w:iCs/>
                <w:sz w:val="20"/>
                <w:szCs w:val="20"/>
              </w:rPr>
              <w:t>2</w:t>
            </w:r>
            <w:r w:rsidR="00C60CD1" w:rsidRPr="00950DD2">
              <w:rPr>
                <w:rFonts w:ascii="Arial" w:eastAsia="Calibri" w:hAnsi="Arial" w:cs="Arial"/>
                <w:i/>
                <w:iCs/>
                <w:sz w:val="20"/>
                <w:szCs w:val="20"/>
              </w:rPr>
              <w:t>.</w:t>
            </w:r>
            <w:r w:rsidR="001C472F" w:rsidRPr="00950DD2">
              <w:rPr>
                <w:rFonts w:ascii="Arial" w:eastAsia="Calibri" w:hAnsi="Arial" w:cs="Arial"/>
                <w:i/>
                <w:iCs/>
                <w:sz w:val="20"/>
                <w:szCs w:val="20"/>
              </w:rPr>
              <w:t xml:space="preserve"> </w:t>
            </w:r>
            <w:r w:rsidR="00C60CD1">
              <w:rPr>
                <w:rFonts w:ascii="Arial" w:eastAsia="Calibri" w:hAnsi="Arial" w:cs="Arial"/>
                <w:i/>
                <w:iCs/>
                <w:sz w:val="20"/>
                <w:szCs w:val="20"/>
              </w:rPr>
              <w:t>in 1</w:t>
            </w:r>
            <w:r w:rsidR="00296DB4">
              <w:rPr>
                <w:rFonts w:ascii="Arial" w:eastAsia="Calibri" w:hAnsi="Arial" w:cs="Arial"/>
                <w:i/>
                <w:iCs/>
                <w:sz w:val="20"/>
                <w:szCs w:val="20"/>
              </w:rPr>
              <w:t>3</w:t>
            </w:r>
            <w:r w:rsidR="00C60CD1" w:rsidRPr="00950DD2">
              <w:rPr>
                <w:rFonts w:ascii="Arial" w:eastAsia="Calibri" w:hAnsi="Arial" w:cs="Arial"/>
                <w:i/>
                <w:iCs/>
                <w:sz w:val="20"/>
                <w:szCs w:val="20"/>
              </w:rPr>
              <w:t>.</w:t>
            </w:r>
            <w:r w:rsidR="00373EAA">
              <w:rPr>
                <w:rFonts w:ascii="Arial" w:eastAsia="Calibri" w:hAnsi="Arial" w:cs="Arial"/>
                <w:i/>
                <w:iCs/>
                <w:sz w:val="20"/>
                <w:szCs w:val="20"/>
              </w:rPr>
              <w:t> </w:t>
            </w:r>
            <w:r w:rsidR="001C472F" w:rsidRPr="00950DD2">
              <w:rPr>
                <w:rFonts w:ascii="Arial" w:eastAsia="Calibri" w:hAnsi="Arial" w:cs="Arial"/>
                <w:i/>
                <w:iCs/>
                <w:sz w:val="20"/>
                <w:szCs w:val="20"/>
              </w:rPr>
              <w:t>člen</w:t>
            </w:r>
            <w:r w:rsidR="001C472F">
              <w:rPr>
                <w:rFonts w:ascii="Arial" w:eastAsia="Calibri" w:hAnsi="Arial" w:cs="Arial"/>
                <w:i/>
                <w:iCs/>
                <w:sz w:val="20"/>
                <w:szCs w:val="20"/>
              </w:rPr>
              <w:t xml:space="preserve"> predloga zakona)</w:t>
            </w:r>
          </w:p>
          <w:p w14:paraId="6790ACCF" w14:textId="07183303" w:rsidR="008B176F" w:rsidRDefault="006708D5" w:rsidP="00E608B0">
            <w:pPr>
              <w:spacing w:after="0" w:line="276" w:lineRule="auto"/>
              <w:contextualSpacing/>
              <w:jc w:val="both"/>
              <w:rPr>
                <w:rFonts w:ascii="Arial" w:eastAsia="Calibri" w:hAnsi="Arial" w:cs="Arial"/>
                <w:iCs/>
                <w:sz w:val="20"/>
                <w:szCs w:val="20"/>
              </w:rPr>
            </w:pPr>
            <w:r>
              <w:rPr>
                <w:rFonts w:ascii="Arial" w:eastAsia="Calibri" w:hAnsi="Arial" w:cs="Arial"/>
                <w:iCs/>
                <w:sz w:val="20"/>
                <w:szCs w:val="20"/>
              </w:rPr>
              <w:t xml:space="preserve">Odpravi se možnost, da se davčni zavezanec odloči o </w:t>
            </w:r>
            <w:r w:rsidRPr="006708D5">
              <w:rPr>
                <w:rFonts w:ascii="Arial" w:eastAsia="Calibri" w:hAnsi="Arial" w:cs="Arial"/>
                <w:iCs/>
                <w:sz w:val="20"/>
                <w:szCs w:val="20"/>
              </w:rPr>
              <w:t>vključitvi dohodkov iz oddajanja premoženja v najem in dohodkov iz kapitala v letno davčno osnovo</w:t>
            </w:r>
            <w:r>
              <w:rPr>
                <w:rFonts w:ascii="Arial" w:eastAsia="Calibri" w:hAnsi="Arial" w:cs="Arial"/>
                <w:iCs/>
                <w:sz w:val="20"/>
                <w:szCs w:val="20"/>
              </w:rPr>
              <w:t>.</w:t>
            </w:r>
          </w:p>
          <w:p w14:paraId="45C07FC7" w14:textId="77777777" w:rsidR="006708D5" w:rsidRPr="008B176F" w:rsidRDefault="006708D5" w:rsidP="00E608B0">
            <w:pPr>
              <w:spacing w:after="0" w:line="276" w:lineRule="auto"/>
              <w:contextualSpacing/>
              <w:jc w:val="both"/>
              <w:rPr>
                <w:rFonts w:ascii="Arial" w:eastAsia="Calibri" w:hAnsi="Arial" w:cs="Arial"/>
                <w:iCs/>
                <w:sz w:val="20"/>
                <w:szCs w:val="20"/>
              </w:rPr>
            </w:pPr>
          </w:p>
          <w:p w14:paraId="2DA3960B" w14:textId="0C2F5A4F" w:rsidR="00CD329B" w:rsidRDefault="00CD329B" w:rsidP="00CD329B">
            <w:pPr>
              <w:spacing w:after="0" w:line="276" w:lineRule="auto"/>
              <w:contextualSpacing/>
              <w:jc w:val="both"/>
              <w:rPr>
                <w:rFonts w:ascii="Arial" w:eastAsia="Calibri" w:hAnsi="Arial" w:cs="Arial"/>
                <w:sz w:val="20"/>
                <w:szCs w:val="20"/>
              </w:rPr>
            </w:pPr>
            <w:r>
              <w:rPr>
                <w:rFonts w:ascii="Arial" w:eastAsia="Calibri" w:hAnsi="Arial" w:cs="Arial"/>
                <w:sz w:val="20"/>
                <w:szCs w:val="20"/>
              </w:rPr>
              <w:lastRenderedPageBreak/>
              <w:t>2.3.5 Kmetijstvo</w:t>
            </w:r>
            <w:r w:rsidRPr="00A65C78">
              <w:rPr>
                <w:rFonts w:ascii="Arial" w:eastAsia="Times New Roman" w:hAnsi="Arial" w:cs="Arial"/>
                <w:i/>
                <w:iCs/>
                <w:sz w:val="20"/>
                <w:szCs w:val="20"/>
              </w:rPr>
              <w:t xml:space="preserve"> </w:t>
            </w:r>
            <w:r>
              <w:rPr>
                <w:rFonts w:ascii="Arial" w:eastAsia="Times New Roman" w:hAnsi="Arial" w:cs="Arial"/>
                <w:i/>
                <w:iCs/>
                <w:sz w:val="20"/>
                <w:szCs w:val="20"/>
              </w:rPr>
              <w:t>(</w:t>
            </w:r>
            <w:r w:rsidR="00C60CD1">
              <w:rPr>
                <w:rFonts w:ascii="Arial" w:eastAsia="Times New Roman" w:hAnsi="Arial" w:cs="Arial"/>
                <w:i/>
                <w:iCs/>
                <w:sz w:val="20"/>
                <w:szCs w:val="20"/>
              </w:rPr>
              <w:t xml:space="preserve">1. in </w:t>
            </w:r>
            <w:r w:rsidR="00296DB4">
              <w:rPr>
                <w:rFonts w:ascii="Arial" w:eastAsia="Times New Roman" w:hAnsi="Arial" w:cs="Arial"/>
                <w:i/>
                <w:iCs/>
                <w:sz w:val="20"/>
                <w:szCs w:val="20"/>
              </w:rPr>
              <w:t>19</w:t>
            </w:r>
            <w:r w:rsidR="00C60CD1">
              <w:rPr>
                <w:rFonts w:ascii="Arial" w:eastAsia="Times New Roman" w:hAnsi="Arial" w:cs="Arial"/>
                <w:i/>
                <w:iCs/>
                <w:sz w:val="20"/>
                <w:szCs w:val="20"/>
              </w:rPr>
              <w:t>.</w:t>
            </w:r>
            <w:r w:rsidR="00373EAA">
              <w:rPr>
                <w:rFonts w:ascii="Arial" w:eastAsia="Times New Roman" w:hAnsi="Arial" w:cs="Arial"/>
                <w:i/>
                <w:iCs/>
                <w:sz w:val="20"/>
                <w:szCs w:val="20"/>
              </w:rPr>
              <w:t> </w:t>
            </w:r>
            <w:r w:rsidR="00C60CD1">
              <w:rPr>
                <w:rFonts w:ascii="Arial" w:eastAsia="Times New Roman" w:hAnsi="Arial" w:cs="Arial"/>
                <w:i/>
                <w:iCs/>
                <w:sz w:val="20"/>
                <w:szCs w:val="20"/>
              </w:rPr>
              <w:t xml:space="preserve">člen </w:t>
            </w:r>
            <w:r w:rsidRPr="007A6775">
              <w:rPr>
                <w:rFonts w:ascii="Arial" w:eastAsia="Times New Roman" w:hAnsi="Arial" w:cs="Arial"/>
                <w:i/>
                <w:iCs/>
                <w:sz w:val="20"/>
                <w:szCs w:val="20"/>
              </w:rPr>
              <w:t>predloga zakona</w:t>
            </w:r>
            <w:r>
              <w:rPr>
                <w:rFonts w:ascii="Arial" w:eastAsia="Times New Roman" w:hAnsi="Arial" w:cs="Arial"/>
                <w:i/>
                <w:iCs/>
                <w:sz w:val="20"/>
                <w:szCs w:val="20"/>
              </w:rPr>
              <w:t>)</w:t>
            </w:r>
          </w:p>
          <w:p w14:paraId="77BFE9AD" w14:textId="77A87E32" w:rsidR="00CD329B" w:rsidRDefault="00296DB4" w:rsidP="00CD329B">
            <w:pPr>
              <w:spacing w:after="0" w:line="276" w:lineRule="auto"/>
              <w:contextualSpacing/>
              <w:jc w:val="both"/>
              <w:rPr>
                <w:rFonts w:ascii="Arial" w:eastAsia="Calibri" w:hAnsi="Arial" w:cs="Arial"/>
                <w:sz w:val="20"/>
                <w:szCs w:val="20"/>
              </w:rPr>
            </w:pPr>
            <w:r w:rsidRPr="00296DB4">
              <w:rPr>
                <w:rFonts w:ascii="Arial" w:eastAsia="Calibri" w:hAnsi="Arial" w:cs="Arial"/>
                <w:sz w:val="20"/>
                <w:szCs w:val="20"/>
              </w:rPr>
              <w:t>S predlaganimi rešitvami se v oprostitev jasneje umeščajo plačila za ukrepe kmetijske politike v delu, ki je namenjen podpori okolju prijaznejšim tehnologijam, kamor se uvrščajo vsa ti</w:t>
            </w:r>
            <w:r>
              <w:rPr>
                <w:rFonts w:ascii="Arial" w:eastAsia="Calibri" w:hAnsi="Arial" w:cs="Arial"/>
                <w:sz w:val="20"/>
                <w:szCs w:val="20"/>
              </w:rPr>
              <w:t>m</w:t>
            </w:r>
            <w:r w:rsidRPr="00296DB4">
              <w:rPr>
                <w:rFonts w:ascii="Arial" w:eastAsia="Calibri" w:hAnsi="Arial" w:cs="Arial"/>
                <w:sz w:val="20"/>
                <w:szCs w:val="20"/>
              </w:rPr>
              <w:t xml:space="preserve">. zelena plačila, pa tudi 50 % plačil za težje pridelovalne razmere. Jasneje se opredeljujejo podpore, ki se jih obravnava kot podpore za naložbe in mednje uvršča tudi subvencije za vzpostavitev gospodarstev mladih kmetov v delu, ki se namenja poplačilu drugih upravičencev ob prevzemu kmetije s strani mladega prevzemnika. V oprostitev pa se po novem uvrščajo tudi podpore za subvencioniranje zavarovalnih premij, s čimer se v luči vedno bolj izraženih podnebnih sprememb podpira prizadevanja za večji obseg teh zavarovanj. </w:t>
            </w:r>
          </w:p>
          <w:p w14:paraId="5460B1AC" w14:textId="77777777" w:rsidR="00CD329B" w:rsidRDefault="00CD329B" w:rsidP="008B176F">
            <w:pPr>
              <w:spacing w:after="0" w:line="276" w:lineRule="auto"/>
              <w:contextualSpacing/>
              <w:jc w:val="both"/>
              <w:rPr>
                <w:rFonts w:ascii="Arial" w:eastAsia="Calibri" w:hAnsi="Arial" w:cs="Arial"/>
                <w:iCs/>
                <w:sz w:val="20"/>
                <w:szCs w:val="20"/>
              </w:rPr>
            </w:pPr>
          </w:p>
          <w:p w14:paraId="34426A8D" w14:textId="4BDB521E" w:rsidR="008B176F" w:rsidRPr="00B531DF" w:rsidRDefault="008B176F" w:rsidP="008B176F">
            <w:pPr>
              <w:spacing w:after="0" w:line="276" w:lineRule="auto"/>
              <w:contextualSpacing/>
              <w:jc w:val="both"/>
              <w:rPr>
                <w:rFonts w:ascii="Arial" w:eastAsia="Calibri" w:hAnsi="Arial" w:cs="Arial"/>
                <w:iCs/>
                <w:sz w:val="20"/>
                <w:szCs w:val="20"/>
              </w:rPr>
            </w:pPr>
            <w:r>
              <w:rPr>
                <w:rFonts w:ascii="Arial" w:eastAsia="Calibri" w:hAnsi="Arial" w:cs="Arial"/>
                <w:iCs/>
                <w:sz w:val="20"/>
                <w:szCs w:val="20"/>
              </w:rPr>
              <w:t>2.3.</w:t>
            </w:r>
            <w:r w:rsidR="00CD329B">
              <w:rPr>
                <w:rFonts w:ascii="Arial" w:eastAsia="Calibri" w:hAnsi="Arial" w:cs="Arial"/>
                <w:iCs/>
                <w:sz w:val="20"/>
                <w:szCs w:val="20"/>
              </w:rPr>
              <w:t>6</w:t>
            </w:r>
            <w:r w:rsidRPr="00B531DF">
              <w:rPr>
                <w:rFonts w:ascii="Arial" w:eastAsia="Calibri" w:hAnsi="Arial" w:cs="Arial"/>
                <w:iCs/>
                <w:sz w:val="20"/>
                <w:szCs w:val="20"/>
              </w:rPr>
              <w:t xml:space="preserve"> Namenitev dela dohodnine za donacije </w:t>
            </w:r>
            <w:r w:rsidRPr="00950DD2">
              <w:rPr>
                <w:rFonts w:ascii="Arial" w:eastAsia="Calibri" w:hAnsi="Arial" w:cs="Arial"/>
                <w:i/>
                <w:sz w:val="20"/>
                <w:szCs w:val="20"/>
              </w:rPr>
              <w:t>(</w:t>
            </w:r>
            <w:r w:rsidR="00C60CD1" w:rsidRPr="00950DD2">
              <w:rPr>
                <w:rFonts w:ascii="Arial" w:eastAsia="Calibri" w:hAnsi="Arial" w:cs="Arial"/>
                <w:i/>
                <w:sz w:val="20"/>
                <w:szCs w:val="20"/>
              </w:rPr>
              <w:t>1</w:t>
            </w:r>
            <w:r w:rsidR="00296DB4">
              <w:rPr>
                <w:rFonts w:ascii="Arial" w:eastAsia="Calibri" w:hAnsi="Arial" w:cs="Arial"/>
                <w:i/>
                <w:sz w:val="20"/>
                <w:szCs w:val="20"/>
              </w:rPr>
              <w:t>5</w:t>
            </w:r>
            <w:r w:rsidR="00AD68A5">
              <w:rPr>
                <w:rFonts w:ascii="Arial" w:eastAsia="Calibri" w:hAnsi="Arial" w:cs="Arial"/>
                <w:i/>
                <w:sz w:val="20"/>
                <w:szCs w:val="20"/>
              </w:rPr>
              <w:t>.</w:t>
            </w:r>
            <w:r w:rsidR="008E5538">
              <w:rPr>
                <w:rFonts w:ascii="Arial" w:eastAsia="Calibri" w:hAnsi="Arial" w:cs="Arial"/>
                <w:i/>
                <w:sz w:val="20"/>
                <w:szCs w:val="20"/>
              </w:rPr>
              <w:t xml:space="preserve"> in 20</w:t>
            </w:r>
            <w:r w:rsidR="00C60CD1" w:rsidRPr="00950DD2">
              <w:rPr>
                <w:rFonts w:ascii="Arial" w:eastAsia="Calibri" w:hAnsi="Arial" w:cs="Arial"/>
                <w:i/>
                <w:sz w:val="20"/>
                <w:szCs w:val="20"/>
              </w:rPr>
              <w:t>.</w:t>
            </w:r>
            <w:r w:rsidR="00373EAA">
              <w:rPr>
                <w:rFonts w:ascii="Arial" w:eastAsia="Calibri" w:hAnsi="Arial" w:cs="Arial"/>
                <w:i/>
                <w:sz w:val="20"/>
                <w:szCs w:val="20"/>
              </w:rPr>
              <w:t> </w:t>
            </w:r>
            <w:r w:rsidR="00C60CD1" w:rsidRPr="00950DD2">
              <w:rPr>
                <w:rFonts w:ascii="Arial" w:eastAsia="Calibri" w:hAnsi="Arial" w:cs="Arial"/>
                <w:i/>
                <w:sz w:val="20"/>
                <w:szCs w:val="20"/>
              </w:rPr>
              <w:t>člen</w:t>
            </w:r>
            <w:r w:rsidRPr="00950DD2">
              <w:rPr>
                <w:rFonts w:ascii="Arial" w:eastAsia="Calibri" w:hAnsi="Arial" w:cs="Arial"/>
                <w:i/>
                <w:sz w:val="20"/>
                <w:szCs w:val="20"/>
              </w:rPr>
              <w:t xml:space="preserve"> predloga zakona)</w:t>
            </w:r>
          </w:p>
          <w:p w14:paraId="6D18BB38" w14:textId="77777777" w:rsidR="00AD68A5" w:rsidRDefault="00AD68A5" w:rsidP="00AD68A5">
            <w:pPr>
              <w:spacing w:after="0" w:line="276" w:lineRule="auto"/>
              <w:jc w:val="both"/>
              <w:rPr>
                <w:rFonts w:ascii="Arial" w:hAnsi="Arial" w:cs="Arial"/>
                <w:sz w:val="20"/>
                <w:szCs w:val="20"/>
              </w:rPr>
            </w:pPr>
            <w:r>
              <w:rPr>
                <w:rFonts w:ascii="Arial" w:hAnsi="Arial" w:cs="Arial"/>
                <w:sz w:val="20"/>
                <w:szCs w:val="20"/>
              </w:rPr>
              <w:t>V ZDoh-2 se prenesejo že veljavne rešitve instituta namenitve dela dohodnine za donacije, trenutno urejene v drugih zakonih. Gre za višino deleža dohodnine, ki jo lahko rezident nameni upravičencem do donacij, to je 1 % odmerjene dohodnine, in pa za nove upravičence do donacij iz dela dohodnine, to so ustanovitelji šolskih skladov, katerim je višina donacije omejena na največ 0,3 % dohodnine. Dodatno se jasno opredeli kot upravičence do donacij tudi sestavne dele registriranih cerkva in drugih verskih skupnosti, ki so pridobili pravno osebnost.</w:t>
            </w:r>
          </w:p>
          <w:p w14:paraId="1AAB3BA9" w14:textId="77777777" w:rsidR="001955FF" w:rsidRPr="00F120D9" w:rsidRDefault="001955FF" w:rsidP="00E858D1">
            <w:pPr>
              <w:spacing w:after="0" w:line="276" w:lineRule="auto"/>
              <w:contextualSpacing/>
              <w:jc w:val="both"/>
              <w:rPr>
                <w:rFonts w:ascii="Arial" w:eastAsia="Times New Roman" w:hAnsi="Arial" w:cs="Arial"/>
                <w:b/>
                <w:bCs/>
                <w:sz w:val="20"/>
                <w:szCs w:val="20"/>
                <w:lang w:eastAsia="sl-SI"/>
              </w:rPr>
            </w:pPr>
          </w:p>
          <w:p w14:paraId="7C987306" w14:textId="5E5FBBD4" w:rsidR="004513FD" w:rsidRPr="00F120D9" w:rsidRDefault="004513FD" w:rsidP="004513FD">
            <w:pPr>
              <w:overflowPunct w:val="0"/>
              <w:autoSpaceDE w:val="0"/>
              <w:autoSpaceDN w:val="0"/>
              <w:adjustRightInd w:val="0"/>
              <w:spacing w:after="0" w:line="276" w:lineRule="auto"/>
              <w:contextualSpacing/>
              <w:jc w:val="both"/>
              <w:textAlignment w:val="baseline"/>
              <w:rPr>
                <w:rFonts w:ascii="Arial" w:eastAsia="Calibri" w:hAnsi="Arial" w:cs="Arial"/>
                <w:b/>
                <w:bCs/>
                <w:sz w:val="20"/>
                <w:szCs w:val="20"/>
                <w:lang w:eastAsia="sl-SI"/>
              </w:rPr>
            </w:pPr>
            <w:r w:rsidRPr="00F120D9">
              <w:rPr>
                <w:rFonts w:ascii="Arial" w:eastAsia="Times New Roman" w:hAnsi="Arial" w:cs="Arial"/>
                <w:b/>
                <w:bCs/>
                <w:sz w:val="20"/>
                <w:szCs w:val="20"/>
                <w:lang w:eastAsia="sl-SI"/>
              </w:rPr>
              <w:t xml:space="preserve">2.4 </w:t>
            </w:r>
            <w:r w:rsidRPr="00F120D9">
              <w:rPr>
                <w:rFonts w:ascii="Arial" w:eastAsia="Calibri" w:hAnsi="Arial" w:cs="Arial"/>
                <w:b/>
                <w:bCs/>
                <w:sz w:val="20"/>
                <w:szCs w:val="20"/>
                <w:lang w:eastAsia="sl-SI"/>
              </w:rPr>
              <w:t>Normativna usklajenost predloga zakona s predpisi, ki jih je tudi treba sprejeti oziroma spremeniti in »paketno« obravnavati:</w:t>
            </w:r>
          </w:p>
          <w:p w14:paraId="7F81AAE8" w14:textId="77777777" w:rsidR="004513FD" w:rsidRPr="00F120D9" w:rsidRDefault="004513FD" w:rsidP="004513FD">
            <w:pPr>
              <w:overflowPunct w:val="0"/>
              <w:autoSpaceDE w:val="0"/>
              <w:autoSpaceDN w:val="0"/>
              <w:adjustRightInd w:val="0"/>
              <w:spacing w:after="0" w:line="276" w:lineRule="auto"/>
              <w:contextualSpacing/>
              <w:jc w:val="both"/>
              <w:textAlignment w:val="baseline"/>
              <w:rPr>
                <w:rFonts w:ascii="Arial" w:eastAsia="Times New Roman" w:hAnsi="Arial" w:cs="Arial"/>
                <w:color w:val="A6A6A6"/>
                <w:sz w:val="20"/>
                <w:szCs w:val="20"/>
                <w:lang w:eastAsia="sl-SI"/>
              </w:rPr>
            </w:pPr>
          </w:p>
          <w:p w14:paraId="2C868A15" w14:textId="77777777" w:rsidR="004513FD" w:rsidRPr="009926FB" w:rsidRDefault="004513FD" w:rsidP="004513FD">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r w:rsidRPr="009926FB">
              <w:rPr>
                <w:rFonts w:ascii="Arial" w:eastAsia="Times New Roman" w:hAnsi="Arial" w:cs="Arial"/>
                <w:sz w:val="20"/>
                <w:szCs w:val="20"/>
                <w:lang w:eastAsia="sl-SI"/>
              </w:rPr>
              <w:t>/</w:t>
            </w:r>
          </w:p>
          <w:p w14:paraId="406C0E96" w14:textId="77777777" w:rsidR="004513FD" w:rsidRPr="00F120D9" w:rsidRDefault="004513FD" w:rsidP="004513FD">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p>
          <w:p w14:paraId="0C786ADC" w14:textId="7436336C" w:rsidR="004513FD" w:rsidRPr="009926FB" w:rsidRDefault="004513FD" w:rsidP="004513FD">
            <w:pPr>
              <w:overflowPunct w:val="0"/>
              <w:autoSpaceDE w:val="0"/>
              <w:autoSpaceDN w:val="0"/>
              <w:adjustRightInd w:val="0"/>
              <w:spacing w:after="0" w:line="276" w:lineRule="auto"/>
              <w:contextualSpacing/>
              <w:jc w:val="both"/>
              <w:textAlignment w:val="baseline"/>
              <w:rPr>
                <w:rFonts w:ascii="Arial" w:eastAsia="Times New Roman" w:hAnsi="Arial" w:cs="Arial"/>
                <w:b/>
                <w:bCs/>
                <w:sz w:val="20"/>
                <w:szCs w:val="20"/>
                <w:lang w:eastAsia="sl-SI"/>
              </w:rPr>
            </w:pPr>
            <w:r w:rsidRPr="009926FB">
              <w:rPr>
                <w:rFonts w:ascii="Arial" w:eastAsia="Times New Roman" w:hAnsi="Arial" w:cs="Arial"/>
                <w:b/>
                <w:bCs/>
                <w:sz w:val="20"/>
                <w:szCs w:val="20"/>
                <w:lang w:eastAsia="sl-SI"/>
              </w:rPr>
              <w:t>2.5 Podzakonski akti</w:t>
            </w:r>
          </w:p>
          <w:p w14:paraId="02A82FA6" w14:textId="77777777" w:rsidR="004513FD" w:rsidRPr="00F120D9" w:rsidRDefault="004513FD" w:rsidP="004513FD">
            <w:pPr>
              <w:spacing w:after="0" w:line="276" w:lineRule="auto"/>
              <w:contextualSpacing/>
              <w:jc w:val="both"/>
              <w:rPr>
                <w:rFonts w:ascii="Arial" w:eastAsia="Calibri" w:hAnsi="Arial" w:cs="Arial"/>
                <w:sz w:val="20"/>
                <w:szCs w:val="20"/>
              </w:rPr>
            </w:pPr>
          </w:p>
          <w:p w14:paraId="3E6C87AC" w14:textId="77777777" w:rsidR="00FC6779" w:rsidRPr="006C5909" w:rsidRDefault="00FC6779" w:rsidP="00FC6779">
            <w:pPr>
              <w:spacing w:after="0" w:line="276" w:lineRule="auto"/>
              <w:contextualSpacing/>
              <w:jc w:val="both"/>
              <w:rPr>
                <w:rFonts w:ascii="Arial" w:eastAsia="Calibri" w:hAnsi="Arial" w:cs="Arial"/>
                <w:sz w:val="20"/>
                <w:szCs w:val="20"/>
              </w:rPr>
            </w:pPr>
            <w:r w:rsidRPr="006C5909">
              <w:rPr>
                <w:rFonts w:ascii="Arial" w:eastAsia="Calibri" w:hAnsi="Arial" w:cs="Arial"/>
                <w:sz w:val="20"/>
                <w:szCs w:val="20"/>
              </w:rPr>
              <w:t xml:space="preserve">Predstavljene rešitve zahtevajo spremembe oziroma dopolnitve: </w:t>
            </w:r>
          </w:p>
          <w:p w14:paraId="649D955E" w14:textId="77777777" w:rsidR="00FC6779" w:rsidRPr="006C5909" w:rsidRDefault="00FC6779" w:rsidP="00FC6779">
            <w:pPr>
              <w:spacing w:after="0" w:line="276" w:lineRule="auto"/>
              <w:contextualSpacing/>
              <w:jc w:val="both"/>
              <w:rPr>
                <w:rFonts w:ascii="Arial" w:eastAsia="Calibri" w:hAnsi="Arial" w:cs="Arial"/>
                <w:sz w:val="20"/>
                <w:szCs w:val="20"/>
              </w:rPr>
            </w:pPr>
            <w:r w:rsidRPr="006C5909">
              <w:rPr>
                <w:rFonts w:ascii="Arial" w:eastAsia="Calibri" w:hAnsi="Arial" w:cs="Arial"/>
                <w:sz w:val="20"/>
                <w:szCs w:val="20"/>
              </w:rPr>
              <w:t>1.</w:t>
            </w:r>
            <w:r w:rsidRPr="006C5909">
              <w:rPr>
                <w:rFonts w:ascii="Arial" w:eastAsia="Calibri" w:hAnsi="Arial" w:cs="Arial"/>
                <w:sz w:val="20"/>
                <w:szCs w:val="20"/>
              </w:rPr>
              <w:tab/>
              <w:t>podzakonskega akta, izdanega na podlagi ZDoh-2:</w:t>
            </w:r>
          </w:p>
          <w:p w14:paraId="0C7826B8" w14:textId="77777777" w:rsidR="00FC6779" w:rsidRPr="006C5909" w:rsidRDefault="00FC6779" w:rsidP="00076F4A">
            <w:pPr>
              <w:pStyle w:val="Odstavekseznama"/>
              <w:numPr>
                <w:ilvl w:val="0"/>
                <w:numId w:val="23"/>
              </w:numPr>
              <w:spacing w:line="276" w:lineRule="auto"/>
              <w:contextualSpacing/>
              <w:jc w:val="both"/>
              <w:rPr>
                <w:rFonts w:ascii="Arial" w:eastAsia="Calibri" w:hAnsi="Arial" w:cs="Arial"/>
                <w:sz w:val="20"/>
                <w:szCs w:val="20"/>
              </w:rPr>
            </w:pPr>
            <w:r w:rsidRPr="006C5909">
              <w:rPr>
                <w:rFonts w:ascii="Arial" w:eastAsia="Calibri" w:hAnsi="Arial" w:cs="Arial"/>
                <w:sz w:val="20"/>
                <w:szCs w:val="20"/>
              </w:rPr>
              <w:t xml:space="preserve">Uredba o namenitvi dela dohodnine za donacije; </w:t>
            </w:r>
          </w:p>
          <w:p w14:paraId="78722613" w14:textId="77777777" w:rsidR="00FC6779" w:rsidRPr="006C5909" w:rsidRDefault="00FC6779" w:rsidP="00FC6779">
            <w:pPr>
              <w:spacing w:after="0" w:line="276" w:lineRule="auto"/>
              <w:contextualSpacing/>
              <w:jc w:val="both"/>
              <w:rPr>
                <w:rFonts w:ascii="Arial" w:eastAsia="Times New Roman" w:hAnsi="Arial" w:cs="Arial"/>
                <w:sz w:val="20"/>
                <w:szCs w:val="20"/>
                <w:highlight w:val="yellow"/>
                <w:lang w:eastAsia="sl-SI"/>
              </w:rPr>
            </w:pPr>
            <w:r w:rsidRPr="006C5909">
              <w:rPr>
                <w:rFonts w:ascii="Arial" w:eastAsia="Calibri" w:hAnsi="Arial" w:cs="Arial"/>
                <w:sz w:val="20"/>
                <w:szCs w:val="20"/>
              </w:rPr>
              <w:t>2.</w:t>
            </w:r>
            <w:r w:rsidRPr="006C5909">
              <w:rPr>
                <w:rFonts w:ascii="Arial" w:eastAsia="Calibri" w:hAnsi="Arial" w:cs="Arial"/>
                <w:sz w:val="20"/>
                <w:szCs w:val="20"/>
              </w:rPr>
              <w:tab/>
              <w:t>podzakonskih aktov, izdanih na podlagi zakona, ki ureja davčni postopek:</w:t>
            </w:r>
          </w:p>
          <w:p w14:paraId="5EBEE8AE" w14:textId="06799FE9" w:rsidR="004513FD" w:rsidRPr="009926FB" w:rsidRDefault="00E777C4" w:rsidP="006C5909">
            <w:pPr>
              <w:numPr>
                <w:ilvl w:val="0"/>
                <w:numId w:val="16"/>
              </w:numPr>
              <w:spacing w:after="0" w:line="276" w:lineRule="auto"/>
              <w:contextualSpacing/>
              <w:jc w:val="both"/>
              <w:rPr>
                <w:rFonts w:ascii="Arial" w:eastAsia="Times New Roman" w:hAnsi="Arial" w:cs="Arial"/>
                <w:sz w:val="20"/>
                <w:szCs w:val="20"/>
                <w:lang w:eastAsia="sl-SI"/>
              </w:rPr>
            </w:pPr>
            <w:r w:rsidRPr="009926FB">
              <w:rPr>
                <w:rFonts w:ascii="Arial" w:eastAsia="Times New Roman" w:hAnsi="Arial" w:cs="Arial"/>
                <w:sz w:val="20"/>
                <w:szCs w:val="20"/>
                <w:lang w:eastAsia="sl-SI"/>
              </w:rPr>
              <w:t>Pravilnik o vsebini in obliki obračuna davčnih odtegljajev</w:t>
            </w:r>
            <w:r w:rsidR="004513FD" w:rsidRPr="009926FB">
              <w:rPr>
                <w:rFonts w:ascii="Arial" w:eastAsia="Times New Roman" w:hAnsi="Arial" w:cs="Arial"/>
                <w:sz w:val="20"/>
                <w:szCs w:val="20"/>
                <w:lang w:eastAsia="sl-SI"/>
              </w:rPr>
              <w:t xml:space="preserve">; </w:t>
            </w:r>
          </w:p>
          <w:p w14:paraId="5CF14BAB" w14:textId="515DBFFE" w:rsidR="004513FD" w:rsidRPr="00F120D9" w:rsidRDefault="004513FD" w:rsidP="004513FD">
            <w:pPr>
              <w:numPr>
                <w:ilvl w:val="0"/>
                <w:numId w:val="16"/>
              </w:numPr>
              <w:spacing w:after="0" w:line="276" w:lineRule="auto"/>
              <w:contextualSpacing/>
              <w:jc w:val="both"/>
              <w:rPr>
                <w:rFonts w:ascii="Arial" w:eastAsia="Times New Roman" w:hAnsi="Arial" w:cs="Arial"/>
                <w:sz w:val="20"/>
                <w:szCs w:val="20"/>
                <w:lang w:eastAsia="sl-SI"/>
              </w:rPr>
            </w:pPr>
            <w:r w:rsidRPr="00B74B49">
              <w:rPr>
                <w:rFonts w:ascii="Arial" w:eastAsia="Times New Roman" w:hAnsi="Arial" w:cs="Arial"/>
                <w:sz w:val="20"/>
                <w:szCs w:val="20"/>
                <w:lang w:eastAsia="sl-SI"/>
              </w:rPr>
              <w:t>Pravilnik o obrazcih za napovedi za odmero akontacije dohodnine ter obrazcih za napovedi za odmero dohodnine od dohodka iz kapitala in dohodka iz oddajanja premoženja v najem;</w:t>
            </w:r>
          </w:p>
          <w:p w14:paraId="425BD6E0" w14:textId="77777777" w:rsidR="004513FD" w:rsidRPr="00F120D9" w:rsidRDefault="004513FD" w:rsidP="004513FD">
            <w:pPr>
              <w:numPr>
                <w:ilvl w:val="0"/>
                <w:numId w:val="16"/>
              </w:numPr>
              <w:spacing w:after="0" w:line="276" w:lineRule="auto"/>
              <w:contextualSpacing/>
              <w:jc w:val="both"/>
              <w:rPr>
                <w:rFonts w:ascii="Arial" w:eastAsia="Times New Roman" w:hAnsi="Arial" w:cs="Arial"/>
                <w:sz w:val="20"/>
                <w:szCs w:val="20"/>
                <w:lang w:eastAsia="sl-SI"/>
              </w:rPr>
            </w:pPr>
            <w:r w:rsidRPr="00F120D9">
              <w:rPr>
                <w:rFonts w:ascii="Arial" w:eastAsia="Times New Roman" w:hAnsi="Arial" w:cs="Arial"/>
                <w:sz w:val="20"/>
                <w:szCs w:val="20"/>
                <w:lang w:eastAsia="sl-SI"/>
              </w:rPr>
              <w:t>Pravilnik o obrazcu informativnega izračuna dohodnine in obrazcu napovedi za odmero dohodnine;</w:t>
            </w:r>
          </w:p>
          <w:p w14:paraId="584F185B" w14:textId="19FE9234" w:rsidR="004513FD" w:rsidRPr="00F120D9" w:rsidRDefault="00100AAE" w:rsidP="00100AAE">
            <w:pPr>
              <w:numPr>
                <w:ilvl w:val="0"/>
                <w:numId w:val="16"/>
              </w:numPr>
              <w:spacing w:after="0" w:line="276" w:lineRule="auto"/>
              <w:contextualSpacing/>
              <w:jc w:val="both"/>
              <w:rPr>
                <w:rFonts w:ascii="Arial" w:eastAsia="Times New Roman" w:hAnsi="Arial" w:cs="Arial"/>
                <w:sz w:val="20"/>
                <w:szCs w:val="20"/>
                <w:lang w:eastAsia="sl-SI"/>
              </w:rPr>
            </w:pPr>
            <w:r w:rsidRPr="00F120D9">
              <w:rPr>
                <w:rFonts w:ascii="Arial" w:eastAsia="Times New Roman" w:hAnsi="Arial" w:cs="Arial"/>
                <w:sz w:val="20"/>
                <w:szCs w:val="20"/>
                <w:lang w:eastAsia="sl-SI"/>
              </w:rPr>
              <w:t>Pravilnik o davčnem obračunu akontacije dohodnine in dohodnine od dohodka iz dejavnosti</w:t>
            </w:r>
            <w:r w:rsidR="003D5ECE" w:rsidRPr="00F120D9">
              <w:rPr>
                <w:rFonts w:ascii="Arial" w:eastAsia="Times New Roman" w:hAnsi="Arial" w:cs="Arial"/>
                <w:sz w:val="20"/>
                <w:szCs w:val="20"/>
                <w:lang w:eastAsia="sl-SI"/>
              </w:rPr>
              <w:t>.</w:t>
            </w:r>
          </w:p>
          <w:p w14:paraId="298CCB94" w14:textId="6896F894" w:rsidR="00FA3DE9" w:rsidRPr="00F120D9" w:rsidRDefault="00FA3DE9" w:rsidP="004513FD">
            <w:pPr>
              <w:spacing w:after="0" w:line="276" w:lineRule="auto"/>
              <w:contextualSpacing/>
              <w:jc w:val="both"/>
              <w:rPr>
                <w:rFonts w:ascii="Arial" w:eastAsia="Calibri" w:hAnsi="Arial" w:cs="Arial"/>
              </w:rPr>
            </w:pPr>
          </w:p>
        </w:tc>
      </w:tr>
      <w:tr w:rsidR="004513FD" w:rsidRPr="004513FD" w14:paraId="7DFC344C" w14:textId="77777777" w:rsidTr="00D25583">
        <w:trPr>
          <w:trHeight w:val="80"/>
        </w:trPr>
        <w:tc>
          <w:tcPr>
            <w:tcW w:w="9434" w:type="dxa"/>
          </w:tcPr>
          <w:p w14:paraId="2D60DBDE" w14:textId="149B465F" w:rsidR="004513FD" w:rsidRPr="009926FB" w:rsidRDefault="004513FD" w:rsidP="006727E1">
            <w:pPr>
              <w:suppressAutoHyphens/>
              <w:overflowPunct w:val="0"/>
              <w:autoSpaceDE w:val="0"/>
              <w:autoSpaceDN w:val="0"/>
              <w:adjustRightInd w:val="0"/>
              <w:spacing w:after="0" w:line="276" w:lineRule="auto"/>
              <w:jc w:val="both"/>
              <w:textAlignment w:val="baseline"/>
              <w:outlineLvl w:val="3"/>
              <w:rPr>
                <w:rFonts w:ascii="Arial" w:eastAsia="Times New Roman" w:hAnsi="Arial" w:cs="Arial"/>
                <w:b/>
                <w:sz w:val="20"/>
                <w:szCs w:val="20"/>
                <w:lang w:eastAsia="sl-SI"/>
              </w:rPr>
            </w:pPr>
            <w:r w:rsidRPr="009926FB">
              <w:rPr>
                <w:rFonts w:ascii="Arial" w:eastAsia="Times New Roman" w:hAnsi="Arial" w:cs="Arial"/>
                <w:b/>
                <w:sz w:val="20"/>
                <w:szCs w:val="20"/>
                <w:lang w:eastAsia="sl-SI"/>
              </w:rPr>
              <w:lastRenderedPageBreak/>
              <w:t>3. OCENA FINANČNIH POSLEDIC PREDLOGA ZAKONA ZA DRŽAVNI PRORAČUN IN DRUGA JAVNA FINANČNA SREDSTVA</w:t>
            </w:r>
          </w:p>
          <w:p w14:paraId="77DF8C37" w14:textId="62ACA28A" w:rsidR="004513FD" w:rsidRDefault="004513FD" w:rsidP="009926FB">
            <w:pPr>
              <w:suppressAutoHyphens/>
              <w:overflowPunct w:val="0"/>
              <w:autoSpaceDE w:val="0"/>
              <w:autoSpaceDN w:val="0"/>
              <w:adjustRightInd w:val="0"/>
              <w:spacing w:after="0" w:line="276" w:lineRule="auto"/>
              <w:jc w:val="both"/>
              <w:textAlignment w:val="baseline"/>
              <w:outlineLvl w:val="3"/>
              <w:rPr>
                <w:rFonts w:ascii="Arial" w:eastAsia="Times New Roman" w:hAnsi="Arial" w:cs="Arial"/>
                <w:b/>
                <w:bCs/>
                <w:sz w:val="20"/>
                <w:szCs w:val="20"/>
                <w:lang w:eastAsia="sl-SI"/>
              </w:rPr>
            </w:pPr>
          </w:p>
          <w:p w14:paraId="13E477DB" w14:textId="21B7350E" w:rsidR="00FD6660" w:rsidRPr="00FD6660" w:rsidRDefault="00FD6660" w:rsidP="009926FB">
            <w:pPr>
              <w:suppressAutoHyphens/>
              <w:overflowPunct w:val="0"/>
              <w:autoSpaceDE w:val="0"/>
              <w:autoSpaceDN w:val="0"/>
              <w:adjustRightInd w:val="0"/>
              <w:spacing w:after="0" w:line="276" w:lineRule="auto"/>
              <w:jc w:val="both"/>
              <w:textAlignment w:val="baseline"/>
              <w:outlineLvl w:val="3"/>
              <w:rPr>
                <w:rFonts w:ascii="Arial" w:eastAsia="Times New Roman" w:hAnsi="Arial" w:cs="Arial"/>
                <w:sz w:val="20"/>
                <w:szCs w:val="20"/>
                <w:lang w:eastAsia="sl-SI"/>
              </w:rPr>
            </w:pPr>
            <w:r w:rsidRPr="00FD6660">
              <w:rPr>
                <w:rFonts w:ascii="Arial" w:eastAsia="Times New Roman" w:hAnsi="Arial" w:cs="Arial"/>
                <w:sz w:val="20"/>
                <w:szCs w:val="20"/>
                <w:lang w:eastAsia="sl-SI"/>
              </w:rPr>
              <w:t>Predlog zakona bo imel vpliv na državni proračun in druga javnofinančna sredstva.</w:t>
            </w:r>
          </w:p>
          <w:p w14:paraId="4E921673" w14:textId="77777777" w:rsidR="00FD6660" w:rsidRPr="009926FB" w:rsidRDefault="00FD6660" w:rsidP="009926FB">
            <w:pPr>
              <w:suppressAutoHyphens/>
              <w:overflowPunct w:val="0"/>
              <w:autoSpaceDE w:val="0"/>
              <w:autoSpaceDN w:val="0"/>
              <w:adjustRightInd w:val="0"/>
              <w:spacing w:after="0" w:line="276" w:lineRule="auto"/>
              <w:jc w:val="both"/>
              <w:textAlignment w:val="baseline"/>
              <w:outlineLvl w:val="3"/>
              <w:rPr>
                <w:rFonts w:ascii="Arial" w:eastAsia="Times New Roman" w:hAnsi="Arial" w:cs="Arial"/>
                <w:b/>
                <w:bCs/>
                <w:sz w:val="20"/>
                <w:szCs w:val="20"/>
                <w:lang w:eastAsia="sl-SI"/>
              </w:rPr>
            </w:pPr>
          </w:p>
          <w:p w14:paraId="629FAC7F" w14:textId="4975B1F0" w:rsidR="00471777" w:rsidRPr="009926FB" w:rsidRDefault="00471777" w:rsidP="006727E1">
            <w:pPr>
              <w:spacing w:after="0" w:line="276" w:lineRule="auto"/>
              <w:jc w:val="both"/>
              <w:rPr>
                <w:rFonts w:ascii="Arial" w:hAnsi="Arial" w:cs="Arial"/>
                <w:sz w:val="20"/>
                <w:szCs w:val="20"/>
              </w:rPr>
            </w:pPr>
            <w:r w:rsidRPr="009926FB">
              <w:rPr>
                <w:rFonts w:ascii="Arial" w:hAnsi="Arial" w:cs="Arial"/>
                <w:sz w:val="20"/>
                <w:szCs w:val="20"/>
              </w:rPr>
              <w:t>3.1</w:t>
            </w:r>
            <w:r w:rsidR="001955FF" w:rsidRPr="009926FB">
              <w:rPr>
                <w:rFonts w:ascii="Arial" w:hAnsi="Arial" w:cs="Arial"/>
                <w:sz w:val="20"/>
                <w:szCs w:val="20"/>
              </w:rPr>
              <w:t xml:space="preserve"> </w:t>
            </w:r>
            <w:r w:rsidRPr="009926FB">
              <w:rPr>
                <w:rFonts w:ascii="Arial" w:hAnsi="Arial" w:cs="Arial"/>
                <w:sz w:val="20"/>
                <w:szCs w:val="20"/>
              </w:rPr>
              <w:t>Finančni učinek predlaganih rešitev</w:t>
            </w:r>
          </w:p>
          <w:p w14:paraId="7421E87F" w14:textId="7CA68DD7" w:rsidR="00471777" w:rsidRPr="009926FB" w:rsidRDefault="00471777" w:rsidP="009926FB">
            <w:pPr>
              <w:spacing w:after="0" w:line="276" w:lineRule="auto"/>
              <w:jc w:val="both"/>
              <w:rPr>
                <w:rFonts w:ascii="Arial" w:hAnsi="Arial" w:cs="Arial"/>
                <w:sz w:val="20"/>
                <w:szCs w:val="20"/>
              </w:rPr>
            </w:pPr>
            <w:r w:rsidRPr="009926FB">
              <w:rPr>
                <w:rFonts w:ascii="Arial" w:hAnsi="Arial" w:cs="Arial"/>
                <w:sz w:val="20"/>
                <w:szCs w:val="20"/>
              </w:rPr>
              <w:t xml:space="preserve">Ocenjujemo, da bodo predlagane rešitve zakona v letu 2023 </w:t>
            </w:r>
            <w:r w:rsidR="16EDE4F9" w:rsidRPr="009926FB">
              <w:rPr>
                <w:rFonts w:ascii="Arial" w:hAnsi="Arial" w:cs="Arial"/>
                <w:sz w:val="20"/>
                <w:szCs w:val="20"/>
              </w:rPr>
              <w:t>okrepile</w:t>
            </w:r>
            <w:r w:rsidR="00AE071D" w:rsidRPr="009926FB">
              <w:rPr>
                <w:rFonts w:ascii="Arial" w:hAnsi="Arial" w:cs="Arial"/>
                <w:sz w:val="20"/>
                <w:szCs w:val="20"/>
              </w:rPr>
              <w:t xml:space="preserve"> javnofinančne</w:t>
            </w:r>
            <w:r w:rsidRPr="009926FB">
              <w:rPr>
                <w:rFonts w:ascii="Arial" w:hAnsi="Arial" w:cs="Arial"/>
                <w:sz w:val="20"/>
                <w:szCs w:val="20"/>
              </w:rPr>
              <w:t xml:space="preserve"> prihodke iz naslova dohodnine</w:t>
            </w:r>
            <w:r w:rsidR="00AE071D" w:rsidRPr="009926FB">
              <w:rPr>
                <w:rFonts w:ascii="Arial" w:hAnsi="Arial" w:cs="Arial"/>
                <w:sz w:val="20"/>
                <w:szCs w:val="20"/>
              </w:rPr>
              <w:t xml:space="preserve">. </w:t>
            </w:r>
            <w:r w:rsidR="01034C1D" w:rsidRPr="009926FB">
              <w:rPr>
                <w:rFonts w:ascii="Arial" w:hAnsi="Arial" w:cs="Arial"/>
                <w:sz w:val="20"/>
                <w:szCs w:val="20"/>
              </w:rPr>
              <w:t>O</w:t>
            </w:r>
            <w:r w:rsidR="5807B484" w:rsidRPr="009926FB">
              <w:rPr>
                <w:rFonts w:ascii="Arial" w:hAnsi="Arial" w:cs="Arial"/>
                <w:sz w:val="20"/>
                <w:szCs w:val="20"/>
              </w:rPr>
              <w:t>dmerjena</w:t>
            </w:r>
            <w:r w:rsidR="003E5457" w:rsidRPr="009926FB">
              <w:rPr>
                <w:rFonts w:ascii="Arial" w:hAnsi="Arial" w:cs="Arial"/>
                <w:sz w:val="20"/>
                <w:szCs w:val="20"/>
              </w:rPr>
              <w:t xml:space="preserve"> dohodnin</w:t>
            </w:r>
            <w:r w:rsidR="5807B484" w:rsidRPr="009926FB">
              <w:rPr>
                <w:rFonts w:ascii="Arial" w:hAnsi="Arial" w:cs="Arial"/>
                <w:sz w:val="20"/>
                <w:szCs w:val="20"/>
              </w:rPr>
              <w:t>a</w:t>
            </w:r>
            <w:r w:rsidR="003E5457" w:rsidRPr="009926FB">
              <w:rPr>
                <w:rFonts w:ascii="Arial" w:hAnsi="Arial" w:cs="Arial"/>
                <w:sz w:val="20"/>
                <w:szCs w:val="20"/>
              </w:rPr>
              <w:t xml:space="preserve"> </w:t>
            </w:r>
            <w:r w:rsidR="5807B484" w:rsidRPr="009926FB">
              <w:rPr>
                <w:rFonts w:ascii="Arial" w:hAnsi="Arial" w:cs="Arial"/>
                <w:sz w:val="20"/>
                <w:szCs w:val="20"/>
              </w:rPr>
              <w:t>za leto 2023</w:t>
            </w:r>
            <w:r w:rsidR="00E319C8" w:rsidRPr="009926FB">
              <w:rPr>
                <w:rFonts w:ascii="Arial" w:hAnsi="Arial" w:cs="Arial"/>
                <w:sz w:val="20"/>
                <w:szCs w:val="20"/>
              </w:rPr>
              <w:t xml:space="preserve"> se bo</w:t>
            </w:r>
            <w:r w:rsidR="006102DE" w:rsidRPr="009926FB">
              <w:rPr>
                <w:rFonts w:ascii="Arial" w:hAnsi="Arial" w:cs="Arial"/>
                <w:sz w:val="20"/>
                <w:szCs w:val="20"/>
              </w:rPr>
              <w:t xml:space="preserve"> </w:t>
            </w:r>
            <w:r w:rsidR="5807B484" w:rsidRPr="009926FB">
              <w:rPr>
                <w:rFonts w:ascii="Arial" w:hAnsi="Arial" w:cs="Arial"/>
                <w:sz w:val="20"/>
                <w:szCs w:val="20"/>
              </w:rPr>
              <w:t>poveč</w:t>
            </w:r>
            <w:r w:rsidR="46A2A3D3" w:rsidRPr="009926FB">
              <w:rPr>
                <w:rFonts w:ascii="Arial" w:hAnsi="Arial" w:cs="Arial"/>
                <w:sz w:val="20"/>
                <w:szCs w:val="20"/>
              </w:rPr>
              <w:t xml:space="preserve">ala za okoli </w:t>
            </w:r>
            <w:r w:rsidR="009D3020">
              <w:rPr>
                <w:rFonts w:ascii="Arial" w:hAnsi="Arial" w:cs="Arial"/>
                <w:sz w:val="20"/>
                <w:szCs w:val="20"/>
              </w:rPr>
              <w:t>1</w:t>
            </w:r>
            <w:r w:rsidR="2F2CE5B4">
              <w:rPr>
                <w:rFonts w:ascii="Arial" w:hAnsi="Arial" w:cs="Arial"/>
                <w:sz w:val="20"/>
                <w:szCs w:val="20"/>
              </w:rPr>
              <w:t>1</w:t>
            </w:r>
            <w:r w:rsidR="00EF2B87">
              <w:rPr>
                <w:rFonts w:ascii="Arial" w:hAnsi="Arial" w:cs="Arial"/>
                <w:sz w:val="20"/>
                <w:szCs w:val="20"/>
              </w:rPr>
              <w:t>2</w:t>
            </w:r>
            <w:r w:rsidR="006102DE" w:rsidRPr="009926FB">
              <w:rPr>
                <w:rFonts w:ascii="Arial" w:hAnsi="Arial" w:cs="Arial"/>
                <w:sz w:val="20"/>
                <w:szCs w:val="20"/>
              </w:rPr>
              <w:t xml:space="preserve"> mio</w:t>
            </w:r>
            <w:r w:rsidR="00373EAA">
              <w:rPr>
                <w:rFonts w:ascii="Arial" w:hAnsi="Arial" w:cs="Arial"/>
                <w:sz w:val="20"/>
                <w:szCs w:val="20"/>
              </w:rPr>
              <w:t> </w:t>
            </w:r>
            <w:r w:rsidR="006102DE" w:rsidRPr="009926FB">
              <w:rPr>
                <w:rFonts w:ascii="Arial" w:hAnsi="Arial" w:cs="Arial"/>
                <w:sz w:val="20"/>
                <w:szCs w:val="20"/>
              </w:rPr>
              <w:t>EUR</w:t>
            </w:r>
            <w:r w:rsidR="009926FB">
              <w:rPr>
                <w:rFonts w:ascii="Arial" w:hAnsi="Arial" w:cs="Arial"/>
                <w:sz w:val="20"/>
                <w:szCs w:val="20"/>
              </w:rPr>
              <w:t xml:space="preserve"> </w:t>
            </w:r>
            <w:r w:rsidR="46A2A3D3" w:rsidRPr="009926FB">
              <w:rPr>
                <w:rFonts w:ascii="Arial" w:hAnsi="Arial" w:cs="Arial"/>
                <w:sz w:val="20"/>
                <w:szCs w:val="20"/>
              </w:rPr>
              <w:t>glede</w:t>
            </w:r>
            <w:r w:rsidR="00A919FD" w:rsidRPr="009926FB">
              <w:rPr>
                <w:rFonts w:ascii="Arial" w:hAnsi="Arial" w:cs="Arial"/>
                <w:sz w:val="20"/>
                <w:szCs w:val="20"/>
              </w:rPr>
              <w:t xml:space="preserve"> </w:t>
            </w:r>
            <w:r w:rsidR="46A2A3D3" w:rsidRPr="009926FB">
              <w:rPr>
                <w:rFonts w:ascii="Arial" w:hAnsi="Arial" w:cs="Arial"/>
                <w:sz w:val="20"/>
                <w:szCs w:val="20"/>
              </w:rPr>
              <w:t xml:space="preserve">na dohodnino, ki </w:t>
            </w:r>
            <w:r w:rsidR="11183893" w:rsidRPr="009926FB">
              <w:rPr>
                <w:rFonts w:ascii="Arial" w:hAnsi="Arial" w:cs="Arial"/>
                <w:sz w:val="20"/>
                <w:szCs w:val="20"/>
              </w:rPr>
              <w:t xml:space="preserve">bi bila odmerjena, če bi veljal </w:t>
            </w:r>
            <w:r w:rsidR="00A919FD" w:rsidRPr="009926FB">
              <w:rPr>
                <w:rFonts w:ascii="Arial" w:hAnsi="Arial" w:cs="Arial"/>
                <w:sz w:val="20"/>
                <w:szCs w:val="20"/>
              </w:rPr>
              <w:t>trenutn</w:t>
            </w:r>
            <w:r w:rsidR="005E38EB" w:rsidRPr="009926FB">
              <w:rPr>
                <w:rFonts w:ascii="Arial" w:hAnsi="Arial" w:cs="Arial"/>
                <w:sz w:val="20"/>
                <w:szCs w:val="20"/>
              </w:rPr>
              <w:t>i</w:t>
            </w:r>
            <w:r w:rsidR="11183893" w:rsidRPr="009926FB">
              <w:rPr>
                <w:rFonts w:ascii="Arial" w:hAnsi="Arial" w:cs="Arial"/>
                <w:sz w:val="20"/>
                <w:szCs w:val="20"/>
              </w:rPr>
              <w:t xml:space="preserve"> sistem z</w:t>
            </w:r>
            <w:r w:rsidR="3216FB61" w:rsidRPr="009926FB">
              <w:rPr>
                <w:rFonts w:ascii="Arial" w:hAnsi="Arial" w:cs="Arial"/>
                <w:sz w:val="20"/>
                <w:szCs w:val="20"/>
              </w:rPr>
              <w:t>a leto 2023</w:t>
            </w:r>
            <w:r w:rsidR="00B81274" w:rsidRPr="009926FB">
              <w:rPr>
                <w:rFonts w:ascii="Arial" w:hAnsi="Arial" w:cs="Arial"/>
                <w:sz w:val="20"/>
                <w:szCs w:val="20"/>
              </w:rPr>
              <w:t>.</w:t>
            </w:r>
            <w:r w:rsidR="006102DE" w:rsidRPr="009926FB">
              <w:rPr>
                <w:rFonts w:ascii="Arial" w:hAnsi="Arial" w:cs="Arial"/>
                <w:sz w:val="20"/>
                <w:szCs w:val="20"/>
              </w:rPr>
              <w:t xml:space="preserve"> </w:t>
            </w:r>
            <w:r w:rsidR="63248CE6" w:rsidRPr="009926FB">
              <w:rPr>
                <w:rFonts w:ascii="Arial" w:eastAsia="Arial" w:hAnsi="Arial" w:cs="Arial"/>
                <w:sz w:val="20"/>
                <w:szCs w:val="20"/>
              </w:rPr>
              <w:t>Prav tako spremembe pomenijo, da ne bo prišlo do dodatnega znižanja odmerjene dohodnine zaradi dodatnih zvišanj splošne olajšave v let</w:t>
            </w:r>
            <w:r w:rsidR="00E319C8" w:rsidRPr="009926FB">
              <w:rPr>
                <w:rFonts w:ascii="Arial" w:eastAsia="Arial" w:hAnsi="Arial" w:cs="Arial"/>
                <w:sz w:val="20"/>
                <w:szCs w:val="20"/>
              </w:rPr>
              <w:t>ih</w:t>
            </w:r>
            <w:r w:rsidR="63248CE6" w:rsidRPr="009926FB">
              <w:rPr>
                <w:rFonts w:ascii="Arial" w:eastAsia="Arial" w:hAnsi="Arial" w:cs="Arial"/>
                <w:sz w:val="20"/>
                <w:szCs w:val="20"/>
              </w:rPr>
              <w:t xml:space="preserve"> 2024 in 2025, in sicer po oceni dodatno za okoli 180 mio</w:t>
            </w:r>
            <w:r w:rsidR="008C1477">
              <w:rPr>
                <w:rFonts w:ascii="Arial" w:eastAsia="Arial" w:hAnsi="Arial" w:cs="Arial"/>
                <w:sz w:val="20"/>
                <w:szCs w:val="20"/>
              </w:rPr>
              <w:t> </w:t>
            </w:r>
            <w:r w:rsidR="63248CE6" w:rsidRPr="009926FB">
              <w:rPr>
                <w:rFonts w:ascii="Arial" w:eastAsia="Arial" w:hAnsi="Arial" w:cs="Arial"/>
                <w:sz w:val="20"/>
                <w:szCs w:val="20"/>
              </w:rPr>
              <w:t>EUR v letu 2024 in dodan</w:t>
            </w:r>
            <w:r w:rsidR="005E38EB" w:rsidRPr="009926FB">
              <w:rPr>
                <w:rFonts w:ascii="Arial" w:eastAsia="Arial" w:hAnsi="Arial" w:cs="Arial"/>
                <w:sz w:val="20"/>
                <w:szCs w:val="20"/>
              </w:rPr>
              <w:t>o</w:t>
            </w:r>
            <w:r w:rsidR="63248CE6" w:rsidRPr="009926FB">
              <w:rPr>
                <w:rFonts w:ascii="Arial" w:eastAsia="Arial" w:hAnsi="Arial" w:cs="Arial"/>
                <w:sz w:val="20"/>
                <w:szCs w:val="20"/>
              </w:rPr>
              <w:t xml:space="preserve"> </w:t>
            </w:r>
            <w:r w:rsidR="7F2345B6" w:rsidRPr="009926FB">
              <w:rPr>
                <w:rFonts w:ascii="Arial" w:eastAsia="Arial" w:hAnsi="Arial" w:cs="Arial"/>
                <w:sz w:val="20"/>
                <w:szCs w:val="20"/>
              </w:rPr>
              <w:t>17</w:t>
            </w:r>
            <w:r w:rsidR="1E990FF1" w:rsidRPr="009926FB">
              <w:rPr>
                <w:rFonts w:ascii="Arial" w:eastAsia="Arial" w:hAnsi="Arial" w:cs="Arial"/>
                <w:sz w:val="20"/>
                <w:szCs w:val="20"/>
              </w:rPr>
              <w:t>0</w:t>
            </w:r>
            <w:r w:rsidR="63248CE6" w:rsidRPr="009926FB">
              <w:rPr>
                <w:rFonts w:ascii="Arial" w:eastAsia="Arial" w:hAnsi="Arial" w:cs="Arial"/>
                <w:sz w:val="20"/>
                <w:szCs w:val="20"/>
              </w:rPr>
              <w:t xml:space="preserve"> mio</w:t>
            </w:r>
            <w:r w:rsidR="008C1477">
              <w:rPr>
                <w:rFonts w:ascii="Arial" w:eastAsia="Arial" w:hAnsi="Arial" w:cs="Arial"/>
                <w:sz w:val="20"/>
                <w:szCs w:val="20"/>
              </w:rPr>
              <w:t> </w:t>
            </w:r>
            <w:r w:rsidR="63248CE6" w:rsidRPr="009926FB">
              <w:rPr>
                <w:rFonts w:ascii="Arial" w:eastAsia="Arial" w:hAnsi="Arial" w:cs="Arial"/>
                <w:sz w:val="20"/>
                <w:szCs w:val="20"/>
              </w:rPr>
              <w:t>EUR v letu 2025</w:t>
            </w:r>
            <w:r w:rsidR="006102DE" w:rsidRPr="009926FB">
              <w:rPr>
                <w:rFonts w:ascii="Arial" w:hAnsi="Arial" w:cs="Arial"/>
                <w:sz w:val="20"/>
                <w:szCs w:val="20"/>
              </w:rPr>
              <w:t>.</w:t>
            </w:r>
          </w:p>
          <w:p w14:paraId="2D6095A1" w14:textId="6D58FE67" w:rsidR="006102DE" w:rsidRPr="009926FB" w:rsidRDefault="006102DE" w:rsidP="006727E1">
            <w:pPr>
              <w:spacing w:after="0" w:line="276" w:lineRule="auto"/>
              <w:jc w:val="both"/>
              <w:rPr>
                <w:rFonts w:ascii="Arial" w:hAnsi="Arial" w:cs="Arial"/>
                <w:sz w:val="20"/>
                <w:szCs w:val="20"/>
              </w:rPr>
            </w:pPr>
          </w:p>
          <w:p w14:paraId="0A24A91C" w14:textId="1FE243EC" w:rsidR="006102DE" w:rsidRPr="009926FB" w:rsidRDefault="006102DE" w:rsidP="006727E1">
            <w:pPr>
              <w:spacing w:after="0" w:line="276" w:lineRule="auto"/>
              <w:jc w:val="both"/>
              <w:rPr>
                <w:rFonts w:ascii="Arial" w:hAnsi="Arial" w:cs="Arial"/>
                <w:sz w:val="20"/>
                <w:szCs w:val="20"/>
              </w:rPr>
            </w:pPr>
            <w:r w:rsidRPr="009926FB">
              <w:rPr>
                <w:rFonts w:ascii="Arial" w:hAnsi="Arial" w:cs="Arial"/>
                <w:sz w:val="20"/>
                <w:szCs w:val="20"/>
              </w:rPr>
              <w:t xml:space="preserve">Z vidika vpliva na prihodke občin izpostavljamo, da </w:t>
            </w:r>
            <w:r w:rsidR="00E319C8" w:rsidRPr="009926FB">
              <w:rPr>
                <w:rFonts w:ascii="Arial" w:hAnsi="Arial" w:cs="Arial"/>
                <w:sz w:val="20"/>
                <w:szCs w:val="20"/>
              </w:rPr>
              <w:t xml:space="preserve">bo </w:t>
            </w:r>
            <w:r w:rsidRPr="009926FB">
              <w:rPr>
                <w:rFonts w:ascii="Arial" w:hAnsi="Arial" w:cs="Arial"/>
                <w:sz w:val="20"/>
                <w:szCs w:val="20"/>
              </w:rPr>
              <w:t xml:space="preserve">ob upoštevanju, da bodo rešitve zakona vplivale na prihodke državnega proračuna v letu 2023, to pomenilo, da bodo pozitivni učinki v prihodkih občinskih proračunov v letu 2025. </w:t>
            </w:r>
          </w:p>
          <w:p w14:paraId="3EB0B753" w14:textId="69D6F0C8" w:rsidR="00471777" w:rsidRPr="009926FB" w:rsidRDefault="00471777" w:rsidP="006727E1">
            <w:pPr>
              <w:spacing w:after="0" w:line="276" w:lineRule="auto"/>
              <w:jc w:val="both"/>
              <w:rPr>
                <w:rFonts w:ascii="Arial" w:hAnsi="Arial" w:cs="Arial"/>
                <w:sz w:val="20"/>
                <w:szCs w:val="20"/>
              </w:rPr>
            </w:pPr>
          </w:p>
          <w:p w14:paraId="75E00D48" w14:textId="4F1A2077" w:rsidR="00AE071D" w:rsidRPr="009926FB" w:rsidRDefault="008C1477" w:rsidP="006727E1">
            <w:pPr>
              <w:spacing w:after="0" w:line="276" w:lineRule="auto"/>
              <w:jc w:val="both"/>
              <w:rPr>
                <w:rFonts w:ascii="Arial" w:hAnsi="Arial" w:cs="Arial"/>
                <w:sz w:val="20"/>
                <w:szCs w:val="20"/>
              </w:rPr>
            </w:pPr>
            <w:r>
              <w:rPr>
                <w:rFonts w:ascii="Arial" w:hAnsi="Arial" w:cs="Arial"/>
                <w:sz w:val="20"/>
                <w:szCs w:val="20"/>
              </w:rPr>
              <w:lastRenderedPageBreak/>
              <w:t>Hkrati</w:t>
            </w:r>
            <w:r w:rsidR="005C00C3">
              <w:rPr>
                <w:rFonts w:ascii="Arial" w:hAnsi="Arial" w:cs="Arial"/>
                <w:sz w:val="20"/>
                <w:szCs w:val="20"/>
              </w:rPr>
              <w:t xml:space="preserve"> je </w:t>
            </w:r>
            <w:r>
              <w:rPr>
                <w:rFonts w:ascii="Arial" w:hAnsi="Arial" w:cs="Arial"/>
                <w:sz w:val="20"/>
                <w:szCs w:val="20"/>
              </w:rPr>
              <w:t xml:space="preserve">mogoče </w:t>
            </w:r>
            <w:r w:rsidR="005C00C3">
              <w:rPr>
                <w:rFonts w:ascii="Arial" w:hAnsi="Arial" w:cs="Arial"/>
                <w:sz w:val="20"/>
                <w:szCs w:val="20"/>
              </w:rPr>
              <w:t>pričakovati, da bo predlagan</w:t>
            </w:r>
            <w:r w:rsidR="00261FD0">
              <w:rPr>
                <w:rFonts w:ascii="Arial" w:hAnsi="Arial" w:cs="Arial"/>
                <w:sz w:val="20"/>
                <w:szCs w:val="20"/>
              </w:rPr>
              <w:t>a</w:t>
            </w:r>
            <w:r w:rsidR="005C00C3">
              <w:rPr>
                <w:rFonts w:ascii="Arial" w:hAnsi="Arial" w:cs="Arial"/>
                <w:sz w:val="20"/>
                <w:szCs w:val="20"/>
              </w:rPr>
              <w:t xml:space="preserve"> rešit</w:t>
            </w:r>
            <w:r w:rsidR="00261FD0">
              <w:rPr>
                <w:rFonts w:ascii="Arial" w:hAnsi="Arial" w:cs="Arial"/>
                <w:sz w:val="20"/>
                <w:szCs w:val="20"/>
              </w:rPr>
              <w:t>e</w:t>
            </w:r>
            <w:r w:rsidR="005C00C3">
              <w:rPr>
                <w:rFonts w:ascii="Arial" w:hAnsi="Arial" w:cs="Arial"/>
                <w:sz w:val="20"/>
                <w:szCs w:val="20"/>
              </w:rPr>
              <w:t xml:space="preserve">v </w:t>
            </w:r>
            <w:r w:rsidR="00261FD0">
              <w:rPr>
                <w:rFonts w:ascii="Arial" w:hAnsi="Arial" w:cs="Arial"/>
                <w:sz w:val="20"/>
                <w:szCs w:val="20"/>
              </w:rPr>
              <w:t>z</w:t>
            </w:r>
            <w:r w:rsidR="005C00C3">
              <w:rPr>
                <w:rFonts w:ascii="Arial" w:hAnsi="Arial" w:cs="Arial"/>
                <w:sz w:val="20"/>
                <w:szCs w:val="20"/>
              </w:rPr>
              <w:t xml:space="preserve">a </w:t>
            </w:r>
            <w:r w:rsidR="00261FD0">
              <w:rPr>
                <w:rFonts w:ascii="Arial" w:hAnsi="Arial" w:cs="Arial"/>
                <w:sz w:val="20"/>
                <w:szCs w:val="20"/>
              </w:rPr>
              <w:t>zavezance, ki opravljajo dejavnost in ugotavljajo svojo davčno osnovo z upoštevanjem normiranih odhodkov</w:t>
            </w:r>
            <w:r>
              <w:rPr>
                <w:rFonts w:ascii="Arial" w:hAnsi="Arial" w:cs="Arial"/>
                <w:sz w:val="20"/>
                <w:szCs w:val="20"/>
              </w:rPr>
              <w:t>,</w:t>
            </w:r>
            <w:r w:rsidR="00261FD0">
              <w:rPr>
                <w:rFonts w:ascii="Arial" w:hAnsi="Arial" w:cs="Arial"/>
                <w:sz w:val="20"/>
                <w:szCs w:val="20"/>
              </w:rPr>
              <w:t xml:space="preserve"> pozitiv</w:t>
            </w:r>
            <w:r>
              <w:rPr>
                <w:rFonts w:ascii="Arial" w:hAnsi="Arial" w:cs="Arial"/>
                <w:sz w:val="20"/>
                <w:szCs w:val="20"/>
              </w:rPr>
              <w:t>no</w:t>
            </w:r>
            <w:r w:rsidR="00261FD0">
              <w:rPr>
                <w:rFonts w:ascii="Arial" w:hAnsi="Arial" w:cs="Arial"/>
                <w:sz w:val="20"/>
                <w:szCs w:val="20"/>
              </w:rPr>
              <w:t xml:space="preserve"> vpliv</w:t>
            </w:r>
            <w:r>
              <w:rPr>
                <w:rFonts w:ascii="Arial" w:hAnsi="Arial" w:cs="Arial"/>
                <w:sz w:val="20"/>
                <w:szCs w:val="20"/>
              </w:rPr>
              <w:t>ala</w:t>
            </w:r>
            <w:r w:rsidR="00261FD0">
              <w:rPr>
                <w:rFonts w:ascii="Arial" w:hAnsi="Arial" w:cs="Arial"/>
                <w:sz w:val="20"/>
                <w:szCs w:val="20"/>
              </w:rPr>
              <w:t xml:space="preserve"> na prihodke pokojninske in zdravstvene blagajne iz naslova prispevkov za socialno varnost.</w:t>
            </w:r>
          </w:p>
          <w:p w14:paraId="6A7A1DD2" w14:textId="77777777" w:rsidR="00AE071D" w:rsidRPr="009926FB" w:rsidRDefault="00AE071D" w:rsidP="006727E1">
            <w:pPr>
              <w:spacing w:after="0" w:line="276" w:lineRule="auto"/>
              <w:jc w:val="both"/>
              <w:rPr>
                <w:rFonts w:ascii="Arial" w:hAnsi="Arial" w:cs="Arial"/>
                <w:sz w:val="20"/>
                <w:szCs w:val="20"/>
              </w:rPr>
            </w:pPr>
          </w:p>
          <w:p w14:paraId="6F0CFF2E" w14:textId="43381170" w:rsidR="00471777" w:rsidRPr="009926FB" w:rsidRDefault="00471777" w:rsidP="006727E1">
            <w:pPr>
              <w:spacing w:after="0" w:line="276" w:lineRule="auto"/>
              <w:jc w:val="both"/>
              <w:rPr>
                <w:rFonts w:ascii="Arial" w:hAnsi="Arial" w:cs="Arial"/>
                <w:sz w:val="20"/>
                <w:szCs w:val="20"/>
              </w:rPr>
            </w:pPr>
            <w:r w:rsidRPr="009926FB">
              <w:rPr>
                <w:rFonts w:ascii="Arial" w:hAnsi="Arial" w:cs="Arial"/>
                <w:sz w:val="20"/>
                <w:szCs w:val="20"/>
              </w:rPr>
              <w:t>3.1.1</w:t>
            </w:r>
            <w:r w:rsidR="001955FF" w:rsidRPr="009926FB">
              <w:rPr>
                <w:rFonts w:ascii="Arial" w:hAnsi="Arial" w:cs="Arial"/>
                <w:sz w:val="20"/>
                <w:szCs w:val="20"/>
              </w:rPr>
              <w:t xml:space="preserve"> </w:t>
            </w:r>
            <w:r w:rsidRPr="009926FB">
              <w:rPr>
                <w:rFonts w:ascii="Arial" w:hAnsi="Arial" w:cs="Arial"/>
                <w:sz w:val="20"/>
                <w:szCs w:val="20"/>
              </w:rPr>
              <w:t>Vpliv reforme na dohodke iz dela</w:t>
            </w:r>
          </w:p>
          <w:p w14:paraId="0646E62F" w14:textId="6E6C5DEC" w:rsidR="00471777" w:rsidRPr="009926FB" w:rsidRDefault="00471777" w:rsidP="009926FB">
            <w:pPr>
              <w:spacing w:after="0" w:line="276" w:lineRule="auto"/>
              <w:jc w:val="both"/>
              <w:rPr>
                <w:rFonts w:ascii="Arial" w:hAnsi="Arial" w:cs="Arial"/>
                <w:sz w:val="20"/>
                <w:szCs w:val="20"/>
              </w:rPr>
            </w:pPr>
            <w:r w:rsidRPr="009926FB">
              <w:rPr>
                <w:rFonts w:ascii="Arial" w:hAnsi="Arial" w:cs="Arial"/>
                <w:sz w:val="20"/>
                <w:szCs w:val="20"/>
              </w:rPr>
              <w:t xml:space="preserve">Ukrepi v predlogu zakona bodo zaradi </w:t>
            </w:r>
            <w:r w:rsidR="00364749" w:rsidRPr="009926FB">
              <w:rPr>
                <w:rFonts w:ascii="Arial" w:hAnsi="Arial" w:cs="Arial"/>
                <w:sz w:val="20"/>
                <w:szCs w:val="20"/>
              </w:rPr>
              <w:t>znižanja</w:t>
            </w:r>
            <w:r w:rsidR="00D03F7E" w:rsidRPr="009926FB">
              <w:rPr>
                <w:rFonts w:ascii="Arial" w:hAnsi="Arial" w:cs="Arial"/>
                <w:sz w:val="20"/>
                <w:szCs w:val="20"/>
              </w:rPr>
              <w:t xml:space="preserve"> splošne olajšave</w:t>
            </w:r>
            <w:r w:rsidR="00364749" w:rsidRPr="009926FB">
              <w:rPr>
                <w:rFonts w:ascii="Arial" w:hAnsi="Arial" w:cs="Arial"/>
                <w:sz w:val="20"/>
                <w:szCs w:val="20"/>
              </w:rPr>
              <w:t xml:space="preserve"> za leto 2023</w:t>
            </w:r>
            <w:r w:rsidR="00E3244A" w:rsidRPr="009926FB">
              <w:rPr>
                <w:rFonts w:ascii="Arial" w:hAnsi="Arial" w:cs="Arial"/>
                <w:sz w:val="20"/>
                <w:szCs w:val="20"/>
              </w:rPr>
              <w:t xml:space="preserve"> s </w:t>
            </w:r>
            <w:r w:rsidR="00364749" w:rsidRPr="009926FB">
              <w:rPr>
                <w:rFonts w:ascii="Arial" w:hAnsi="Arial" w:cs="Arial"/>
                <w:sz w:val="20"/>
                <w:szCs w:val="20"/>
              </w:rPr>
              <w:t>5</w:t>
            </w:r>
            <w:r w:rsidR="00E3244A" w:rsidRPr="009926FB">
              <w:rPr>
                <w:rFonts w:ascii="Arial" w:hAnsi="Arial" w:cs="Arial"/>
                <w:sz w:val="20"/>
                <w:szCs w:val="20"/>
              </w:rPr>
              <w:t>.500</w:t>
            </w:r>
            <w:r w:rsidR="00D03F7E" w:rsidRPr="009926FB">
              <w:rPr>
                <w:rFonts w:ascii="Arial" w:hAnsi="Arial" w:cs="Arial"/>
                <w:sz w:val="20"/>
                <w:szCs w:val="20"/>
              </w:rPr>
              <w:t xml:space="preserve"> na 5.</w:t>
            </w:r>
            <w:r w:rsidR="00E3244A" w:rsidRPr="009926FB">
              <w:rPr>
                <w:rFonts w:ascii="Arial" w:hAnsi="Arial" w:cs="Arial"/>
                <w:sz w:val="20"/>
                <w:szCs w:val="20"/>
              </w:rPr>
              <w:t>0</w:t>
            </w:r>
            <w:r w:rsidR="00D03F7E" w:rsidRPr="009926FB">
              <w:rPr>
                <w:rFonts w:ascii="Arial" w:hAnsi="Arial" w:cs="Arial"/>
                <w:sz w:val="20"/>
                <w:szCs w:val="20"/>
              </w:rPr>
              <w:t>00</w:t>
            </w:r>
            <w:r w:rsidR="008C1477">
              <w:rPr>
                <w:rFonts w:ascii="Arial" w:hAnsi="Arial" w:cs="Arial"/>
                <w:sz w:val="20"/>
                <w:szCs w:val="20"/>
              </w:rPr>
              <w:t> </w:t>
            </w:r>
            <w:r w:rsidR="00D03F7E" w:rsidRPr="009926FB">
              <w:rPr>
                <w:rFonts w:ascii="Arial" w:hAnsi="Arial" w:cs="Arial"/>
                <w:sz w:val="20"/>
                <w:szCs w:val="20"/>
              </w:rPr>
              <w:t>EUR</w:t>
            </w:r>
            <w:r w:rsidR="00E3244A" w:rsidRPr="009926FB">
              <w:rPr>
                <w:rFonts w:ascii="Arial" w:hAnsi="Arial" w:cs="Arial"/>
                <w:sz w:val="20"/>
                <w:szCs w:val="20"/>
              </w:rPr>
              <w:t xml:space="preserve"> (ali z</w:t>
            </w:r>
            <w:r w:rsidR="00364749" w:rsidRPr="009926FB">
              <w:rPr>
                <w:rFonts w:ascii="Arial" w:hAnsi="Arial" w:cs="Arial"/>
                <w:sz w:val="20"/>
                <w:szCs w:val="20"/>
              </w:rPr>
              <w:t>višan</w:t>
            </w:r>
            <w:r w:rsidR="00E3244A" w:rsidRPr="009926FB">
              <w:rPr>
                <w:rFonts w:ascii="Arial" w:hAnsi="Arial" w:cs="Arial"/>
                <w:sz w:val="20"/>
                <w:szCs w:val="20"/>
              </w:rPr>
              <w:t xml:space="preserve">ju, če primerjamo </w:t>
            </w:r>
            <w:r w:rsidR="00364749" w:rsidRPr="009926FB">
              <w:rPr>
                <w:rFonts w:ascii="Arial" w:hAnsi="Arial" w:cs="Arial"/>
                <w:sz w:val="20"/>
                <w:szCs w:val="20"/>
              </w:rPr>
              <w:t xml:space="preserve">sistem </w:t>
            </w:r>
            <w:r w:rsidR="00E3244A" w:rsidRPr="009926FB">
              <w:rPr>
                <w:rFonts w:ascii="Arial" w:hAnsi="Arial" w:cs="Arial"/>
                <w:sz w:val="20"/>
                <w:szCs w:val="20"/>
              </w:rPr>
              <w:t>za leto 202</w:t>
            </w:r>
            <w:r w:rsidR="00364749" w:rsidRPr="009926FB">
              <w:rPr>
                <w:rFonts w:ascii="Arial" w:hAnsi="Arial" w:cs="Arial"/>
                <w:sz w:val="20"/>
                <w:szCs w:val="20"/>
              </w:rPr>
              <w:t>2</w:t>
            </w:r>
            <w:r w:rsidR="00E3244A" w:rsidRPr="009926FB">
              <w:rPr>
                <w:rFonts w:ascii="Arial" w:hAnsi="Arial" w:cs="Arial"/>
                <w:sz w:val="20"/>
                <w:szCs w:val="20"/>
              </w:rPr>
              <w:t>)</w:t>
            </w:r>
            <w:r w:rsidR="00364749" w:rsidRPr="009926FB">
              <w:rPr>
                <w:rFonts w:ascii="Arial" w:hAnsi="Arial" w:cs="Arial"/>
                <w:sz w:val="20"/>
                <w:szCs w:val="20"/>
              </w:rPr>
              <w:t>,</w:t>
            </w:r>
            <w:r w:rsidR="00D03F7E" w:rsidRPr="009926FB">
              <w:rPr>
                <w:rFonts w:ascii="Arial" w:hAnsi="Arial" w:cs="Arial"/>
                <w:sz w:val="20"/>
                <w:szCs w:val="20"/>
              </w:rPr>
              <w:t xml:space="preserve"> povečanja dodatne splošne olajšave oziroma</w:t>
            </w:r>
            <w:r w:rsidR="00D03F7E" w:rsidRPr="009926FB">
              <w:rPr>
                <w:rFonts w:ascii="Arial" w:eastAsia="Calibri" w:hAnsi="Arial" w:cs="Arial"/>
                <w:sz w:val="20"/>
                <w:szCs w:val="20"/>
              </w:rPr>
              <w:t xml:space="preserve"> skupnega dohodka, do katerega se rezidentu poleg splošne olajšave prizna tudi dodatna splošna olajšav</w:t>
            </w:r>
            <w:r w:rsidR="004113D6">
              <w:rPr>
                <w:rFonts w:ascii="Arial" w:eastAsia="Calibri" w:hAnsi="Arial" w:cs="Arial"/>
                <w:sz w:val="20"/>
                <w:szCs w:val="20"/>
              </w:rPr>
              <w:t>a</w:t>
            </w:r>
            <w:r w:rsidR="00D03F7E" w:rsidRPr="009926FB">
              <w:rPr>
                <w:rFonts w:ascii="Arial" w:eastAsia="Calibri" w:hAnsi="Arial" w:cs="Arial"/>
                <w:sz w:val="20"/>
                <w:szCs w:val="20"/>
              </w:rPr>
              <w:t>, in sicer se poveča s 13.716,33</w:t>
            </w:r>
            <w:r w:rsidR="008C1477">
              <w:rPr>
                <w:rFonts w:ascii="Arial" w:eastAsia="Calibri" w:hAnsi="Arial" w:cs="Arial"/>
                <w:sz w:val="20"/>
                <w:szCs w:val="20"/>
              </w:rPr>
              <w:t> </w:t>
            </w:r>
            <w:r w:rsidR="00D03F7E" w:rsidRPr="009926FB">
              <w:rPr>
                <w:rFonts w:ascii="Arial" w:eastAsia="Calibri" w:hAnsi="Arial" w:cs="Arial"/>
                <w:sz w:val="20"/>
                <w:szCs w:val="20"/>
              </w:rPr>
              <w:t>EUR na 1</w:t>
            </w:r>
            <w:r w:rsidR="00D362C9">
              <w:rPr>
                <w:rFonts w:ascii="Arial" w:eastAsia="Calibri" w:hAnsi="Arial" w:cs="Arial"/>
                <w:sz w:val="20"/>
                <w:szCs w:val="20"/>
              </w:rPr>
              <w:t>6</w:t>
            </w:r>
            <w:r w:rsidR="00D03F7E" w:rsidRPr="009926FB">
              <w:rPr>
                <w:rFonts w:ascii="Arial" w:eastAsia="Calibri" w:hAnsi="Arial" w:cs="Arial"/>
                <w:sz w:val="20"/>
                <w:szCs w:val="20"/>
              </w:rPr>
              <w:t>.000</w:t>
            </w:r>
            <w:r w:rsidR="008C1477">
              <w:rPr>
                <w:rFonts w:ascii="Arial" w:eastAsia="Calibri" w:hAnsi="Arial" w:cs="Arial"/>
                <w:sz w:val="20"/>
                <w:szCs w:val="20"/>
              </w:rPr>
              <w:t> </w:t>
            </w:r>
            <w:r w:rsidR="00D03F7E" w:rsidRPr="009926FB">
              <w:rPr>
                <w:rFonts w:ascii="Arial" w:eastAsia="Calibri" w:hAnsi="Arial" w:cs="Arial"/>
                <w:sz w:val="20"/>
                <w:szCs w:val="20"/>
              </w:rPr>
              <w:t xml:space="preserve">EUR, </w:t>
            </w:r>
            <w:r w:rsidR="00D03F7E" w:rsidRPr="009926FB">
              <w:rPr>
                <w:rFonts w:ascii="Arial" w:hAnsi="Arial" w:cs="Arial"/>
                <w:sz w:val="20"/>
                <w:szCs w:val="20"/>
              </w:rPr>
              <w:t>zvišanj</w:t>
            </w:r>
            <w:r w:rsidR="00D43E92" w:rsidRPr="009926FB">
              <w:rPr>
                <w:rFonts w:ascii="Arial" w:hAnsi="Arial" w:cs="Arial"/>
                <w:sz w:val="20"/>
                <w:szCs w:val="20"/>
              </w:rPr>
              <w:t>a</w:t>
            </w:r>
            <w:r w:rsidR="00D03F7E" w:rsidRPr="009926FB">
              <w:rPr>
                <w:rFonts w:ascii="Arial" w:hAnsi="Arial" w:cs="Arial"/>
                <w:sz w:val="20"/>
                <w:szCs w:val="20"/>
              </w:rPr>
              <w:t xml:space="preserve"> davčne stopnje v 5. dohodninskem razredu</w:t>
            </w:r>
            <w:r w:rsidR="00364749" w:rsidRPr="009926FB">
              <w:rPr>
                <w:rFonts w:ascii="Arial" w:hAnsi="Arial" w:cs="Arial"/>
                <w:sz w:val="20"/>
                <w:szCs w:val="20"/>
              </w:rPr>
              <w:t xml:space="preserve"> s 45</w:t>
            </w:r>
            <w:r w:rsidR="008C1477">
              <w:rPr>
                <w:rFonts w:ascii="Arial" w:hAnsi="Arial" w:cs="Arial"/>
                <w:sz w:val="20"/>
                <w:szCs w:val="20"/>
              </w:rPr>
              <w:t> </w:t>
            </w:r>
            <w:r w:rsidR="00364749" w:rsidRPr="009926FB">
              <w:rPr>
                <w:rFonts w:ascii="Arial" w:hAnsi="Arial" w:cs="Arial"/>
                <w:sz w:val="20"/>
                <w:szCs w:val="20"/>
              </w:rPr>
              <w:t>%</w:t>
            </w:r>
            <w:r w:rsidR="00D03F7E" w:rsidRPr="009926FB">
              <w:rPr>
                <w:rFonts w:ascii="Arial" w:hAnsi="Arial" w:cs="Arial"/>
                <w:sz w:val="20"/>
                <w:szCs w:val="20"/>
              </w:rPr>
              <w:t xml:space="preserve"> na 50</w:t>
            </w:r>
            <w:r w:rsidR="008C1477">
              <w:rPr>
                <w:rFonts w:ascii="Arial" w:hAnsi="Arial" w:cs="Arial"/>
                <w:sz w:val="20"/>
                <w:szCs w:val="20"/>
              </w:rPr>
              <w:t> </w:t>
            </w:r>
            <w:r w:rsidR="00D03F7E" w:rsidRPr="009926FB">
              <w:rPr>
                <w:rFonts w:ascii="Arial" w:hAnsi="Arial" w:cs="Arial"/>
                <w:sz w:val="20"/>
                <w:szCs w:val="20"/>
              </w:rPr>
              <w:t>%,</w:t>
            </w:r>
            <w:r w:rsidRPr="009926FB">
              <w:rPr>
                <w:rFonts w:ascii="Arial" w:hAnsi="Arial" w:cs="Arial"/>
                <w:sz w:val="20"/>
                <w:szCs w:val="20"/>
              </w:rPr>
              <w:t xml:space="preserve"> o</w:t>
            </w:r>
            <w:r w:rsidR="00364749" w:rsidRPr="009926FB">
              <w:rPr>
                <w:rFonts w:ascii="Arial" w:hAnsi="Arial" w:cs="Arial"/>
                <w:sz w:val="20"/>
                <w:szCs w:val="20"/>
              </w:rPr>
              <w:t>mejitve</w:t>
            </w:r>
            <w:r w:rsidRPr="009926FB">
              <w:rPr>
                <w:rFonts w:ascii="Arial" w:hAnsi="Arial" w:cs="Arial"/>
                <w:sz w:val="20"/>
                <w:szCs w:val="20"/>
              </w:rPr>
              <w:t xml:space="preserve"> splošne višine neobdavčenega dela, to je 100</w:t>
            </w:r>
            <w:r w:rsidR="008C1477">
              <w:rPr>
                <w:rFonts w:ascii="Arial" w:hAnsi="Arial" w:cs="Arial"/>
                <w:sz w:val="20"/>
                <w:szCs w:val="20"/>
              </w:rPr>
              <w:t> </w:t>
            </w:r>
            <w:r w:rsidRPr="009926FB">
              <w:rPr>
                <w:rFonts w:ascii="Arial" w:hAnsi="Arial" w:cs="Arial"/>
                <w:sz w:val="20"/>
                <w:szCs w:val="20"/>
              </w:rPr>
              <w:t>% povprečne mesečne plače zaposlenih v Sloveniji pri plačilu za poslovno uspešnost</w:t>
            </w:r>
            <w:r w:rsidR="004113D6">
              <w:rPr>
                <w:rFonts w:ascii="Arial" w:hAnsi="Arial" w:cs="Arial"/>
                <w:sz w:val="20"/>
                <w:szCs w:val="20"/>
              </w:rPr>
              <w:t>,</w:t>
            </w:r>
            <w:r w:rsidR="7D6EE470" w:rsidRPr="009926FB">
              <w:rPr>
                <w:rFonts w:ascii="Arial" w:hAnsi="Arial" w:cs="Arial"/>
                <w:sz w:val="20"/>
                <w:szCs w:val="20"/>
              </w:rPr>
              <w:t xml:space="preserve"> ter</w:t>
            </w:r>
            <w:r w:rsidR="00E3244A" w:rsidRPr="009926FB">
              <w:rPr>
                <w:rFonts w:ascii="Arial" w:hAnsi="Arial" w:cs="Arial"/>
                <w:sz w:val="20"/>
                <w:szCs w:val="20"/>
              </w:rPr>
              <w:t xml:space="preserve"> </w:t>
            </w:r>
            <w:r w:rsidR="00D03F7E" w:rsidRPr="009926FB">
              <w:rPr>
                <w:rFonts w:ascii="Arial" w:hAnsi="Arial" w:cs="Arial"/>
                <w:sz w:val="20"/>
                <w:szCs w:val="20"/>
              </w:rPr>
              <w:t xml:space="preserve">uvedbe nove posebne olajšave za zavezance do dopolnjenega </w:t>
            </w:r>
            <w:r w:rsidR="00E3244A" w:rsidRPr="009926FB">
              <w:rPr>
                <w:rFonts w:ascii="Arial" w:hAnsi="Arial" w:cs="Arial"/>
                <w:sz w:val="20"/>
                <w:szCs w:val="20"/>
              </w:rPr>
              <w:t>29.</w:t>
            </w:r>
            <w:r w:rsidR="00D03F7E" w:rsidRPr="009926FB">
              <w:rPr>
                <w:rFonts w:ascii="Arial" w:hAnsi="Arial" w:cs="Arial"/>
                <w:sz w:val="20"/>
                <w:szCs w:val="20"/>
              </w:rPr>
              <w:t xml:space="preserve"> leta starosti</w:t>
            </w:r>
            <w:r w:rsidR="7D6EE470" w:rsidRPr="009926FB">
              <w:rPr>
                <w:rFonts w:ascii="Arial" w:hAnsi="Arial" w:cs="Arial"/>
                <w:sz w:val="20"/>
                <w:szCs w:val="20"/>
              </w:rPr>
              <w:t>,</w:t>
            </w:r>
            <w:r w:rsidR="79F0851E" w:rsidRPr="009926FB">
              <w:rPr>
                <w:rFonts w:ascii="Arial" w:hAnsi="Arial" w:cs="Arial"/>
                <w:sz w:val="20"/>
                <w:szCs w:val="20"/>
              </w:rPr>
              <w:t xml:space="preserve"> </w:t>
            </w:r>
            <w:r w:rsidRPr="009926FB">
              <w:rPr>
                <w:rFonts w:ascii="Arial" w:hAnsi="Arial" w:cs="Arial"/>
                <w:sz w:val="20"/>
                <w:szCs w:val="20"/>
              </w:rPr>
              <w:t>po oceni pomenili</w:t>
            </w:r>
            <w:r w:rsidR="003E5457" w:rsidRPr="009926FB">
              <w:rPr>
                <w:rFonts w:ascii="Arial" w:hAnsi="Arial" w:cs="Arial"/>
                <w:sz w:val="20"/>
                <w:szCs w:val="20"/>
              </w:rPr>
              <w:t xml:space="preserve">, da </w:t>
            </w:r>
            <w:r w:rsidR="00B81274" w:rsidRPr="009926FB">
              <w:rPr>
                <w:rFonts w:ascii="Arial" w:hAnsi="Arial" w:cs="Arial"/>
                <w:sz w:val="20"/>
                <w:szCs w:val="20"/>
              </w:rPr>
              <w:t xml:space="preserve">bi </w:t>
            </w:r>
            <w:r w:rsidR="003E5457" w:rsidRPr="009926FB">
              <w:rPr>
                <w:rFonts w:ascii="Arial" w:hAnsi="Arial" w:cs="Arial"/>
                <w:sz w:val="20"/>
                <w:szCs w:val="20"/>
              </w:rPr>
              <w:t xml:space="preserve">se prihodki iz dohodnine </w:t>
            </w:r>
            <w:r w:rsidR="00364749" w:rsidRPr="009926FB">
              <w:rPr>
                <w:rFonts w:ascii="Arial" w:hAnsi="Arial" w:cs="Arial"/>
                <w:sz w:val="20"/>
                <w:szCs w:val="20"/>
              </w:rPr>
              <w:t>glede na sistem, ki bi veljal v letu 2023</w:t>
            </w:r>
            <w:r w:rsidR="00D43E92" w:rsidRPr="009926FB">
              <w:rPr>
                <w:rFonts w:ascii="Arial" w:hAnsi="Arial" w:cs="Arial"/>
                <w:sz w:val="20"/>
                <w:szCs w:val="20"/>
              </w:rPr>
              <w:t>,</w:t>
            </w:r>
            <w:r w:rsidR="00364749" w:rsidRPr="009926FB">
              <w:rPr>
                <w:rFonts w:ascii="Arial" w:hAnsi="Arial" w:cs="Arial"/>
                <w:sz w:val="20"/>
                <w:szCs w:val="20"/>
              </w:rPr>
              <w:t xml:space="preserve"> zvišali za </w:t>
            </w:r>
            <w:r w:rsidR="004C3958">
              <w:rPr>
                <w:rFonts w:ascii="Arial" w:hAnsi="Arial" w:cs="Arial"/>
                <w:sz w:val="20"/>
                <w:szCs w:val="20"/>
              </w:rPr>
              <w:t>29</w:t>
            </w:r>
            <w:r w:rsidR="1EE2C3D9" w:rsidRPr="009926FB">
              <w:rPr>
                <w:rFonts w:ascii="Arial" w:hAnsi="Arial" w:cs="Arial"/>
                <w:sz w:val="20"/>
                <w:szCs w:val="20"/>
              </w:rPr>
              <w:t xml:space="preserve"> </w:t>
            </w:r>
            <w:r w:rsidR="003E5457" w:rsidRPr="009926FB">
              <w:rPr>
                <w:rFonts w:ascii="Arial" w:hAnsi="Arial" w:cs="Arial"/>
                <w:sz w:val="20"/>
                <w:szCs w:val="20"/>
              </w:rPr>
              <w:t>mio</w:t>
            </w:r>
            <w:r w:rsidR="008C1477">
              <w:rPr>
                <w:rFonts w:ascii="Arial" w:hAnsi="Arial" w:cs="Arial"/>
                <w:sz w:val="20"/>
                <w:szCs w:val="20"/>
              </w:rPr>
              <w:t> </w:t>
            </w:r>
            <w:r w:rsidR="0010031F" w:rsidRPr="009926FB">
              <w:rPr>
                <w:rFonts w:ascii="Arial" w:hAnsi="Arial" w:cs="Arial"/>
                <w:sz w:val="20"/>
                <w:szCs w:val="20"/>
              </w:rPr>
              <w:t>EUR</w:t>
            </w:r>
            <w:r w:rsidRPr="009926FB">
              <w:rPr>
                <w:rFonts w:ascii="Arial" w:hAnsi="Arial" w:cs="Arial"/>
                <w:sz w:val="20"/>
                <w:szCs w:val="20"/>
              </w:rPr>
              <w:t>.</w:t>
            </w:r>
            <w:r w:rsidR="54EDCD72" w:rsidRPr="009926FB">
              <w:rPr>
                <w:rFonts w:ascii="Arial" w:hAnsi="Arial" w:cs="Arial"/>
                <w:sz w:val="20"/>
                <w:szCs w:val="20"/>
              </w:rPr>
              <w:t xml:space="preserve"> </w:t>
            </w:r>
          </w:p>
          <w:p w14:paraId="6E9A8337" w14:textId="77777777" w:rsidR="001955FF" w:rsidRPr="009926FB" w:rsidRDefault="001955FF" w:rsidP="006727E1">
            <w:pPr>
              <w:spacing w:after="0" w:line="276" w:lineRule="auto"/>
              <w:jc w:val="both"/>
              <w:rPr>
                <w:rFonts w:ascii="Arial" w:hAnsi="Arial" w:cs="Arial"/>
                <w:sz w:val="20"/>
                <w:szCs w:val="20"/>
              </w:rPr>
            </w:pPr>
          </w:p>
          <w:p w14:paraId="3E3FB74D" w14:textId="45383653" w:rsidR="00471777" w:rsidRPr="009926FB" w:rsidRDefault="00471777" w:rsidP="006727E1">
            <w:pPr>
              <w:spacing w:after="0" w:line="276" w:lineRule="auto"/>
              <w:jc w:val="both"/>
              <w:rPr>
                <w:rFonts w:ascii="Arial" w:hAnsi="Arial" w:cs="Arial"/>
                <w:sz w:val="20"/>
                <w:szCs w:val="20"/>
              </w:rPr>
            </w:pPr>
            <w:r w:rsidRPr="009926FB">
              <w:rPr>
                <w:rFonts w:ascii="Arial" w:hAnsi="Arial" w:cs="Arial"/>
                <w:sz w:val="20"/>
                <w:szCs w:val="20"/>
              </w:rPr>
              <w:t>Ob upoštevanju podatkov odmere dohodnine za leto 2020 in predvideni rasti plač iz pomladanske napovedi UMAR b</w:t>
            </w:r>
            <w:r w:rsidR="0010031F" w:rsidRPr="009926FB">
              <w:rPr>
                <w:rFonts w:ascii="Arial" w:hAnsi="Arial" w:cs="Arial"/>
                <w:sz w:val="20"/>
                <w:szCs w:val="20"/>
              </w:rPr>
              <w:t>o rešitev, ki predvideva</w:t>
            </w:r>
            <w:r w:rsidRPr="009926FB">
              <w:rPr>
                <w:rFonts w:ascii="Arial" w:hAnsi="Arial" w:cs="Arial"/>
                <w:sz w:val="20"/>
                <w:szCs w:val="20"/>
              </w:rPr>
              <w:t xml:space="preserve">, da se splošna olajšava </w:t>
            </w:r>
            <w:r w:rsidR="00364749" w:rsidRPr="009926FB">
              <w:rPr>
                <w:rFonts w:ascii="Arial" w:hAnsi="Arial" w:cs="Arial"/>
                <w:sz w:val="20"/>
                <w:szCs w:val="20"/>
              </w:rPr>
              <w:t xml:space="preserve">v letu 2023 ne </w:t>
            </w:r>
            <w:r w:rsidRPr="009926FB">
              <w:rPr>
                <w:rFonts w:ascii="Arial" w:hAnsi="Arial" w:cs="Arial"/>
                <w:sz w:val="20"/>
                <w:szCs w:val="20"/>
              </w:rPr>
              <w:t xml:space="preserve">poveča na </w:t>
            </w:r>
            <w:r w:rsidR="00F63D73" w:rsidRPr="009926FB">
              <w:rPr>
                <w:rFonts w:ascii="Arial" w:hAnsi="Arial" w:cs="Arial"/>
                <w:sz w:val="20"/>
                <w:szCs w:val="20"/>
              </w:rPr>
              <w:t>5.500</w:t>
            </w:r>
            <w:r w:rsidR="008C1477">
              <w:rPr>
                <w:rFonts w:ascii="Arial" w:hAnsi="Arial" w:cs="Arial"/>
                <w:sz w:val="20"/>
                <w:szCs w:val="20"/>
              </w:rPr>
              <w:t> </w:t>
            </w:r>
            <w:r w:rsidR="00736359">
              <w:rPr>
                <w:rFonts w:ascii="Arial" w:hAnsi="Arial" w:cs="Arial"/>
                <w:sz w:val="20"/>
                <w:szCs w:val="20"/>
              </w:rPr>
              <w:t>EUR</w:t>
            </w:r>
            <w:r w:rsidR="00F63D73" w:rsidRPr="009926FB">
              <w:rPr>
                <w:rFonts w:ascii="Arial" w:hAnsi="Arial" w:cs="Arial"/>
                <w:sz w:val="20"/>
                <w:szCs w:val="20"/>
              </w:rPr>
              <w:t xml:space="preserve">, ampak na </w:t>
            </w:r>
            <w:r w:rsidRPr="009926FB">
              <w:rPr>
                <w:rFonts w:ascii="Arial" w:hAnsi="Arial" w:cs="Arial"/>
                <w:sz w:val="20"/>
                <w:szCs w:val="20"/>
              </w:rPr>
              <w:t>5.</w:t>
            </w:r>
            <w:r w:rsidR="00E3244A" w:rsidRPr="009926FB">
              <w:rPr>
                <w:rFonts w:ascii="Arial" w:hAnsi="Arial" w:cs="Arial"/>
                <w:sz w:val="20"/>
                <w:szCs w:val="20"/>
              </w:rPr>
              <w:t>0</w:t>
            </w:r>
            <w:r w:rsidRPr="009926FB">
              <w:rPr>
                <w:rFonts w:ascii="Arial" w:hAnsi="Arial" w:cs="Arial"/>
                <w:sz w:val="20"/>
                <w:szCs w:val="20"/>
              </w:rPr>
              <w:t>00</w:t>
            </w:r>
            <w:r w:rsidR="008C1477">
              <w:rPr>
                <w:rFonts w:ascii="Arial" w:hAnsi="Arial" w:cs="Arial"/>
                <w:sz w:val="20"/>
                <w:szCs w:val="20"/>
              </w:rPr>
              <w:t> </w:t>
            </w:r>
            <w:r w:rsidR="00736359">
              <w:rPr>
                <w:rFonts w:ascii="Arial" w:hAnsi="Arial" w:cs="Arial"/>
                <w:sz w:val="20"/>
                <w:szCs w:val="20"/>
              </w:rPr>
              <w:t>EUR</w:t>
            </w:r>
            <w:r w:rsidR="00E65733" w:rsidRPr="009926FB">
              <w:rPr>
                <w:rFonts w:ascii="Arial" w:hAnsi="Arial" w:cs="Arial"/>
                <w:sz w:val="20"/>
                <w:szCs w:val="20"/>
              </w:rPr>
              <w:t>,</w:t>
            </w:r>
            <w:r w:rsidRPr="009926FB">
              <w:rPr>
                <w:rFonts w:ascii="Arial" w:hAnsi="Arial" w:cs="Arial"/>
                <w:sz w:val="20"/>
                <w:szCs w:val="20"/>
              </w:rPr>
              <w:t xml:space="preserve"> in se hkrati </w:t>
            </w:r>
            <w:r w:rsidR="00B40839" w:rsidRPr="009926FB">
              <w:rPr>
                <w:rFonts w:ascii="Arial" w:hAnsi="Arial" w:cs="Arial"/>
                <w:sz w:val="20"/>
                <w:szCs w:val="20"/>
              </w:rPr>
              <w:t>poveča</w:t>
            </w:r>
            <w:r w:rsidR="00F63D73" w:rsidRPr="009926FB">
              <w:rPr>
                <w:rFonts w:ascii="Arial" w:hAnsi="Arial" w:cs="Arial"/>
                <w:sz w:val="20"/>
                <w:szCs w:val="20"/>
              </w:rPr>
              <w:t xml:space="preserve"> meja do upravičenosti</w:t>
            </w:r>
            <w:r w:rsidR="00B40839" w:rsidRPr="009926FB">
              <w:rPr>
                <w:rFonts w:ascii="Arial" w:hAnsi="Arial" w:cs="Arial"/>
                <w:sz w:val="20"/>
                <w:szCs w:val="20"/>
              </w:rPr>
              <w:t xml:space="preserve"> </w:t>
            </w:r>
            <w:r w:rsidR="00E65733" w:rsidRPr="009926FB">
              <w:rPr>
                <w:rFonts w:ascii="Arial" w:hAnsi="Arial" w:cs="Arial"/>
                <w:sz w:val="20"/>
                <w:szCs w:val="20"/>
              </w:rPr>
              <w:t xml:space="preserve">do </w:t>
            </w:r>
            <w:r w:rsidRPr="009926FB">
              <w:rPr>
                <w:rFonts w:ascii="Arial" w:hAnsi="Arial" w:cs="Arial"/>
                <w:sz w:val="20"/>
                <w:szCs w:val="20"/>
              </w:rPr>
              <w:t>dodatn</w:t>
            </w:r>
            <w:r w:rsidR="00E65733" w:rsidRPr="009926FB">
              <w:rPr>
                <w:rFonts w:ascii="Arial" w:hAnsi="Arial" w:cs="Arial"/>
                <w:sz w:val="20"/>
                <w:szCs w:val="20"/>
              </w:rPr>
              <w:t>e</w:t>
            </w:r>
            <w:r w:rsidRPr="009926FB">
              <w:rPr>
                <w:rFonts w:ascii="Arial" w:hAnsi="Arial" w:cs="Arial"/>
                <w:sz w:val="20"/>
                <w:szCs w:val="20"/>
              </w:rPr>
              <w:t xml:space="preserve"> splošn</w:t>
            </w:r>
            <w:r w:rsidR="00E65733" w:rsidRPr="009926FB">
              <w:rPr>
                <w:rFonts w:ascii="Arial" w:hAnsi="Arial" w:cs="Arial"/>
                <w:sz w:val="20"/>
                <w:szCs w:val="20"/>
              </w:rPr>
              <w:t>e</w:t>
            </w:r>
            <w:r w:rsidRPr="009926FB">
              <w:rPr>
                <w:rFonts w:ascii="Arial" w:hAnsi="Arial" w:cs="Arial"/>
                <w:sz w:val="20"/>
                <w:szCs w:val="20"/>
              </w:rPr>
              <w:t xml:space="preserve"> olajšav</w:t>
            </w:r>
            <w:r w:rsidR="00E65733" w:rsidRPr="009926FB">
              <w:rPr>
                <w:rFonts w:ascii="Arial" w:hAnsi="Arial" w:cs="Arial"/>
                <w:sz w:val="20"/>
                <w:szCs w:val="20"/>
              </w:rPr>
              <w:t>e</w:t>
            </w:r>
            <w:r w:rsidR="00F63D73" w:rsidRPr="009926FB">
              <w:rPr>
                <w:rFonts w:ascii="Arial" w:hAnsi="Arial" w:cs="Arial"/>
                <w:sz w:val="20"/>
                <w:szCs w:val="20"/>
              </w:rPr>
              <w:t xml:space="preserve"> </w:t>
            </w:r>
            <w:r w:rsidRPr="009926FB">
              <w:rPr>
                <w:rFonts w:ascii="Arial" w:hAnsi="Arial" w:cs="Arial"/>
                <w:sz w:val="20"/>
                <w:szCs w:val="20"/>
              </w:rPr>
              <w:t xml:space="preserve">na </w:t>
            </w:r>
            <w:r w:rsidR="00BC0039" w:rsidRPr="009926FB">
              <w:rPr>
                <w:rFonts w:ascii="Arial" w:hAnsi="Arial" w:cs="Arial"/>
                <w:sz w:val="20"/>
                <w:szCs w:val="20"/>
              </w:rPr>
              <w:t>1</w:t>
            </w:r>
            <w:r w:rsidR="000C75F7">
              <w:rPr>
                <w:rFonts w:ascii="Arial" w:hAnsi="Arial" w:cs="Arial"/>
                <w:sz w:val="20"/>
                <w:szCs w:val="20"/>
              </w:rPr>
              <w:t>6</w:t>
            </w:r>
            <w:r w:rsidR="00BC0039" w:rsidRPr="009926FB">
              <w:rPr>
                <w:rFonts w:ascii="Arial" w:hAnsi="Arial" w:cs="Arial"/>
                <w:sz w:val="20"/>
                <w:szCs w:val="20"/>
              </w:rPr>
              <w:t>.000</w:t>
            </w:r>
            <w:r w:rsidR="008C1477">
              <w:rPr>
                <w:rFonts w:ascii="Arial" w:hAnsi="Arial" w:cs="Arial"/>
                <w:sz w:val="20"/>
                <w:szCs w:val="20"/>
              </w:rPr>
              <w:t> </w:t>
            </w:r>
            <w:r w:rsidR="00BC0039" w:rsidRPr="009926FB">
              <w:rPr>
                <w:rFonts w:ascii="Arial" w:hAnsi="Arial" w:cs="Arial"/>
                <w:sz w:val="20"/>
                <w:szCs w:val="20"/>
              </w:rPr>
              <w:t>EUR</w:t>
            </w:r>
            <w:r w:rsidR="00E65733" w:rsidRPr="009926FB">
              <w:rPr>
                <w:rFonts w:ascii="Arial" w:hAnsi="Arial" w:cs="Arial"/>
                <w:sz w:val="20"/>
                <w:szCs w:val="20"/>
              </w:rPr>
              <w:t>,</w:t>
            </w:r>
            <w:r w:rsidRPr="009926FB">
              <w:rPr>
                <w:rFonts w:ascii="Arial" w:hAnsi="Arial" w:cs="Arial"/>
                <w:sz w:val="20"/>
                <w:szCs w:val="20"/>
              </w:rPr>
              <w:t xml:space="preserve"> </w:t>
            </w:r>
            <w:r w:rsidR="00BC0039" w:rsidRPr="009926FB">
              <w:rPr>
                <w:rFonts w:ascii="Arial" w:hAnsi="Arial" w:cs="Arial"/>
                <w:sz w:val="20"/>
                <w:szCs w:val="20"/>
              </w:rPr>
              <w:t>pomenila</w:t>
            </w:r>
            <w:r w:rsidRPr="009926FB">
              <w:rPr>
                <w:rFonts w:ascii="Arial" w:hAnsi="Arial" w:cs="Arial"/>
                <w:sz w:val="20"/>
                <w:szCs w:val="20"/>
              </w:rPr>
              <w:t xml:space="preserve">, da se </w:t>
            </w:r>
            <w:r w:rsidR="00BC0039" w:rsidRPr="009926FB">
              <w:rPr>
                <w:rFonts w:ascii="Arial" w:hAnsi="Arial" w:cs="Arial"/>
                <w:sz w:val="20"/>
                <w:szCs w:val="20"/>
              </w:rPr>
              <w:t xml:space="preserve">bodo </w:t>
            </w:r>
            <w:r w:rsidRPr="009926FB">
              <w:rPr>
                <w:rFonts w:ascii="Arial" w:hAnsi="Arial" w:cs="Arial"/>
                <w:sz w:val="20"/>
                <w:szCs w:val="20"/>
              </w:rPr>
              <w:t xml:space="preserve">v letu 2023 prihodki iz dohodnine </w:t>
            </w:r>
            <w:r w:rsidR="00F63D73" w:rsidRPr="009926FB">
              <w:rPr>
                <w:rFonts w:ascii="Arial" w:hAnsi="Arial" w:cs="Arial"/>
                <w:sz w:val="20"/>
                <w:szCs w:val="20"/>
              </w:rPr>
              <w:t>povečali za</w:t>
            </w:r>
            <w:r w:rsidRPr="009926FB">
              <w:rPr>
                <w:rFonts w:ascii="Arial" w:hAnsi="Arial" w:cs="Arial"/>
                <w:sz w:val="20"/>
                <w:szCs w:val="20"/>
              </w:rPr>
              <w:t xml:space="preserve"> </w:t>
            </w:r>
            <w:r w:rsidR="004C3958">
              <w:rPr>
                <w:rFonts w:ascii="Arial" w:hAnsi="Arial" w:cs="Arial"/>
                <w:sz w:val="20"/>
                <w:szCs w:val="20"/>
              </w:rPr>
              <w:t>18</w:t>
            </w:r>
            <w:r w:rsidR="00F63D73" w:rsidRPr="009926FB">
              <w:rPr>
                <w:rFonts w:ascii="Arial" w:hAnsi="Arial" w:cs="Arial"/>
                <w:sz w:val="20"/>
                <w:szCs w:val="20"/>
              </w:rPr>
              <w:t xml:space="preserve"> </w:t>
            </w:r>
            <w:r w:rsidRPr="009926FB">
              <w:rPr>
                <w:rFonts w:ascii="Arial" w:hAnsi="Arial" w:cs="Arial"/>
                <w:sz w:val="20"/>
                <w:szCs w:val="20"/>
              </w:rPr>
              <w:t>mio</w:t>
            </w:r>
            <w:r w:rsidR="008C1477">
              <w:rPr>
                <w:rFonts w:ascii="Arial" w:hAnsi="Arial" w:cs="Arial"/>
                <w:sz w:val="20"/>
                <w:szCs w:val="20"/>
              </w:rPr>
              <w:t> </w:t>
            </w:r>
            <w:r w:rsidR="009926FB">
              <w:rPr>
                <w:rFonts w:ascii="Arial" w:hAnsi="Arial" w:cs="Arial"/>
                <w:sz w:val="20"/>
                <w:szCs w:val="20"/>
              </w:rPr>
              <w:t>EUR</w:t>
            </w:r>
            <w:r w:rsidRPr="009926FB">
              <w:rPr>
                <w:rFonts w:ascii="Arial" w:hAnsi="Arial" w:cs="Arial"/>
                <w:sz w:val="20"/>
                <w:szCs w:val="20"/>
              </w:rPr>
              <w:t>. V letu 2024 b</w:t>
            </w:r>
            <w:r w:rsidR="0010031F" w:rsidRPr="009926FB">
              <w:rPr>
                <w:rFonts w:ascii="Arial" w:hAnsi="Arial" w:cs="Arial"/>
                <w:sz w:val="20"/>
                <w:szCs w:val="20"/>
              </w:rPr>
              <w:t>o</w:t>
            </w:r>
            <w:r w:rsidRPr="009926FB">
              <w:rPr>
                <w:rFonts w:ascii="Arial" w:hAnsi="Arial" w:cs="Arial"/>
                <w:sz w:val="20"/>
                <w:szCs w:val="20"/>
              </w:rPr>
              <w:t xml:space="preserve"> ohranitev splošne olajšave na ravni </w:t>
            </w:r>
            <w:r w:rsidR="00BC0039" w:rsidRPr="009926FB">
              <w:rPr>
                <w:rFonts w:ascii="Arial" w:hAnsi="Arial" w:cs="Arial"/>
                <w:sz w:val="20"/>
                <w:szCs w:val="20"/>
              </w:rPr>
              <w:t>5</w:t>
            </w:r>
            <w:r w:rsidRPr="009926FB">
              <w:rPr>
                <w:rFonts w:ascii="Arial" w:hAnsi="Arial" w:cs="Arial"/>
                <w:sz w:val="20"/>
                <w:szCs w:val="20"/>
              </w:rPr>
              <w:t>.</w:t>
            </w:r>
            <w:r w:rsidR="00E3244A" w:rsidRPr="009926FB">
              <w:rPr>
                <w:rFonts w:ascii="Arial" w:hAnsi="Arial" w:cs="Arial"/>
                <w:sz w:val="20"/>
                <w:szCs w:val="20"/>
              </w:rPr>
              <w:t>0</w:t>
            </w:r>
            <w:r w:rsidRPr="009926FB">
              <w:rPr>
                <w:rFonts w:ascii="Arial" w:hAnsi="Arial" w:cs="Arial"/>
                <w:sz w:val="20"/>
                <w:szCs w:val="20"/>
              </w:rPr>
              <w:t>00</w:t>
            </w:r>
            <w:r w:rsidR="008C1477">
              <w:rPr>
                <w:rFonts w:ascii="Arial" w:hAnsi="Arial" w:cs="Arial"/>
                <w:sz w:val="20"/>
                <w:szCs w:val="20"/>
              </w:rPr>
              <w:t> </w:t>
            </w:r>
            <w:r w:rsidR="0010031F" w:rsidRPr="009926FB">
              <w:rPr>
                <w:rFonts w:ascii="Arial" w:hAnsi="Arial" w:cs="Arial"/>
                <w:sz w:val="20"/>
                <w:szCs w:val="20"/>
              </w:rPr>
              <w:t xml:space="preserve">EUR </w:t>
            </w:r>
            <w:r w:rsidR="00BC0039" w:rsidRPr="009926FB">
              <w:rPr>
                <w:rFonts w:ascii="Arial" w:hAnsi="Arial" w:cs="Arial"/>
                <w:sz w:val="20"/>
                <w:szCs w:val="20"/>
              </w:rPr>
              <w:t>(torej se v letu 2024 ne poveča na 6.500</w:t>
            </w:r>
            <w:r w:rsidR="008C1477">
              <w:rPr>
                <w:rFonts w:ascii="Arial" w:hAnsi="Arial" w:cs="Arial"/>
                <w:sz w:val="20"/>
                <w:szCs w:val="20"/>
              </w:rPr>
              <w:t> </w:t>
            </w:r>
            <w:r w:rsidR="00BC0039" w:rsidRPr="009926FB">
              <w:rPr>
                <w:rFonts w:ascii="Arial" w:hAnsi="Arial" w:cs="Arial"/>
                <w:sz w:val="20"/>
                <w:szCs w:val="20"/>
              </w:rPr>
              <w:t xml:space="preserve">EUR) </w:t>
            </w:r>
            <w:r w:rsidRPr="009926FB">
              <w:rPr>
                <w:rFonts w:ascii="Arial" w:hAnsi="Arial" w:cs="Arial"/>
                <w:sz w:val="20"/>
                <w:szCs w:val="20"/>
              </w:rPr>
              <w:t>pomenil</w:t>
            </w:r>
            <w:r w:rsidR="00D43E92" w:rsidRPr="009926FB">
              <w:rPr>
                <w:rFonts w:ascii="Arial" w:hAnsi="Arial" w:cs="Arial"/>
                <w:sz w:val="20"/>
                <w:szCs w:val="20"/>
              </w:rPr>
              <w:t>a</w:t>
            </w:r>
            <w:r w:rsidRPr="009926FB">
              <w:rPr>
                <w:rFonts w:ascii="Arial" w:hAnsi="Arial" w:cs="Arial"/>
                <w:sz w:val="20"/>
                <w:szCs w:val="20"/>
              </w:rPr>
              <w:t>, da se prihodki iz dohodnine ne b</w:t>
            </w:r>
            <w:r w:rsidR="0010031F" w:rsidRPr="009926FB">
              <w:rPr>
                <w:rFonts w:ascii="Arial" w:hAnsi="Arial" w:cs="Arial"/>
                <w:sz w:val="20"/>
                <w:szCs w:val="20"/>
              </w:rPr>
              <w:t>odo</w:t>
            </w:r>
            <w:r w:rsidRPr="009926FB">
              <w:rPr>
                <w:rFonts w:ascii="Arial" w:hAnsi="Arial" w:cs="Arial"/>
                <w:sz w:val="20"/>
                <w:szCs w:val="20"/>
              </w:rPr>
              <w:t xml:space="preserve"> zmanjšali za dodatnih </w:t>
            </w:r>
            <w:r w:rsidR="27C3137F" w:rsidRPr="009926FB">
              <w:rPr>
                <w:rFonts w:ascii="Arial" w:hAnsi="Arial" w:cs="Arial"/>
                <w:sz w:val="20"/>
                <w:szCs w:val="20"/>
              </w:rPr>
              <w:t>1</w:t>
            </w:r>
            <w:r w:rsidR="101C2373" w:rsidRPr="009926FB">
              <w:rPr>
                <w:rFonts w:ascii="Arial" w:hAnsi="Arial" w:cs="Arial"/>
                <w:sz w:val="20"/>
                <w:szCs w:val="20"/>
              </w:rPr>
              <w:t>8</w:t>
            </w:r>
            <w:r w:rsidR="27C3137F" w:rsidRPr="009926FB">
              <w:rPr>
                <w:rFonts w:ascii="Arial" w:hAnsi="Arial" w:cs="Arial"/>
                <w:sz w:val="20"/>
                <w:szCs w:val="20"/>
              </w:rPr>
              <w:t>0</w:t>
            </w:r>
            <w:r w:rsidR="00E3244A" w:rsidRPr="009926FB">
              <w:rPr>
                <w:rFonts w:ascii="Arial" w:hAnsi="Arial" w:cs="Arial"/>
                <w:sz w:val="20"/>
                <w:szCs w:val="20"/>
              </w:rPr>
              <w:t xml:space="preserve"> </w:t>
            </w:r>
            <w:r w:rsidRPr="009926FB">
              <w:rPr>
                <w:rFonts w:ascii="Arial" w:hAnsi="Arial" w:cs="Arial"/>
                <w:sz w:val="20"/>
                <w:szCs w:val="20"/>
              </w:rPr>
              <w:t>mio</w:t>
            </w:r>
            <w:r w:rsidR="008C1477">
              <w:rPr>
                <w:rFonts w:ascii="Arial" w:hAnsi="Arial" w:cs="Arial"/>
                <w:sz w:val="20"/>
                <w:szCs w:val="20"/>
              </w:rPr>
              <w:t> </w:t>
            </w:r>
            <w:r w:rsidR="0010031F" w:rsidRPr="009926FB">
              <w:rPr>
                <w:rFonts w:ascii="Arial" w:hAnsi="Arial" w:cs="Arial"/>
                <w:sz w:val="20"/>
                <w:szCs w:val="20"/>
              </w:rPr>
              <w:t xml:space="preserve">EUR </w:t>
            </w:r>
            <w:r w:rsidRPr="009926FB">
              <w:rPr>
                <w:rFonts w:ascii="Arial" w:hAnsi="Arial" w:cs="Arial"/>
                <w:sz w:val="20"/>
                <w:szCs w:val="20"/>
              </w:rPr>
              <w:t xml:space="preserve">oziroma za dodatnih </w:t>
            </w:r>
            <w:r w:rsidR="101C2373" w:rsidRPr="009926FB">
              <w:rPr>
                <w:rFonts w:ascii="Arial" w:hAnsi="Arial" w:cs="Arial"/>
                <w:sz w:val="20"/>
                <w:szCs w:val="20"/>
              </w:rPr>
              <w:t>170</w:t>
            </w:r>
            <w:r w:rsidR="27C3137F" w:rsidRPr="009926FB">
              <w:rPr>
                <w:rFonts w:ascii="Arial" w:hAnsi="Arial" w:cs="Arial"/>
                <w:sz w:val="20"/>
                <w:szCs w:val="20"/>
              </w:rPr>
              <w:t xml:space="preserve"> </w:t>
            </w:r>
            <w:r w:rsidRPr="009926FB">
              <w:rPr>
                <w:rFonts w:ascii="Arial" w:hAnsi="Arial" w:cs="Arial"/>
                <w:sz w:val="20"/>
                <w:szCs w:val="20"/>
              </w:rPr>
              <w:t>mio</w:t>
            </w:r>
            <w:r w:rsidR="008C1477">
              <w:rPr>
                <w:rFonts w:ascii="Arial" w:hAnsi="Arial" w:cs="Arial"/>
                <w:sz w:val="20"/>
                <w:szCs w:val="20"/>
              </w:rPr>
              <w:t> </w:t>
            </w:r>
            <w:r w:rsidR="0010031F" w:rsidRPr="009926FB">
              <w:rPr>
                <w:rFonts w:ascii="Arial" w:hAnsi="Arial" w:cs="Arial"/>
                <w:sz w:val="20"/>
                <w:szCs w:val="20"/>
              </w:rPr>
              <w:t xml:space="preserve">EUR </w:t>
            </w:r>
            <w:r w:rsidRPr="009926FB">
              <w:rPr>
                <w:rFonts w:ascii="Arial" w:hAnsi="Arial" w:cs="Arial"/>
                <w:sz w:val="20"/>
                <w:szCs w:val="20"/>
              </w:rPr>
              <w:t>v letu 2025</w:t>
            </w:r>
            <w:r w:rsidR="00F63D73" w:rsidRPr="009926FB">
              <w:rPr>
                <w:rFonts w:ascii="Arial" w:hAnsi="Arial" w:cs="Arial"/>
                <w:sz w:val="20"/>
                <w:szCs w:val="20"/>
              </w:rPr>
              <w:t xml:space="preserve"> (brez sprememb bi se splošna olajšava povišala na 7.500</w:t>
            </w:r>
            <w:r w:rsidR="008C1477">
              <w:rPr>
                <w:rFonts w:ascii="Arial" w:hAnsi="Arial" w:cs="Arial"/>
                <w:sz w:val="20"/>
                <w:szCs w:val="20"/>
              </w:rPr>
              <w:t> </w:t>
            </w:r>
            <w:r w:rsidR="009926FB">
              <w:rPr>
                <w:rFonts w:ascii="Arial" w:hAnsi="Arial" w:cs="Arial"/>
                <w:sz w:val="20"/>
                <w:szCs w:val="20"/>
              </w:rPr>
              <w:t>EUR</w:t>
            </w:r>
            <w:r w:rsidR="00F63D73" w:rsidRPr="009926FB">
              <w:rPr>
                <w:rFonts w:ascii="Arial" w:hAnsi="Arial" w:cs="Arial"/>
                <w:sz w:val="20"/>
                <w:szCs w:val="20"/>
              </w:rPr>
              <w:t>)</w:t>
            </w:r>
            <w:r w:rsidRPr="009926FB">
              <w:rPr>
                <w:rFonts w:ascii="Arial" w:hAnsi="Arial" w:cs="Arial"/>
                <w:sz w:val="20"/>
                <w:szCs w:val="20"/>
              </w:rPr>
              <w:t>.</w:t>
            </w:r>
          </w:p>
          <w:p w14:paraId="3F7D4407" w14:textId="77777777" w:rsidR="001955FF" w:rsidRPr="009926FB" w:rsidRDefault="001955FF" w:rsidP="006727E1">
            <w:pPr>
              <w:spacing w:after="0" w:line="276" w:lineRule="auto"/>
              <w:jc w:val="both"/>
              <w:rPr>
                <w:rFonts w:ascii="Arial" w:hAnsi="Arial" w:cs="Arial"/>
                <w:sz w:val="20"/>
                <w:szCs w:val="20"/>
              </w:rPr>
            </w:pPr>
          </w:p>
          <w:p w14:paraId="04B0852E" w14:textId="3D179A0A" w:rsidR="00471777" w:rsidRPr="009926FB" w:rsidRDefault="00471777" w:rsidP="006727E1">
            <w:pPr>
              <w:spacing w:after="0" w:line="276" w:lineRule="auto"/>
              <w:jc w:val="both"/>
              <w:rPr>
                <w:rFonts w:ascii="Arial" w:hAnsi="Arial" w:cs="Arial"/>
                <w:sz w:val="20"/>
                <w:szCs w:val="20"/>
              </w:rPr>
            </w:pPr>
            <w:r w:rsidRPr="009926FB">
              <w:rPr>
                <w:rFonts w:ascii="Arial" w:hAnsi="Arial" w:cs="Arial"/>
                <w:sz w:val="20"/>
                <w:szCs w:val="20"/>
              </w:rPr>
              <w:t>Pri plačilu za poslovno uspešnost se odpravlja možnost davčno ugodnejše obravnave dohodka iz naslova plačila za delovno uspešnost v višini 100</w:t>
            </w:r>
            <w:r w:rsidR="008C1477">
              <w:rPr>
                <w:rFonts w:ascii="Arial" w:hAnsi="Arial" w:cs="Arial"/>
                <w:sz w:val="20"/>
                <w:szCs w:val="20"/>
              </w:rPr>
              <w:t> </w:t>
            </w:r>
            <w:r w:rsidRPr="009926FB">
              <w:rPr>
                <w:rFonts w:ascii="Arial" w:hAnsi="Arial" w:cs="Arial"/>
                <w:sz w:val="20"/>
                <w:szCs w:val="20"/>
              </w:rPr>
              <w:t>% povprečne plače delavca in se ohranja splošna višina neobdavčenega dela, to je 100</w:t>
            </w:r>
            <w:r w:rsidR="008C1477">
              <w:rPr>
                <w:rFonts w:ascii="Arial" w:hAnsi="Arial" w:cs="Arial"/>
                <w:sz w:val="20"/>
                <w:szCs w:val="20"/>
              </w:rPr>
              <w:t> </w:t>
            </w:r>
            <w:r w:rsidRPr="009926FB">
              <w:rPr>
                <w:rFonts w:ascii="Arial" w:hAnsi="Arial" w:cs="Arial"/>
                <w:sz w:val="20"/>
                <w:szCs w:val="20"/>
              </w:rPr>
              <w:t>% povprečne mesečne plače zaposlenih v Sloveniji</w:t>
            </w:r>
            <w:r w:rsidR="00C561DC" w:rsidRPr="009926FB">
              <w:rPr>
                <w:rFonts w:ascii="Arial" w:hAnsi="Arial" w:cs="Arial"/>
                <w:sz w:val="20"/>
                <w:szCs w:val="20"/>
              </w:rPr>
              <w:t xml:space="preserve">. Predlagana rešitev bo imela predvsem </w:t>
            </w:r>
            <w:r w:rsidR="008C1477">
              <w:rPr>
                <w:rFonts w:ascii="Arial" w:hAnsi="Arial" w:cs="Arial"/>
                <w:sz w:val="20"/>
                <w:szCs w:val="20"/>
              </w:rPr>
              <w:t>dolgoročno</w:t>
            </w:r>
            <w:r w:rsidR="00C561DC" w:rsidRPr="009926FB">
              <w:rPr>
                <w:rFonts w:ascii="Arial" w:hAnsi="Arial" w:cs="Arial"/>
                <w:sz w:val="20"/>
                <w:szCs w:val="20"/>
              </w:rPr>
              <w:t xml:space="preserve"> pozitivne učinke, saj sprememba ne bo še dodatno spodbujala </w:t>
            </w:r>
            <w:r w:rsidR="44B4C4F9" w:rsidRPr="009926FB">
              <w:rPr>
                <w:rFonts w:ascii="Arial" w:hAnsi="Arial" w:cs="Arial"/>
                <w:sz w:val="20"/>
                <w:szCs w:val="20"/>
              </w:rPr>
              <w:t>prelivanje redne plače v iz</w:t>
            </w:r>
            <w:r w:rsidR="0AB14841" w:rsidRPr="009926FB">
              <w:rPr>
                <w:rFonts w:ascii="Arial" w:hAnsi="Arial" w:cs="Arial"/>
                <w:sz w:val="20"/>
                <w:szCs w:val="20"/>
              </w:rPr>
              <w:t>plačila nagrade</w:t>
            </w:r>
            <w:r w:rsidR="44B4C4F9" w:rsidRPr="009926FB">
              <w:rPr>
                <w:rFonts w:ascii="Arial" w:hAnsi="Arial" w:cs="Arial"/>
                <w:sz w:val="20"/>
                <w:szCs w:val="20"/>
              </w:rPr>
              <w:t xml:space="preserve"> </w:t>
            </w:r>
            <w:r w:rsidR="0AB14841" w:rsidRPr="009926FB">
              <w:rPr>
                <w:rFonts w:ascii="Arial" w:hAnsi="Arial" w:cs="Arial"/>
                <w:sz w:val="20"/>
                <w:szCs w:val="20"/>
              </w:rPr>
              <w:t>iz</w:t>
            </w:r>
            <w:r w:rsidR="00C561DC" w:rsidRPr="009926FB">
              <w:rPr>
                <w:rFonts w:ascii="Arial" w:hAnsi="Arial" w:cs="Arial"/>
                <w:sz w:val="20"/>
                <w:szCs w:val="20"/>
              </w:rPr>
              <w:t xml:space="preserve"> naslova poslovne uspešnosti</w:t>
            </w:r>
            <w:r w:rsidRPr="009926FB">
              <w:rPr>
                <w:rFonts w:ascii="Arial" w:hAnsi="Arial" w:cs="Arial"/>
                <w:sz w:val="20"/>
                <w:szCs w:val="20"/>
              </w:rPr>
              <w:t xml:space="preserve"> </w:t>
            </w:r>
            <w:r w:rsidR="00C561DC" w:rsidRPr="009926FB">
              <w:rPr>
                <w:rFonts w:ascii="Arial" w:hAnsi="Arial" w:cs="Arial"/>
                <w:sz w:val="20"/>
                <w:szCs w:val="20"/>
              </w:rPr>
              <w:t xml:space="preserve">kot posledica ugodnejše davčne obravnave. </w:t>
            </w:r>
            <w:r w:rsidR="00F63D73" w:rsidRPr="009926FB">
              <w:rPr>
                <w:rFonts w:ascii="Arial" w:hAnsi="Arial" w:cs="Arial"/>
                <w:sz w:val="20"/>
                <w:szCs w:val="20"/>
              </w:rPr>
              <w:t>Pričakujemo, da bo taka sprememba pomenila zvišanje</w:t>
            </w:r>
            <w:r w:rsidR="00C561DC" w:rsidRPr="009926FB">
              <w:rPr>
                <w:rFonts w:ascii="Arial" w:hAnsi="Arial" w:cs="Arial"/>
                <w:sz w:val="20"/>
                <w:szCs w:val="20"/>
              </w:rPr>
              <w:t xml:space="preserve"> </w:t>
            </w:r>
            <w:r w:rsidRPr="009926FB">
              <w:rPr>
                <w:rFonts w:ascii="Arial" w:hAnsi="Arial" w:cs="Arial"/>
                <w:sz w:val="20"/>
                <w:szCs w:val="20"/>
              </w:rPr>
              <w:t>prihodk</w:t>
            </w:r>
            <w:r w:rsidR="00F63D73" w:rsidRPr="009926FB">
              <w:rPr>
                <w:rFonts w:ascii="Arial" w:hAnsi="Arial" w:cs="Arial"/>
                <w:sz w:val="20"/>
                <w:szCs w:val="20"/>
              </w:rPr>
              <w:t xml:space="preserve">ov iz dohodnine </w:t>
            </w:r>
            <w:r w:rsidRPr="009926FB">
              <w:rPr>
                <w:rFonts w:ascii="Arial" w:hAnsi="Arial" w:cs="Arial"/>
                <w:sz w:val="20"/>
                <w:szCs w:val="20"/>
              </w:rPr>
              <w:t xml:space="preserve">za </w:t>
            </w:r>
            <w:r w:rsidR="00C561DC" w:rsidRPr="009926FB">
              <w:rPr>
                <w:rFonts w:ascii="Arial" w:hAnsi="Arial" w:cs="Arial"/>
                <w:sz w:val="20"/>
                <w:szCs w:val="20"/>
              </w:rPr>
              <w:t xml:space="preserve">okoli </w:t>
            </w:r>
            <w:r w:rsidRPr="009926FB">
              <w:rPr>
                <w:rFonts w:ascii="Arial" w:hAnsi="Arial" w:cs="Arial"/>
                <w:sz w:val="20"/>
                <w:szCs w:val="20"/>
              </w:rPr>
              <w:t>20 mio</w:t>
            </w:r>
            <w:r w:rsidR="008C1477">
              <w:rPr>
                <w:rFonts w:ascii="Arial" w:hAnsi="Arial" w:cs="Arial"/>
                <w:sz w:val="20"/>
                <w:szCs w:val="20"/>
              </w:rPr>
              <w:t> </w:t>
            </w:r>
            <w:r w:rsidR="009926FB">
              <w:rPr>
                <w:rFonts w:ascii="Arial" w:hAnsi="Arial" w:cs="Arial"/>
                <w:sz w:val="20"/>
                <w:szCs w:val="20"/>
              </w:rPr>
              <w:t>EUR</w:t>
            </w:r>
            <w:r w:rsidR="00F63D73" w:rsidRPr="009926FB">
              <w:rPr>
                <w:rFonts w:ascii="Arial" w:hAnsi="Arial" w:cs="Arial"/>
                <w:sz w:val="20"/>
                <w:szCs w:val="20"/>
              </w:rPr>
              <w:t xml:space="preserve"> letno.</w:t>
            </w:r>
            <w:r w:rsidR="00C561DC" w:rsidRPr="009926FB">
              <w:rPr>
                <w:rFonts w:ascii="Arial" w:hAnsi="Arial" w:cs="Arial"/>
                <w:sz w:val="20"/>
                <w:szCs w:val="20"/>
              </w:rPr>
              <w:t xml:space="preserve"> </w:t>
            </w:r>
          </w:p>
          <w:p w14:paraId="48738C73" w14:textId="77777777" w:rsidR="0010031F" w:rsidRPr="009926FB" w:rsidRDefault="0010031F" w:rsidP="006727E1">
            <w:pPr>
              <w:spacing w:after="0" w:line="276" w:lineRule="auto"/>
              <w:jc w:val="both"/>
              <w:rPr>
                <w:rFonts w:ascii="Arial" w:hAnsi="Arial" w:cs="Arial"/>
                <w:sz w:val="20"/>
                <w:szCs w:val="20"/>
              </w:rPr>
            </w:pPr>
          </w:p>
          <w:p w14:paraId="3465AA02" w14:textId="0570CD36" w:rsidR="00CA5DA2" w:rsidRPr="009926FB" w:rsidRDefault="00A75E7C" w:rsidP="00CA5DA2">
            <w:pPr>
              <w:spacing w:line="276" w:lineRule="auto"/>
              <w:contextualSpacing/>
              <w:jc w:val="both"/>
              <w:rPr>
                <w:rFonts w:ascii="Arial" w:hAnsi="Arial" w:cs="Arial"/>
                <w:sz w:val="20"/>
                <w:szCs w:val="20"/>
              </w:rPr>
            </w:pPr>
            <w:r w:rsidRPr="009926FB">
              <w:rPr>
                <w:rFonts w:ascii="Arial" w:eastAsia="Calibri" w:hAnsi="Arial" w:cs="Arial"/>
                <w:sz w:val="20"/>
                <w:szCs w:val="20"/>
              </w:rPr>
              <w:t>S</w:t>
            </w:r>
            <w:r w:rsidR="00CA5DA2" w:rsidRPr="009926FB">
              <w:rPr>
                <w:rFonts w:ascii="Arial" w:eastAsia="Calibri" w:hAnsi="Arial" w:cs="Arial"/>
                <w:sz w:val="20"/>
                <w:szCs w:val="20"/>
              </w:rPr>
              <w:t>prememb</w:t>
            </w:r>
            <w:r w:rsidRPr="009926FB">
              <w:rPr>
                <w:rFonts w:ascii="Arial" w:eastAsia="Calibri" w:hAnsi="Arial" w:cs="Arial"/>
                <w:sz w:val="20"/>
                <w:szCs w:val="20"/>
              </w:rPr>
              <w:t xml:space="preserve">a </w:t>
            </w:r>
            <w:r w:rsidR="00CA5DA2" w:rsidRPr="009926FB">
              <w:rPr>
                <w:rFonts w:ascii="Arial" w:eastAsia="Calibri" w:hAnsi="Arial" w:cs="Arial"/>
                <w:sz w:val="20"/>
                <w:szCs w:val="20"/>
              </w:rPr>
              <w:t xml:space="preserve"> </w:t>
            </w:r>
            <w:r w:rsidRPr="009926FB">
              <w:rPr>
                <w:rFonts w:ascii="Arial" w:eastAsia="Calibri" w:hAnsi="Arial" w:cs="Arial"/>
                <w:sz w:val="20"/>
                <w:szCs w:val="20"/>
              </w:rPr>
              <w:t>davčne stopnje v 5.</w:t>
            </w:r>
            <w:r w:rsidR="008C1477">
              <w:rPr>
                <w:rFonts w:ascii="Arial" w:eastAsia="Calibri" w:hAnsi="Arial" w:cs="Arial"/>
                <w:sz w:val="20"/>
                <w:szCs w:val="20"/>
              </w:rPr>
              <w:t> </w:t>
            </w:r>
            <w:r w:rsidRPr="009926FB">
              <w:rPr>
                <w:rFonts w:ascii="Arial" w:eastAsia="Calibri" w:hAnsi="Arial" w:cs="Arial"/>
                <w:sz w:val="20"/>
                <w:szCs w:val="20"/>
              </w:rPr>
              <w:t xml:space="preserve">dohodninskem razredu, kjer se davčna stopnja zvišuje </w:t>
            </w:r>
            <w:r w:rsidR="00D43E92" w:rsidRPr="009926FB">
              <w:rPr>
                <w:rFonts w:ascii="Arial" w:eastAsia="Calibri" w:hAnsi="Arial" w:cs="Arial"/>
                <w:sz w:val="20"/>
                <w:szCs w:val="20"/>
              </w:rPr>
              <w:t>s</w:t>
            </w:r>
            <w:r w:rsidRPr="009926FB">
              <w:rPr>
                <w:rFonts w:ascii="Arial" w:eastAsia="Calibri" w:hAnsi="Arial" w:cs="Arial"/>
                <w:sz w:val="20"/>
                <w:szCs w:val="20"/>
              </w:rPr>
              <w:t xml:space="preserve"> sedanjih 45</w:t>
            </w:r>
            <w:r w:rsidR="008C1477">
              <w:rPr>
                <w:rFonts w:ascii="Arial" w:eastAsia="Calibri" w:hAnsi="Arial" w:cs="Arial"/>
                <w:sz w:val="20"/>
                <w:szCs w:val="20"/>
              </w:rPr>
              <w:t> </w:t>
            </w:r>
            <w:r w:rsidRPr="009926FB">
              <w:rPr>
                <w:rFonts w:ascii="Arial" w:eastAsia="Calibri" w:hAnsi="Arial" w:cs="Arial"/>
                <w:sz w:val="20"/>
                <w:szCs w:val="20"/>
              </w:rPr>
              <w:t>% na 50</w:t>
            </w:r>
            <w:r w:rsidR="008C1477">
              <w:rPr>
                <w:rFonts w:ascii="Arial" w:eastAsia="Calibri" w:hAnsi="Arial" w:cs="Arial"/>
                <w:sz w:val="20"/>
                <w:szCs w:val="20"/>
              </w:rPr>
              <w:t> </w:t>
            </w:r>
            <w:r w:rsidRPr="009926FB">
              <w:rPr>
                <w:rFonts w:ascii="Arial" w:eastAsia="Calibri" w:hAnsi="Arial" w:cs="Arial"/>
                <w:sz w:val="20"/>
                <w:szCs w:val="20"/>
              </w:rPr>
              <w:t xml:space="preserve">%, pomeni </w:t>
            </w:r>
            <w:r w:rsidR="00B81274" w:rsidRPr="009926FB">
              <w:rPr>
                <w:rFonts w:ascii="Arial" w:eastAsia="Calibri" w:hAnsi="Arial" w:cs="Arial"/>
                <w:sz w:val="20"/>
                <w:szCs w:val="20"/>
              </w:rPr>
              <w:t xml:space="preserve">povečanje prilivov iz </w:t>
            </w:r>
            <w:r w:rsidRPr="009926FB">
              <w:rPr>
                <w:rFonts w:ascii="Arial" w:eastAsia="Calibri" w:hAnsi="Arial" w:cs="Arial"/>
                <w:sz w:val="20"/>
                <w:szCs w:val="20"/>
              </w:rPr>
              <w:t>dohodnine v višini 11 mio</w:t>
            </w:r>
            <w:r w:rsidR="008C1477">
              <w:rPr>
                <w:rFonts w:ascii="Arial" w:eastAsia="Calibri" w:hAnsi="Arial" w:cs="Arial"/>
                <w:sz w:val="20"/>
                <w:szCs w:val="20"/>
              </w:rPr>
              <w:t> </w:t>
            </w:r>
            <w:r w:rsidRPr="009926FB">
              <w:rPr>
                <w:rFonts w:ascii="Arial" w:eastAsia="Calibri" w:hAnsi="Arial" w:cs="Arial"/>
                <w:sz w:val="20"/>
                <w:szCs w:val="20"/>
              </w:rPr>
              <w:t xml:space="preserve">EUR. Ocena je narejena ob upoštevanju podatkov odmere dohodnine za leto 2020 </w:t>
            </w:r>
            <w:r w:rsidRPr="009926FB">
              <w:rPr>
                <w:rFonts w:ascii="Arial" w:hAnsi="Arial" w:cs="Arial"/>
                <w:sz w:val="20"/>
                <w:szCs w:val="20"/>
              </w:rPr>
              <w:t>in predvideni rasti plač iz pomladanske napovedi UMAR.</w:t>
            </w:r>
          </w:p>
          <w:p w14:paraId="3609E8F9" w14:textId="4DBCA0C2" w:rsidR="00A75E7C" w:rsidRPr="009926FB" w:rsidRDefault="00A75E7C" w:rsidP="00CA5DA2">
            <w:pPr>
              <w:spacing w:line="276" w:lineRule="auto"/>
              <w:contextualSpacing/>
              <w:jc w:val="both"/>
              <w:rPr>
                <w:rFonts w:ascii="Arial" w:hAnsi="Arial" w:cs="Arial"/>
                <w:sz w:val="20"/>
                <w:szCs w:val="20"/>
              </w:rPr>
            </w:pPr>
          </w:p>
          <w:p w14:paraId="457D554B" w14:textId="2DB14842" w:rsidR="00A75E7C" w:rsidRDefault="00A75E7C" w:rsidP="009926FB">
            <w:pPr>
              <w:spacing w:line="276" w:lineRule="auto"/>
              <w:contextualSpacing/>
              <w:jc w:val="both"/>
              <w:rPr>
                <w:rFonts w:ascii="Arial" w:eastAsia="Calibri" w:hAnsi="Arial" w:cs="Arial"/>
                <w:sz w:val="20"/>
                <w:szCs w:val="20"/>
              </w:rPr>
            </w:pPr>
            <w:r w:rsidRPr="009926FB">
              <w:rPr>
                <w:rFonts w:ascii="Arial" w:eastAsia="Calibri" w:hAnsi="Arial" w:cs="Arial"/>
                <w:sz w:val="20"/>
                <w:szCs w:val="20"/>
              </w:rPr>
              <w:t>Učinek uvedbe</w:t>
            </w:r>
            <w:r w:rsidR="001502C2" w:rsidRPr="009926FB">
              <w:rPr>
                <w:rFonts w:ascii="Arial" w:eastAsia="Calibri" w:hAnsi="Arial" w:cs="Arial"/>
                <w:sz w:val="20"/>
                <w:szCs w:val="20"/>
              </w:rPr>
              <w:t xml:space="preserve"> posebne osebne olajšav</w:t>
            </w:r>
            <w:r w:rsidR="00AD21CD">
              <w:rPr>
                <w:rFonts w:ascii="Arial" w:eastAsia="Calibri" w:hAnsi="Arial" w:cs="Arial"/>
                <w:sz w:val="20"/>
                <w:szCs w:val="20"/>
              </w:rPr>
              <w:t>e</w:t>
            </w:r>
            <w:r w:rsidR="001502C2" w:rsidRPr="009926FB">
              <w:rPr>
                <w:rFonts w:ascii="Arial" w:eastAsia="Calibri" w:hAnsi="Arial" w:cs="Arial"/>
                <w:sz w:val="20"/>
                <w:szCs w:val="20"/>
              </w:rPr>
              <w:t xml:space="preserve"> za mlade do dopolnjenega 29. leta starosti (1.000</w:t>
            </w:r>
            <w:r w:rsidR="008C1477">
              <w:rPr>
                <w:rFonts w:ascii="Arial" w:eastAsia="Calibri" w:hAnsi="Arial" w:cs="Arial"/>
                <w:sz w:val="20"/>
                <w:szCs w:val="20"/>
              </w:rPr>
              <w:t> </w:t>
            </w:r>
            <w:r w:rsidR="00DE757B">
              <w:rPr>
                <w:rFonts w:ascii="Arial" w:eastAsia="Calibri" w:hAnsi="Arial" w:cs="Arial"/>
                <w:sz w:val="20"/>
                <w:szCs w:val="20"/>
              </w:rPr>
              <w:t>EUR</w:t>
            </w:r>
            <w:r w:rsidR="001502C2" w:rsidRPr="009926FB">
              <w:rPr>
                <w:rFonts w:ascii="Arial" w:eastAsia="Calibri" w:hAnsi="Arial" w:cs="Arial"/>
                <w:sz w:val="20"/>
                <w:szCs w:val="20"/>
              </w:rPr>
              <w:t xml:space="preserve">) je približno </w:t>
            </w:r>
            <w:r w:rsidR="00AD21CD">
              <w:rPr>
                <w:rFonts w:ascii="Arial" w:eastAsia="Calibri" w:hAnsi="Arial" w:cs="Arial"/>
                <w:sz w:val="20"/>
                <w:szCs w:val="20"/>
              </w:rPr>
              <w:t>20</w:t>
            </w:r>
            <w:r w:rsidR="001502C2" w:rsidRPr="009926FB">
              <w:rPr>
                <w:rFonts w:ascii="Arial" w:eastAsia="Calibri" w:hAnsi="Arial" w:cs="Arial"/>
                <w:sz w:val="20"/>
                <w:szCs w:val="20"/>
              </w:rPr>
              <w:t xml:space="preserve"> mio</w:t>
            </w:r>
            <w:r w:rsidR="008C1477">
              <w:rPr>
                <w:rFonts w:ascii="Arial" w:eastAsia="Calibri" w:hAnsi="Arial" w:cs="Arial"/>
                <w:sz w:val="20"/>
                <w:szCs w:val="20"/>
              </w:rPr>
              <w:t> </w:t>
            </w:r>
            <w:r w:rsidR="00DE757B">
              <w:rPr>
                <w:rFonts w:ascii="Arial" w:eastAsia="Calibri" w:hAnsi="Arial" w:cs="Arial"/>
                <w:sz w:val="20"/>
                <w:szCs w:val="20"/>
              </w:rPr>
              <w:t>EUR</w:t>
            </w:r>
            <w:r w:rsidR="5D6809E4">
              <w:rPr>
                <w:rFonts w:ascii="Arial" w:eastAsia="Calibri" w:hAnsi="Arial" w:cs="Arial"/>
                <w:sz w:val="20"/>
                <w:szCs w:val="20"/>
              </w:rPr>
              <w:t xml:space="preserve"> - nižji prihodki d</w:t>
            </w:r>
            <w:r w:rsidR="4CDB5F1D">
              <w:rPr>
                <w:rFonts w:ascii="Arial" w:eastAsia="Calibri" w:hAnsi="Arial" w:cs="Arial"/>
                <w:sz w:val="20"/>
                <w:szCs w:val="20"/>
              </w:rPr>
              <w:t>ržavn</w:t>
            </w:r>
            <w:r w:rsidR="00622D36">
              <w:rPr>
                <w:rFonts w:ascii="Arial" w:eastAsia="Calibri" w:hAnsi="Arial" w:cs="Arial"/>
                <w:sz w:val="20"/>
                <w:szCs w:val="20"/>
              </w:rPr>
              <w:t>e</w:t>
            </w:r>
            <w:r w:rsidR="4CDB5F1D">
              <w:rPr>
                <w:rFonts w:ascii="Arial" w:eastAsia="Calibri" w:hAnsi="Arial" w:cs="Arial"/>
                <w:sz w:val="20"/>
                <w:szCs w:val="20"/>
              </w:rPr>
              <w:t>ga prorač</w:t>
            </w:r>
            <w:r w:rsidR="00622D36">
              <w:rPr>
                <w:rFonts w:ascii="Arial" w:eastAsia="Calibri" w:hAnsi="Arial" w:cs="Arial"/>
                <w:sz w:val="20"/>
                <w:szCs w:val="20"/>
              </w:rPr>
              <w:t>u</w:t>
            </w:r>
            <w:r w:rsidR="4CDB5F1D">
              <w:rPr>
                <w:rFonts w:ascii="Arial" w:eastAsia="Calibri" w:hAnsi="Arial" w:cs="Arial"/>
                <w:sz w:val="20"/>
                <w:szCs w:val="20"/>
              </w:rPr>
              <w:t>na iz dohodnine</w:t>
            </w:r>
            <w:r w:rsidR="00AD21CD">
              <w:rPr>
                <w:rFonts w:ascii="Arial" w:eastAsia="Calibri" w:hAnsi="Arial" w:cs="Arial"/>
                <w:sz w:val="20"/>
                <w:szCs w:val="20"/>
              </w:rPr>
              <w:t>.</w:t>
            </w:r>
          </w:p>
          <w:p w14:paraId="58674658" w14:textId="0D027B8F" w:rsidR="009D3020" w:rsidRDefault="009D3020" w:rsidP="009926FB">
            <w:pPr>
              <w:spacing w:line="276" w:lineRule="auto"/>
              <w:contextualSpacing/>
              <w:jc w:val="both"/>
              <w:rPr>
                <w:rFonts w:ascii="Arial" w:eastAsia="Calibri" w:hAnsi="Arial" w:cs="Arial"/>
                <w:sz w:val="20"/>
                <w:szCs w:val="20"/>
              </w:rPr>
            </w:pPr>
          </w:p>
          <w:p w14:paraId="334ACB68" w14:textId="18F9040E" w:rsidR="009D3020" w:rsidRDefault="009D3020" w:rsidP="009926FB">
            <w:pPr>
              <w:spacing w:line="276" w:lineRule="auto"/>
              <w:contextualSpacing/>
              <w:jc w:val="both"/>
              <w:rPr>
                <w:rFonts w:ascii="Arial" w:eastAsia="Calibri" w:hAnsi="Arial" w:cs="Arial"/>
                <w:sz w:val="20"/>
                <w:szCs w:val="20"/>
              </w:rPr>
            </w:pPr>
            <w:r>
              <w:rPr>
                <w:rFonts w:ascii="Arial" w:eastAsia="Calibri" w:hAnsi="Arial" w:cs="Arial"/>
                <w:sz w:val="20"/>
                <w:szCs w:val="20"/>
              </w:rPr>
              <w:t>3.1.2 Vpliv sprememb na dohodke iz dejavnosti</w:t>
            </w:r>
          </w:p>
          <w:p w14:paraId="719DF442" w14:textId="1C9C73DC" w:rsidR="009D3020" w:rsidRDefault="00464A2E" w:rsidP="009926FB">
            <w:pPr>
              <w:spacing w:line="276" w:lineRule="auto"/>
              <w:contextualSpacing/>
              <w:jc w:val="both"/>
              <w:rPr>
                <w:rFonts w:ascii="Arial" w:eastAsia="Calibri" w:hAnsi="Arial" w:cs="Arial"/>
                <w:sz w:val="20"/>
                <w:szCs w:val="20"/>
              </w:rPr>
            </w:pPr>
            <w:r>
              <w:rPr>
                <w:rFonts w:ascii="Arial" w:eastAsia="Calibri" w:hAnsi="Arial" w:cs="Arial"/>
                <w:sz w:val="20"/>
                <w:szCs w:val="20"/>
              </w:rPr>
              <w:t>Rešitev</w:t>
            </w:r>
            <w:r w:rsidR="009D3020">
              <w:rPr>
                <w:rFonts w:ascii="Arial" w:eastAsia="Calibri" w:hAnsi="Arial" w:cs="Arial"/>
                <w:sz w:val="20"/>
                <w:szCs w:val="20"/>
              </w:rPr>
              <w:t xml:space="preserve"> v predlogu zakona, ki se nanaša na spremembo višine odhodkov, ki se priznava pri ugotavljanju davčne osnove v sistemu normiranih odhodkov, bi po oceni pomenil</w:t>
            </w:r>
            <w:r>
              <w:rPr>
                <w:rFonts w:ascii="Arial" w:eastAsia="Calibri" w:hAnsi="Arial" w:cs="Arial"/>
                <w:sz w:val="20"/>
                <w:szCs w:val="20"/>
              </w:rPr>
              <w:t>a</w:t>
            </w:r>
            <w:r w:rsidR="009D3020">
              <w:rPr>
                <w:rFonts w:ascii="Arial" w:eastAsia="Calibri" w:hAnsi="Arial" w:cs="Arial"/>
                <w:sz w:val="20"/>
                <w:szCs w:val="20"/>
              </w:rPr>
              <w:t xml:space="preserve">, da bi se prihodki iz dohodnine zvišali za približno </w:t>
            </w:r>
            <w:r w:rsidR="1E317747">
              <w:rPr>
                <w:rFonts w:ascii="Arial" w:eastAsia="Calibri" w:hAnsi="Arial" w:cs="Arial"/>
                <w:sz w:val="20"/>
                <w:szCs w:val="20"/>
              </w:rPr>
              <w:t>5</w:t>
            </w:r>
            <w:r w:rsidR="00B227C4">
              <w:rPr>
                <w:rFonts w:ascii="Arial" w:eastAsia="Calibri" w:hAnsi="Arial" w:cs="Arial"/>
                <w:sz w:val="20"/>
                <w:szCs w:val="20"/>
              </w:rPr>
              <w:t>6</w:t>
            </w:r>
            <w:r w:rsidR="009D3020">
              <w:rPr>
                <w:rFonts w:ascii="Arial" w:eastAsia="Calibri" w:hAnsi="Arial" w:cs="Arial"/>
                <w:sz w:val="20"/>
                <w:szCs w:val="20"/>
              </w:rPr>
              <w:t xml:space="preserve"> mio</w:t>
            </w:r>
            <w:r w:rsidR="008C1477">
              <w:rPr>
                <w:rFonts w:ascii="Arial" w:eastAsia="Calibri" w:hAnsi="Arial" w:cs="Arial"/>
                <w:sz w:val="20"/>
                <w:szCs w:val="20"/>
              </w:rPr>
              <w:t> </w:t>
            </w:r>
            <w:r w:rsidR="009D3020">
              <w:rPr>
                <w:rFonts w:ascii="Arial" w:eastAsia="Calibri" w:hAnsi="Arial" w:cs="Arial"/>
                <w:sz w:val="20"/>
                <w:szCs w:val="20"/>
              </w:rPr>
              <w:t>EUR.</w:t>
            </w:r>
            <w:r w:rsidR="000B3333">
              <w:rPr>
                <w:rFonts w:ascii="Arial" w:eastAsia="Calibri" w:hAnsi="Arial" w:cs="Arial"/>
                <w:sz w:val="20"/>
                <w:szCs w:val="20"/>
              </w:rPr>
              <w:t xml:space="preserve"> Ocena je narejena ob upoštevanju podatkov iz </w:t>
            </w:r>
            <w:r w:rsidR="000B3333" w:rsidRPr="00F444F9">
              <w:rPr>
                <w:rFonts w:ascii="Arial" w:hAnsi="Arial" w:cs="Arial"/>
                <w:sz w:val="20"/>
                <w:szCs w:val="20"/>
              </w:rPr>
              <w:t>obračunov akontacije dohodnine in dohodnine od dohodkov</w:t>
            </w:r>
            <w:r w:rsidR="008C1477">
              <w:rPr>
                <w:rFonts w:ascii="Arial" w:hAnsi="Arial" w:cs="Arial"/>
                <w:sz w:val="20"/>
                <w:szCs w:val="20"/>
              </w:rPr>
              <w:t>,</w:t>
            </w:r>
            <w:r w:rsidR="000B3333" w:rsidRPr="00F444F9">
              <w:rPr>
                <w:rFonts w:ascii="Arial" w:hAnsi="Arial" w:cs="Arial"/>
                <w:sz w:val="20"/>
                <w:szCs w:val="20"/>
              </w:rPr>
              <w:t xml:space="preserve"> doseženih z opravljanjem dejavnosti v letu 2021.</w:t>
            </w:r>
            <w:r w:rsidR="00261FD0">
              <w:rPr>
                <w:rFonts w:ascii="Arial" w:hAnsi="Arial" w:cs="Arial"/>
                <w:sz w:val="20"/>
                <w:szCs w:val="20"/>
              </w:rPr>
              <w:t xml:space="preserve"> Ob upoštevanju višjih dobičkov, ki jih bodo zavezanci zaradi predlagane rešitve imeli</w:t>
            </w:r>
            <w:r w:rsidR="008C1477">
              <w:rPr>
                <w:rFonts w:ascii="Arial" w:hAnsi="Arial" w:cs="Arial"/>
                <w:sz w:val="20"/>
                <w:szCs w:val="20"/>
              </w:rPr>
              <w:t>,</w:t>
            </w:r>
            <w:r w:rsidR="00261FD0">
              <w:rPr>
                <w:rFonts w:ascii="Arial" w:hAnsi="Arial" w:cs="Arial"/>
                <w:sz w:val="20"/>
                <w:szCs w:val="20"/>
              </w:rPr>
              <w:t xml:space="preserve"> pa ocenjujemo, da bi jim bili tako obračunani višji prispevki za socialno varnost, kar bo vplivalo pozitivno na prihodke pokojninske in zdravstvene blagajne.</w:t>
            </w:r>
          </w:p>
          <w:p w14:paraId="3B5DD2D3" w14:textId="77777777" w:rsidR="00311F9C" w:rsidRPr="009926FB" w:rsidRDefault="00311F9C" w:rsidP="009926FB">
            <w:pPr>
              <w:spacing w:line="276" w:lineRule="auto"/>
              <w:contextualSpacing/>
              <w:jc w:val="both"/>
              <w:rPr>
                <w:rFonts w:ascii="Arial" w:eastAsia="Calibri" w:hAnsi="Arial" w:cs="Arial"/>
                <w:sz w:val="20"/>
                <w:szCs w:val="20"/>
              </w:rPr>
            </w:pPr>
          </w:p>
          <w:p w14:paraId="310EF570" w14:textId="2DDB57B9" w:rsidR="006A67DF" w:rsidRPr="009926FB" w:rsidRDefault="006A67DF" w:rsidP="00CA5DA2">
            <w:pPr>
              <w:spacing w:line="276" w:lineRule="auto"/>
              <w:contextualSpacing/>
              <w:jc w:val="both"/>
              <w:rPr>
                <w:rFonts w:ascii="Arial" w:hAnsi="Arial" w:cs="Arial"/>
                <w:sz w:val="20"/>
                <w:szCs w:val="20"/>
              </w:rPr>
            </w:pPr>
            <w:r w:rsidRPr="009926FB">
              <w:rPr>
                <w:rFonts w:ascii="Arial" w:hAnsi="Arial" w:cs="Arial"/>
                <w:sz w:val="20"/>
                <w:szCs w:val="20"/>
              </w:rPr>
              <w:t>3.1.</w:t>
            </w:r>
            <w:r w:rsidR="009D3020">
              <w:rPr>
                <w:rFonts w:ascii="Arial" w:hAnsi="Arial" w:cs="Arial"/>
                <w:sz w:val="20"/>
                <w:szCs w:val="20"/>
              </w:rPr>
              <w:t>3</w:t>
            </w:r>
            <w:r w:rsidRPr="009926FB">
              <w:rPr>
                <w:rFonts w:ascii="Arial" w:hAnsi="Arial" w:cs="Arial"/>
                <w:sz w:val="20"/>
                <w:szCs w:val="20"/>
              </w:rPr>
              <w:t xml:space="preserve"> Vpliv sprememb pri oddajanju premoženja v najem</w:t>
            </w:r>
            <w:r w:rsidR="00B227C4">
              <w:rPr>
                <w:rFonts w:ascii="Arial" w:hAnsi="Arial" w:cs="Arial"/>
                <w:sz w:val="20"/>
                <w:szCs w:val="20"/>
              </w:rPr>
              <w:t xml:space="preserve"> in dohodkov iz kapitala</w:t>
            </w:r>
          </w:p>
          <w:p w14:paraId="45A51362" w14:textId="16B99ABE" w:rsidR="00A75E7C" w:rsidRDefault="006A67DF" w:rsidP="00CA5DA2">
            <w:pPr>
              <w:spacing w:line="276" w:lineRule="auto"/>
              <w:contextualSpacing/>
              <w:jc w:val="both"/>
              <w:rPr>
                <w:rFonts w:ascii="Arial" w:eastAsia="Calibri" w:hAnsi="Arial" w:cs="Arial"/>
                <w:sz w:val="20"/>
                <w:szCs w:val="20"/>
              </w:rPr>
            </w:pPr>
            <w:r w:rsidRPr="009926FB">
              <w:rPr>
                <w:rFonts w:ascii="Arial" w:eastAsia="Calibri" w:hAnsi="Arial" w:cs="Arial"/>
                <w:sz w:val="20"/>
                <w:szCs w:val="20"/>
              </w:rPr>
              <w:t>Sprememba stopnje dohodnine od dohodkov iz oddajanja premoženja v najem bo zvišala prihodke iz dohodnine za približno okoli 24 mio</w:t>
            </w:r>
            <w:r w:rsidR="008C1477">
              <w:rPr>
                <w:rFonts w:ascii="Arial" w:eastAsia="Calibri" w:hAnsi="Arial" w:cs="Arial"/>
                <w:sz w:val="20"/>
                <w:szCs w:val="20"/>
              </w:rPr>
              <w:t> </w:t>
            </w:r>
            <w:r w:rsidR="002908E8">
              <w:rPr>
                <w:rFonts w:ascii="Arial" w:eastAsia="Calibri" w:hAnsi="Arial" w:cs="Arial"/>
                <w:sz w:val="20"/>
                <w:szCs w:val="20"/>
              </w:rPr>
              <w:t>EUR</w:t>
            </w:r>
            <w:r w:rsidRPr="009926FB">
              <w:rPr>
                <w:rFonts w:ascii="Arial" w:eastAsia="Calibri" w:hAnsi="Arial" w:cs="Arial"/>
                <w:sz w:val="20"/>
                <w:szCs w:val="20"/>
              </w:rPr>
              <w:t xml:space="preserve"> letno.</w:t>
            </w:r>
          </w:p>
          <w:p w14:paraId="6F5B1300" w14:textId="77777777" w:rsidR="00B227C4" w:rsidRDefault="00B227C4" w:rsidP="00B227C4">
            <w:pPr>
              <w:spacing w:after="0" w:line="276" w:lineRule="auto"/>
              <w:jc w:val="both"/>
              <w:rPr>
                <w:rFonts w:ascii="Arial" w:eastAsia="Times New Roman" w:hAnsi="Arial" w:cs="Arial"/>
                <w:sz w:val="20"/>
                <w:szCs w:val="20"/>
                <w:lang w:eastAsia="sl-SI"/>
              </w:rPr>
            </w:pPr>
          </w:p>
          <w:p w14:paraId="5387F4B6" w14:textId="1BB04920" w:rsidR="00B227C4" w:rsidRPr="006708D5" w:rsidRDefault="00B227C4" w:rsidP="00B227C4">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 xml:space="preserve">Ocenjujemo, da druge spremembe vezane na obdavčitev dohodkov doseženih iz oddajanja v najem in kapitala, ki se predlagajo v noveli zakona ne bodo imele pomembnih učinkov na državni proračun in druga javnofinančna sredstva. </w:t>
            </w:r>
          </w:p>
          <w:p w14:paraId="4B0895F8" w14:textId="77777777" w:rsidR="007C0FD5" w:rsidRDefault="007C0FD5" w:rsidP="00CA5DA2">
            <w:pPr>
              <w:spacing w:line="276" w:lineRule="auto"/>
              <w:contextualSpacing/>
              <w:jc w:val="both"/>
              <w:rPr>
                <w:rFonts w:ascii="Arial" w:eastAsia="Calibri" w:hAnsi="Arial" w:cs="Arial"/>
                <w:sz w:val="20"/>
                <w:szCs w:val="20"/>
              </w:rPr>
            </w:pPr>
          </w:p>
          <w:p w14:paraId="56C32F38" w14:textId="3034D82A" w:rsidR="00CD329B" w:rsidRPr="00D42269" w:rsidRDefault="00CD329B" w:rsidP="00CD329B">
            <w:pPr>
              <w:spacing w:after="0" w:line="276" w:lineRule="auto"/>
              <w:jc w:val="both"/>
              <w:rPr>
                <w:rFonts w:ascii="Arial" w:eastAsia="Times New Roman" w:hAnsi="Arial" w:cs="Arial"/>
                <w:sz w:val="20"/>
                <w:szCs w:val="20"/>
                <w:lang w:eastAsia="sl-SI"/>
              </w:rPr>
            </w:pPr>
            <w:r w:rsidRPr="00D42269">
              <w:rPr>
                <w:rFonts w:ascii="Arial" w:eastAsia="Times New Roman" w:hAnsi="Arial" w:cs="Arial"/>
                <w:sz w:val="20"/>
                <w:szCs w:val="20"/>
                <w:lang w:eastAsia="sl-SI"/>
              </w:rPr>
              <w:t>3.1.</w:t>
            </w:r>
            <w:r w:rsidR="001860CA">
              <w:rPr>
                <w:rFonts w:ascii="Arial" w:eastAsia="Times New Roman" w:hAnsi="Arial" w:cs="Arial"/>
                <w:sz w:val="20"/>
                <w:szCs w:val="20"/>
                <w:lang w:eastAsia="sl-SI"/>
              </w:rPr>
              <w:t>4</w:t>
            </w:r>
            <w:r w:rsidRPr="00D42269">
              <w:rPr>
                <w:rFonts w:ascii="Arial" w:eastAsia="Times New Roman" w:hAnsi="Arial" w:cs="Arial"/>
                <w:sz w:val="20"/>
                <w:szCs w:val="20"/>
                <w:lang w:eastAsia="sl-SI"/>
              </w:rPr>
              <w:t xml:space="preserve"> Kmetijstvo</w:t>
            </w:r>
          </w:p>
          <w:p w14:paraId="2E5B41E8" w14:textId="3C1961D8" w:rsidR="004513FD" w:rsidRPr="009926FB" w:rsidRDefault="00260439" w:rsidP="006727E1">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S predlagano rešitvijo bi se </w:t>
            </w:r>
            <w:r w:rsidR="00951BAE">
              <w:rPr>
                <w:rFonts w:ascii="Arial" w:eastAsia="Times New Roman" w:hAnsi="Arial" w:cs="Arial"/>
                <w:sz w:val="20"/>
                <w:szCs w:val="20"/>
                <w:lang w:eastAsia="sl-SI"/>
              </w:rPr>
              <w:t xml:space="preserve"> dodatno</w:t>
            </w:r>
            <w:r>
              <w:rPr>
                <w:rFonts w:ascii="Arial" w:eastAsia="Times New Roman" w:hAnsi="Arial" w:cs="Arial"/>
                <w:sz w:val="20"/>
                <w:szCs w:val="20"/>
                <w:lang w:eastAsia="sl-SI"/>
              </w:rPr>
              <w:t xml:space="preserve"> v obdavčitev zajelo </w:t>
            </w:r>
            <w:r w:rsidR="00951BAE" w:rsidRPr="00951BAE">
              <w:rPr>
                <w:rFonts w:ascii="Arial" w:eastAsia="Times New Roman" w:hAnsi="Arial" w:cs="Arial"/>
                <w:sz w:val="20"/>
                <w:szCs w:val="20"/>
                <w:lang w:eastAsia="sl-SI"/>
              </w:rPr>
              <w:t xml:space="preserve">polovico zneskov plačil za težje pridelovalne razmere, torej okoli 20 mio </w:t>
            </w:r>
            <w:r w:rsidR="00951BAE">
              <w:rPr>
                <w:rFonts w:ascii="Arial" w:eastAsia="Times New Roman" w:hAnsi="Arial" w:cs="Arial"/>
                <w:sz w:val="20"/>
                <w:szCs w:val="20"/>
                <w:lang w:eastAsia="sl-SI"/>
              </w:rPr>
              <w:t>EUR</w:t>
            </w:r>
            <w:r w:rsidR="00951BAE" w:rsidRPr="00951BAE">
              <w:rPr>
                <w:rFonts w:ascii="Arial" w:eastAsia="Times New Roman" w:hAnsi="Arial" w:cs="Arial"/>
                <w:sz w:val="20"/>
                <w:szCs w:val="20"/>
                <w:lang w:eastAsia="sl-SI"/>
              </w:rPr>
              <w:t xml:space="preserve"> letno, obenem pa iz davčne osnove izvzelo med 5 in 10 mio </w:t>
            </w:r>
            <w:r w:rsidR="00951BAE">
              <w:rPr>
                <w:rFonts w:ascii="Arial" w:eastAsia="Times New Roman" w:hAnsi="Arial" w:cs="Arial"/>
                <w:sz w:val="20"/>
                <w:szCs w:val="20"/>
                <w:lang w:eastAsia="sl-SI"/>
              </w:rPr>
              <w:t>EUR</w:t>
            </w:r>
            <w:r w:rsidR="00951BAE" w:rsidRPr="00951BAE">
              <w:rPr>
                <w:rFonts w:ascii="Arial" w:eastAsia="Times New Roman" w:hAnsi="Arial" w:cs="Arial"/>
                <w:sz w:val="20"/>
                <w:szCs w:val="20"/>
                <w:lang w:eastAsia="sl-SI"/>
              </w:rPr>
              <w:t xml:space="preserve"> podpor za spodbujanje zavarovanja kmetijskih pridelkov in živali. Obenem se bo iz obdavčitve izključeval tudi del podpor za vzpostavitev gospodarstev mladih kmetov, ki so morda do sedaj bile del davčne osnove. Ocenjuje se, da se skupna davčna osnova od dohodkov iz osnovne kmetijske in osnovne gozdarske dejavnosti ne bo bistveno spremenila. Iz naslova sprememb 26. člena ZDoh-2 torej ni pričakovati pomembnejših sprememb finančnih učinkov na javna finančna sredstva.</w:t>
            </w:r>
            <w:r w:rsidR="00951BAE">
              <w:rPr>
                <w:rFonts w:ascii="Arial" w:eastAsia="Times New Roman" w:hAnsi="Arial" w:cs="Arial"/>
                <w:sz w:val="20"/>
                <w:szCs w:val="20"/>
                <w:lang w:eastAsia="sl-SI"/>
              </w:rPr>
              <w:t xml:space="preserve"> </w:t>
            </w:r>
          </w:p>
        </w:tc>
      </w:tr>
      <w:tr w:rsidR="004513FD" w:rsidRPr="004513FD" w14:paraId="77665B5D" w14:textId="77777777" w:rsidTr="00C106E6">
        <w:tc>
          <w:tcPr>
            <w:tcW w:w="9434" w:type="dxa"/>
          </w:tcPr>
          <w:p w14:paraId="1053BC2A" w14:textId="3E4B1D27" w:rsidR="004513FD" w:rsidRPr="005C422B" w:rsidRDefault="00F54449" w:rsidP="006727E1">
            <w:pPr>
              <w:spacing w:after="0" w:line="276" w:lineRule="auto"/>
              <w:jc w:val="both"/>
              <w:rPr>
                <w:rFonts w:ascii="Arial" w:eastAsia="Times New Roman" w:hAnsi="Arial" w:cs="Arial"/>
                <w:sz w:val="20"/>
                <w:szCs w:val="20"/>
                <w:highlight w:val="yellow"/>
                <w:lang w:eastAsia="sl-SI"/>
              </w:rPr>
            </w:pPr>
            <w:r w:rsidRPr="00D42269">
              <w:rPr>
                <w:rFonts w:ascii="Arial" w:eastAsia="Times New Roman" w:hAnsi="Arial" w:cs="Arial"/>
                <w:sz w:val="20"/>
                <w:szCs w:val="20"/>
                <w:lang w:eastAsia="sl-SI"/>
              </w:rPr>
              <w:lastRenderedPageBreak/>
              <w:t xml:space="preserve"> </w:t>
            </w:r>
          </w:p>
        </w:tc>
      </w:tr>
      <w:tr w:rsidR="004513FD" w:rsidRPr="004513FD" w14:paraId="5AB11E49" w14:textId="77777777" w:rsidTr="00C106E6">
        <w:tc>
          <w:tcPr>
            <w:tcW w:w="9434" w:type="dxa"/>
          </w:tcPr>
          <w:p w14:paraId="0DA645C1" w14:textId="77777777" w:rsidR="00252D6A" w:rsidRDefault="00252D6A" w:rsidP="004513FD">
            <w:pPr>
              <w:suppressAutoHyphens/>
              <w:overflowPunct w:val="0"/>
              <w:autoSpaceDE w:val="0"/>
              <w:autoSpaceDN w:val="0"/>
              <w:adjustRightInd w:val="0"/>
              <w:spacing w:after="0" w:line="276" w:lineRule="auto"/>
              <w:jc w:val="both"/>
              <w:textAlignment w:val="baseline"/>
              <w:outlineLvl w:val="3"/>
              <w:rPr>
                <w:rFonts w:ascii="Arial" w:eastAsia="Times New Roman" w:hAnsi="Arial" w:cs="Arial"/>
                <w:b/>
                <w:sz w:val="20"/>
                <w:szCs w:val="20"/>
                <w:lang w:eastAsia="sl-SI"/>
              </w:rPr>
            </w:pPr>
          </w:p>
          <w:p w14:paraId="2CCC0343" w14:textId="6DE1E1F4" w:rsidR="004513FD" w:rsidRPr="004513FD" w:rsidRDefault="004513FD" w:rsidP="004513FD">
            <w:pPr>
              <w:suppressAutoHyphens/>
              <w:overflowPunct w:val="0"/>
              <w:autoSpaceDE w:val="0"/>
              <w:autoSpaceDN w:val="0"/>
              <w:adjustRightInd w:val="0"/>
              <w:spacing w:after="0" w:line="276" w:lineRule="auto"/>
              <w:jc w:val="both"/>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t>4. NAVEDBA, DA SO SREDSTVA ZA IZVAJANJE ZAKONA V DRŽAVNEM PRORAČUNU ZAGOTOVLJENA, ČE PREDLOG ZAKONA PREDVIDEVA PORABO PRORAČUNSKIH SREDSTEV V OBDOBJU, ZA KATERO JE BIL DRŽAVNI PRORAČUN ŽE SPREJET</w:t>
            </w:r>
          </w:p>
          <w:p w14:paraId="29A5DA36" w14:textId="77777777" w:rsidR="004513FD" w:rsidRPr="004513FD" w:rsidRDefault="004513FD" w:rsidP="004513FD">
            <w:pPr>
              <w:suppressAutoHyphens/>
              <w:overflowPunct w:val="0"/>
              <w:autoSpaceDE w:val="0"/>
              <w:autoSpaceDN w:val="0"/>
              <w:adjustRightInd w:val="0"/>
              <w:spacing w:after="0" w:line="276" w:lineRule="auto"/>
              <w:jc w:val="both"/>
              <w:textAlignment w:val="baseline"/>
              <w:outlineLvl w:val="3"/>
              <w:rPr>
                <w:rFonts w:ascii="Arial" w:eastAsia="Times New Roman" w:hAnsi="Arial" w:cs="Arial"/>
                <w:b/>
                <w:sz w:val="20"/>
                <w:szCs w:val="20"/>
                <w:lang w:eastAsia="sl-SI"/>
              </w:rPr>
            </w:pPr>
          </w:p>
        </w:tc>
      </w:tr>
      <w:tr w:rsidR="004513FD" w:rsidRPr="004513FD" w14:paraId="47FC47C2" w14:textId="77777777" w:rsidTr="00833C5D">
        <w:tc>
          <w:tcPr>
            <w:tcW w:w="9434" w:type="dxa"/>
            <w:vAlign w:val="center"/>
          </w:tcPr>
          <w:p w14:paraId="57E3BA19" w14:textId="77777777" w:rsidR="004513FD" w:rsidRPr="004513FD" w:rsidRDefault="004513FD" w:rsidP="004513FD">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r w:rsidRPr="004513FD">
              <w:rPr>
                <w:rFonts w:ascii="Arial" w:eastAsia="Times New Roman" w:hAnsi="Arial" w:cs="Arial"/>
                <w:sz w:val="20"/>
                <w:szCs w:val="20"/>
                <w:lang w:eastAsia="sl-SI"/>
              </w:rPr>
              <w:t>Za izvajanje zakona ne bodo potrebna dodatna proračunska sredstva, saj so že zagotovljena v okviru predvidenih sredstev Finančne uprave Republike Slovenije.</w:t>
            </w:r>
          </w:p>
          <w:p w14:paraId="56673A48" w14:textId="77777777" w:rsidR="004513FD" w:rsidRPr="004513FD" w:rsidRDefault="004513FD" w:rsidP="004513FD">
            <w:pPr>
              <w:overflowPunct w:val="0"/>
              <w:autoSpaceDE w:val="0"/>
              <w:autoSpaceDN w:val="0"/>
              <w:adjustRightInd w:val="0"/>
              <w:spacing w:after="0" w:line="276" w:lineRule="auto"/>
              <w:jc w:val="both"/>
              <w:textAlignment w:val="baseline"/>
              <w:rPr>
                <w:rFonts w:ascii="Arial" w:eastAsia="Times New Roman" w:hAnsi="Arial" w:cs="Arial"/>
                <w:color w:val="A6A6A6"/>
                <w:sz w:val="20"/>
                <w:szCs w:val="20"/>
                <w:lang w:eastAsia="sl-SI"/>
              </w:rPr>
            </w:pPr>
          </w:p>
          <w:p w14:paraId="5133B6E5" w14:textId="77777777" w:rsidR="004513FD" w:rsidRPr="004513FD" w:rsidRDefault="004513FD" w:rsidP="004513FD">
            <w:pPr>
              <w:overflowPunct w:val="0"/>
              <w:autoSpaceDE w:val="0"/>
              <w:autoSpaceDN w:val="0"/>
              <w:adjustRightInd w:val="0"/>
              <w:spacing w:after="0" w:line="276" w:lineRule="auto"/>
              <w:jc w:val="both"/>
              <w:textAlignment w:val="baseline"/>
              <w:rPr>
                <w:rFonts w:ascii="Arial" w:eastAsia="Times New Roman" w:hAnsi="Arial" w:cs="Arial"/>
                <w:color w:val="A6A6A6"/>
                <w:sz w:val="20"/>
                <w:szCs w:val="20"/>
                <w:lang w:eastAsia="sl-SI"/>
              </w:rPr>
            </w:pPr>
          </w:p>
        </w:tc>
      </w:tr>
      <w:tr w:rsidR="004513FD" w:rsidRPr="004513FD" w14:paraId="6F1FC403" w14:textId="77777777" w:rsidTr="00C106E6">
        <w:tc>
          <w:tcPr>
            <w:tcW w:w="9434" w:type="dxa"/>
          </w:tcPr>
          <w:p w14:paraId="3459ABC7" w14:textId="77777777" w:rsidR="004513FD" w:rsidRPr="004513FD" w:rsidRDefault="004513FD" w:rsidP="004513FD">
            <w:pPr>
              <w:suppressAutoHyphens/>
              <w:overflowPunct w:val="0"/>
              <w:autoSpaceDE w:val="0"/>
              <w:autoSpaceDN w:val="0"/>
              <w:adjustRightInd w:val="0"/>
              <w:spacing w:after="0" w:line="276" w:lineRule="auto"/>
              <w:jc w:val="both"/>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t>5. PRIKAZ UREDITVE V DRUGIH PRAVNIH SISTEMIH IN PRILAGOJENOSTI PREDLAGANE UREDITVE PRAVU EVROPSKE UNIJE</w:t>
            </w:r>
          </w:p>
        </w:tc>
      </w:tr>
      <w:tr w:rsidR="004513FD" w:rsidRPr="004513FD" w14:paraId="3A39599C" w14:textId="77777777" w:rsidTr="00C106E6">
        <w:tc>
          <w:tcPr>
            <w:tcW w:w="9434" w:type="dxa"/>
          </w:tcPr>
          <w:p w14:paraId="30AF9550" w14:textId="77777777" w:rsidR="004513FD" w:rsidRPr="00167E65" w:rsidRDefault="004513FD" w:rsidP="002E1D31">
            <w:pPr>
              <w:spacing w:after="0" w:line="260" w:lineRule="exact"/>
              <w:jc w:val="both"/>
              <w:rPr>
                <w:rFonts w:ascii="Arial" w:eastAsia="Calibri" w:hAnsi="Arial" w:cs="Arial"/>
                <w:sz w:val="20"/>
                <w:szCs w:val="20"/>
              </w:rPr>
            </w:pPr>
          </w:p>
          <w:p w14:paraId="2DF2D4BC" w14:textId="77777777" w:rsidR="00AC6F2A" w:rsidRPr="001A7A4E" w:rsidRDefault="00AC6F2A" w:rsidP="002E1D31">
            <w:pPr>
              <w:spacing w:after="0" w:line="260" w:lineRule="exact"/>
              <w:jc w:val="both"/>
              <w:rPr>
                <w:rFonts w:ascii="Arial" w:eastAsia="Calibri" w:hAnsi="Arial" w:cs="Arial"/>
                <w:sz w:val="20"/>
                <w:szCs w:val="20"/>
              </w:rPr>
            </w:pPr>
            <w:r w:rsidRPr="00167E65">
              <w:rPr>
                <w:rFonts w:ascii="Arial" w:eastAsia="Calibri" w:hAnsi="Arial" w:cs="Arial"/>
                <w:sz w:val="20"/>
                <w:szCs w:val="20"/>
              </w:rPr>
              <w:t>V pravnem redu Evropske unije na področju obdavčevanja dohodkov fizičnih oseb ni posebnih usklajevalnih pravil, zato se obdavčevanje dohodkov fizičnih oseb ne usklajuje s pravnim redom Evropske unij</w:t>
            </w:r>
            <w:r w:rsidRPr="00037B35">
              <w:rPr>
                <w:rFonts w:ascii="Arial" w:eastAsia="Calibri" w:hAnsi="Arial" w:cs="Arial"/>
                <w:sz w:val="20"/>
                <w:szCs w:val="20"/>
              </w:rPr>
              <w:t>e. Države članice EU svobodno oblikujejo sisteme obdavčevanja dohodkov fizičnih oseb, pri čemer morajo zagotavljati združljivost nacionalne zakonodaje s Pogodbo o delovanju Evropske unije.</w:t>
            </w:r>
          </w:p>
          <w:p w14:paraId="789C712D" w14:textId="77777777" w:rsidR="00AC6F2A" w:rsidRPr="005C1748" w:rsidRDefault="00AC6F2A" w:rsidP="002E1D31">
            <w:pPr>
              <w:spacing w:after="0" w:line="260" w:lineRule="exact"/>
              <w:jc w:val="both"/>
              <w:rPr>
                <w:rFonts w:ascii="Arial" w:eastAsia="Calibri" w:hAnsi="Arial" w:cs="Arial"/>
                <w:sz w:val="20"/>
                <w:szCs w:val="20"/>
              </w:rPr>
            </w:pPr>
          </w:p>
          <w:p w14:paraId="60B3DF8E" w14:textId="77777777" w:rsidR="00AC6F2A" w:rsidRPr="00167E65" w:rsidRDefault="00AC6F2A" w:rsidP="002E1D31">
            <w:pPr>
              <w:spacing w:after="0" w:line="260" w:lineRule="exact"/>
              <w:jc w:val="both"/>
              <w:rPr>
                <w:rFonts w:ascii="Arial" w:eastAsia="Calibri" w:hAnsi="Arial" w:cs="Arial"/>
                <w:sz w:val="20"/>
                <w:szCs w:val="20"/>
              </w:rPr>
            </w:pPr>
            <w:r w:rsidRPr="00167E65">
              <w:rPr>
                <w:rFonts w:ascii="Arial" w:eastAsia="Calibri" w:hAnsi="Arial" w:cs="Arial"/>
                <w:sz w:val="20"/>
                <w:szCs w:val="20"/>
              </w:rPr>
              <w:t>Prikaz ureditve v drugih državah:</w:t>
            </w:r>
            <w:r w:rsidRPr="00167E65">
              <w:rPr>
                <w:rFonts w:ascii="Arial" w:eastAsia="Calibri" w:hAnsi="Arial" w:cs="Arial"/>
                <w:sz w:val="20"/>
                <w:szCs w:val="20"/>
                <w:vertAlign w:val="superscript"/>
              </w:rPr>
              <w:footnoteReference w:id="3"/>
            </w:r>
          </w:p>
          <w:p w14:paraId="6F942D30" w14:textId="77777777" w:rsidR="00AC6F2A" w:rsidRPr="00167E65" w:rsidRDefault="00AC6F2A" w:rsidP="002E1D31">
            <w:pPr>
              <w:spacing w:after="0" w:line="260" w:lineRule="exact"/>
              <w:jc w:val="both"/>
              <w:rPr>
                <w:rFonts w:ascii="Arial" w:eastAsia="Calibri" w:hAnsi="Arial" w:cs="Arial"/>
                <w:sz w:val="20"/>
                <w:szCs w:val="20"/>
              </w:rPr>
            </w:pPr>
          </w:p>
          <w:p w14:paraId="22968C24" w14:textId="074A247D" w:rsidR="00AC6F2A" w:rsidRPr="001A7A4E" w:rsidRDefault="00AC6F2A"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7B35">
              <w:rPr>
                <w:rFonts w:ascii="Arial" w:eastAsia="Calibri" w:hAnsi="Arial" w:cs="Arial"/>
                <w:sz w:val="20"/>
                <w:szCs w:val="20"/>
              </w:rPr>
              <w:t xml:space="preserve">5.1 Prikaz ureditve </w:t>
            </w:r>
            <w:r w:rsidRPr="00CC3E5F">
              <w:rPr>
                <w:rFonts w:ascii="Arial" w:eastAsia="Calibri" w:hAnsi="Arial" w:cs="Arial"/>
                <w:sz w:val="20"/>
                <w:szCs w:val="20"/>
              </w:rPr>
              <w:t>obravnave dohodkov iz zaposlitve, davčne stopnje ter olajšav v drugih pravnih sistemih</w:t>
            </w:r>
          </w:p>
          <w:p w14:paraId="048B04BE" w14:textId="77777777" w:rsidR="00AC6F2A" w:rsidRPr="00BB3B22" w:rsidRDefault="00AC6F2A" w:rsidP="002E1D3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u w:val="single"/>
                <w:lang w:eastAsia="sl-SI"/>
              </w:rPr>
            </w:pPr>
          </w:p>
          <w:p w14:paraId="6441A152" w14:textId="42669385" w:rsidR="00AC6F2A" w:rsidRPr="0028548E" w:rsidRDefault="00AC6F2A" w:rsidP="002E1D3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5C1748">
              <w:rPr>
                <w:rFonts w:ascii="Arial" w:eastAsia="Times New Roman" w:hAnsi="Arial" w:cs="Arial"/>
                <w:sz w:val="20"/>
                <w:szCs w:val="20"/>
                <w:lang w:eastAsia="sl-SI"/>
              </w:rPr>
              <w:t>5.1.1 Avstrija</w:t>
            </w:r>
          </w:p>
          <w:p w14:paraId="44D6BEC0" w14:textId="77777777" w:rsidR="00AC6F2A" w:rsidRPr="00167E65" w:rsidRDefault="00AC6F2A" w:rsidP="002E1D31">
            <w:pPr>
              <w:spacing w:after="0" w:line="260" w:lineRule="exact"/>
              <w:jc w:val="both"/>
              <w:rPr>
                <w:rFonts w:ascii="Arial" w:eastAsia="Calibri" w:hAnsi="Arial" w:cs="Arial"/>
                <w:sz w:val="20"/>
                <w:szCs w:val="20"/>
              </w:rPr>
            </w:pPr>
            <w:r w:rsidRPr="00167E65">
              <w:rPr>
                <w:rFonts w:ascii="Arial" w:eastAsia="Calibri" w:hAnsi="Arial" w:cs="Arial"/>
                <w:sz w:val="20"/>
                <w:szCs w:val="20"/>
              </w:rPr>
              <w:t>Rezidenti so obdavčeni od svetovnega dohodka ne glede na vrsto dohodka (v denarju ali v naravi).</w:t>
            </w:r>
          </w:p>
          <w:p w14:paraId="7A651854" w14:textId="77777777" w:rsidR="00AC6F2A" w:rsidRPr="00167E65" w:rsidRDefault="00AC6F2A" w:rsidP="002E1D31">
            <w:pPr>
              <w:spacing w:after="0" w:line="260" w:lineRule="exact"/>
              <w:jc w:val="both"/>
              <w:rPr>
                <w:rFonts w:ascii="Arial" w:eastAsia="Calibri" w:hAnsi="Arial" w:cs="Arial"/>
                <w:sz w:val="20"/>
                <w:szCs w:val="20"/>
              </w:rPr>
            </w:pPr>
          </w:p>
          <w:p w14:paraId="13634B6D" w14:textId="79446C00" w:rsidR="00AC6F2A" w:rsidRPr="00167E65" w:rsidRDefault="00AC6F2A" w:rsidP="002E1D31">
            <w:pPr>
              <w:spacing w:after="0" w:line="260" w:lineRule="exact"/>
              <w:jc w:val="both"/>
              <w:rPr>
                <w:rFonts w:ascii="Arial" w:eastAsia="Calibri" w:hAnsi="Arial" w:cs="Arial"/>
                <w:sz w:val="20"/>
                <w:szCs w:val="20"/>
              </w:rPr>
            </w:pPr>
            <w:r w:rsidRPr="00167E65">
              <w:rPr>
                <w:rFonts w:ascii="Arial" w:eastAsia="Calibri" w:hAnsi="Arial" w:cs="Arial"/>
                <w:sz w:val="20"/>
                <w:szCs w:val="20"/>
              </w:rPr>
              <w:t xml:space="preserve">Avstrija </w:t>
            </w:r>
            <w:r w:rsidR="0064037A" w:rsidRPr="00167E65">
              <w:rPr>
                <w:rFonts w:ascii="Arial" w:eastAsia="Calibri" w:hAnsi="Arial" w:cs="Arial"/>
                <w:sz w:val="20"/>
                <w:szCs w:val="20"/>
              </w:rPr>
              <w:t>ima sedem</w:t>
            </w:r>
            <w:r w:rsidRPr="00167E65">
              <w:rPr>
                <w:rFonts w:ascii="Arial" w:eastAsia="Calibri" w:hAnsi="Arial" w:cs="Arial"/>
                <w:sz w:val="20"/>
                <w:szCs w:val="20"/>
              </w:rPr>
              <w:t xml:space="preserve"> dohodninskih razredov, in sicer: prvi davčni razred je</w:t>
            </w:r>
            <w:r w:rsidR="001E75C0">
              <w:rPr>
                <w:rFonts w:ascii="Arial" w:eastAsia="Calibri" w:hAnsi="Arial" w:cs="Arial"/>
                <w:sz w:val="20"/>
                <w:szCs w:val="20"/>
              </w:rPr>
              <w:t xml:space="preserve"> </w:t>
            </w:r>
            <w:r w:rsidRPr="00167E65">
              <w:rPr>
                <w:rFonts w:ascii="Arial" w:eastAsia="Calibri" w:hAnsi="Arial" w:cs="Arial"/>
                <w:sz w:val="20"/>
                <w:szCs w:val="20"/>
              </w:rPr>
              <w:t>tako imenovani ničti razred, nato sledijo davčni razredi z mejnimi stopnjami 20</w:t>
            </w:r>
            <w:r w:rsidR="001E75C0">
              <w:rPr>
                <w:rFonts w:ascii="Arial" w:eastAsia="Calibri" w:hAnsi="Arial" w:cs="Arial"/>
                <w:sz w:val="20"/>
                <w:szCs w:val="20"/>
              </w:rPr>
              <w:t> </w:t>
            </w:r>
            <w:r w:rsidRPr="00167E65">
              <w:rPr>
                <w:rFonts w:ascii="Arial" w:eastAsia="Calibri" w:hAnsi="Arial" w:cs="Arial"/>
                <w:sz w:val="20"/>
                <w:szCs w:val="20"/>
              </w:rPr>
              <w:t>%, 3</w:t>
            </w:r>
            <w:r w:rsidR="0064037A" w:rsidRPr="00167E65">
              <w:rPr>
                <w:rFonts w:ascii="Arial" w:eastAsia="Calibri" w:hAnsi="Arial" w:cs="Arial"/>
                <w:sz w:val="20"/>
                <w:szCs w:val="20"/>
              </w:rPr>
              <w:t>0</w:t>
            </w:r>
            <w:r w:rsidR="001E75C0">
              <w:rPr>
                <w:rFonts w:ascii="Arial" w:eastAsia="Calibri" w:hAnsi="Arial" w:cs="Arial"/>
                <w:sz w:val="20"/>
                <w:szCs w:val="20"/>
              </w:rPr>
              <w:t> </w:t>
            </w:r>
            <w:r w:rsidRPr="00167E65">
              <w:rPr>
                <w:rFonts w:ascii="Arial" w:eastAsia="Calibri" w:hAnsi="Arial" w:cs="Arial"/>
                <w:sz w:val="20"/>
                <w:szCs w:val="20"/>
              </w:rPr>
              <w:t>%, 42</w:t>
            </w:r>
            <w:r w:rsidR="001E75C0">
              <w:rPr>
                <w:rFonts w:ascii="Arial" w:eastAsia="Calibri" w:hAnsi="Arial" w:cs="Arial"/>
                <w:sz w:val="20"/>
                <w:szCs w:val="20"/>
              </w:rPr>
              <w:t> </w:t>
            </w:r>
            <w:r w:rsidRPr="00167E65">
              <w:rPr>
                <w:rFonts w:ascii="Arial" w:eastAsia="Calibri" w:hAnsi="Arial" w:cs="Arial"/>
                <w:sz w:val="20"/>
                <w:szCs w:val="20"/>
              </w:rPr>
              <w:t>%, 48</w:t>
            </w:r>
            <w:r w:rsidR="001E75C0">
              <w:rPr>
                <w:rFonts w:ascii="Arial" w:eastAsia="Calibri" w:hAnsi="Arial" w:cs="Arial"/>
                <w:sz w:val="20"/>
                <w:szCs w:val="20"/>
              </w:rPr>
              <w:t> </w:t>
            </w:r>
            <w:r w:rsidRPr="00167E65">
              <w:rPr>
                <w:rFonts w:ascii="Arial" w:eastAsia="Calibri" w:hAnsi="Arial" w:cs="Arial"/>
                <w:sz w:val="20"/>
                <w:szCs w:val="20"/>
              </w:rPr>
              <w:t>%, 50</w:t>
            </w:r>
            <w:r w:rsidR="001E75C0">
              <w:rPr>
                <w:rFonts w:ascii="Arial" w:eastAsia="Calibri" w:hAnsi="Arial" w:cs="Arial"/>
                <w:sz w:val="20"/>
                <w:szCs w:val="20"/>
              </w:rPr>
              <w:t> </w:t>
            </w:r>
            <w:r w:rsidRPr="00167E65">
              <w:rPr>
                <w:rFonts w:ascii="Arial" w:eastAsia="Calibri" w:hAnsi="Arial" w:cs="Arial"/>
                <w:sz w:val="20"/>
                <w:szCs w:val="20"/>
              </w:rPr>
              <w:t>% in zadnji davčni razred</w:t>
            </w:r>
            <w:r w:rsidR="001E75C0">
              <w:rPr>
                <w:rFonts w:ascii="Arial" w:eastAsia="Calibri" w:hAnsi="Arial" w:cs="Arial"/>
                <w:sz w:val="20"/>
                <w:szCs w:val="20"/>
              </w:rPr>
              <w:t xml:space="preserve"> </w:t>
            </w:r>
            <w:r w:rsidRPr="00167E65">
              <w:rPr>
                <w:rFonts w:ascii="Arial" w:eastAsia="Calibri" w:hAnsi="Arial" w:cs="Arial"/>
                <w:sz w:val="20"/>
                <w:szCs w:val="20"/>
              </w:rPr>
              <w:t>z mejno stopnjo 55</w:t>
            </w:r>
            <w:r w:rsidR="001E75C0">
              <w:rPr>
                <w:rFonts w:ascii="Arial" w:eastAsia="Calibri" w:hAnsi="Arial" w:cs="Arial"/>
                <w:sz w:val="20"/>
                <w:szCs w:val="20"/>
              </w:rPr>
              <w:t> </w:t>
            </w:r>
            <w:r w:rsidRPr="00167E65">
              <w:rPr>
                <w:rFonts w:ascii="Arial" w:eastAsia="Calibri" w:hAnsi="Arial" w:cs="Arial"/>
                <w:sz w:val="20"/>
                <w:szCs w:val="20"/>
              </w:rPr>
              <w:t xml:space="preserve">%. Ničti razred </w:t>
            </w:r>
            <w:r w:rsidR="0064037A" w:rsidRPr="00167E65">
              <w:rPr>
                <w:rFonts w:ascii="Arial" w:eastAsia="Calibri" w:hAnsi="Arial" w:cs="Arial"/>
                <w:sz w:val="20"/>
                <w:szCs w:val="20"/>
              </w:rPr>
              <w:t xml:space="preserve">(dejansko pomeni davčno olajšavo, za rezidente in nekatere nerezidente) </w:t>
            </w:r>
            <w:r w:rsidRPr="00167E65">
              <w:rPr>
                <w:rFonts w:ascii="Arial" w:eastAsia="Calibri" w:hAnsi="Arial" w:cs="Arial"/>
                <w:sz w:val="20"/>
                <w:szCs w:val="20"/>
              </w:rPr>
              <w:t>se nanaša na obdavčljivi dohodek do 11.000</w:t>
            </w:r>
            <w:r w:rsidR="001E75C0">
              <w:rPr>
                <w:rFonts w:ascii="Arial" w:eastAsia="Calibri" w:hAnsi="Arial" w:cs="Arial"/>
                <w:sz w:val="20"/>
                <w:szCs w:val="20"/>
              </w:rPr>
              <w:t> </w:t>
            </w:r>
            <w:r w:rsidRPr="00167E65">
              <w:rPr>
                <w:rFonts w:ascii="Arial" w:eastAsia="Calibri" w:hAnsi="Arial" w:cs="Arial"/>
                <w:sz w:val="20"/>
                <w:szCs w:val="20"/>
              </w:rPr>
              <w:t>EUR. Naslednjih 7.000</w:t>
            </w:r>
            <w:r w:rsidR="001E75C0">
              <w:rPr>
                <w:rFonts w:ascii="Arial" w:eastAsia="Calibri" w:hAnsi="Arial" w:cs="Arial"/>
                <w:sz w:val="20"/>
                <w:szCs w:val="20"/>
              </w:rPr>
              <w:t> </w:t>
            </w:r>
            <w:r w:rsidRPr="00167E65">
              <w:rPr>
                <w:rFonts w:ascii="Arial" w:eastAsia="Calibri" w:hAnsi="Arial" w:cs="Arial"/>
                <w:sz w:val="20"/>
                <w:szCs w:val="20"/>
              </w:rPr>
              <w:t>EUR je stopnja 20</w:t>
            </w:r>
            <w:r w:rsidR="001E75C0">
              <w:rPr>
                <w:rFonts w:ascii="Arial" w:eastAsia="Calibri" w:hAnsi="Arial" w:cs="Arial"/>
                <w:sz w:val="20"/>
                <w:szCs w:val="20"/>
              </w:rPr>
              <w:t> </w:t>
            </w:r>
            <w:r w:rsidRPr="00167E65">
              <w:rPr>
                <w:rFonts w:ascii="Arial" w:eastAsia="Calibri" w:hAnsi="Arial" w:cs="Arial"/>
                <w:sz w:val="20"/>
                <w:szCs w:val="20"/>
              </w:rPr>
              <w:t>%, naslednjih 13.000</w:t>
            </w:r>
            <w:r w:rsidR="001E75C0">
              <w:rPr>
                <w:rFonts w:ascii="Arial" w:eastAsia="Calibri" w:hAnsi="Arial" w:cs="Arial"/>
                <w:sz w:val="20"/>
                <w:szCs w:val="20"/>
              </w:rPr>
              <w:t> </w:t>
            </w:r>
            <w:r w:rsidRPr="00167E65">
              <w:rPr>
                <w:rFonts w:ascii="Arial" w:eastAsia="Calibri" w:hAnsi="Arial" w:cs="Arial"/>
                <w:sz w:val="20"/>
                <w:szCs w:val="20"/>
              </w:rPr>
              <w:t>EUR je stopnja 3</w:t>
            </w:r>
            <w:r w:rsidR="0064037A" w:rsidRPr="00167E65">
              <w:rPr>
                <w:rFonts w:ascii="Arial" w:eastAsia="Calibri" w:hAnsi="Arial" w:cs="Arial"/>
                <w:sz w:val="20"/>
                <w:szCs w:val="20"/>
              </w:rPr>
              <w:t>0</w:t>
            </w:r>
            <w:r w:rsidR="001E75C0">
              <w:rPr>
                <w:rFonts w:ascii="Arial" w:eastAsia="Calibri" w:hAnsi="Arial" w:cs="Arial"/>
                <w:sz w:val="20"/>
                <w:szCs w:val="20"/>
              </w:rPr>
              <w:t> </w:t>
            </w:r>
            <w:r w:rsidRPr="00167E65">
              <w:rPr>
                <w:rFonts w:ascii="Arial" w:eastAsia="Calibri" w:hAnsi="Arial" w:cs="Arial"/>
                <w:sz w:val="20"/>
                <w:szCs w:val="20"/>
              </w:rPr>
              <w:t>%, naslednjih 29.000</w:t>
            </w:r>
            <w:r w:rsidR="001E75C0">
              <w:rPr>
                <w:rFonts w:ascii="Arial" w:eastAsia="Calibri" w:hAnsi="Arial" w:cs="Arial"/>
                <w:sz w:val="20"/>
                <w:szCs w:val="20"/>
              </w:rPr>
              <w:t> </w:t>
            </w:r>
            <w:r w:rsidRPr="00167E65">
              <w:rPr>
                <w:rFonts w:ascii="Arial" w:eastAsia="Calibri" w:hAnsi="Arial" w:cs="Arial"/>
                <w:sz w:val="20"/>
                <w:szCs w:val="20"/>
              </w:rPr>
              <w:t>EUR je stopnja 42</w:t>
            </w:r>
            <w:r w:rsidR="001E75C0">
              <w:rPr>
                <w:rFonts w:ascii="Arial" w:eastAsia="Calibri" w:hAnsi="Arial" w:cs="Arial"/>
                <w:sz w:val="20"/>
                <w:szCs w:val="20"/>
              </w:rPr>
              <w:t> </w:t>
            </w:r>
            <w:r w:rsidRPr="00167E65">
              <w:rPr>
                <w:rFonts w:ascii="Arial" w:eastAsia="Calibri" w:hAnsi="Arial" w:cs="Arial"/>
                <w:sz w:val="20"/>
                <w:szCs w:val="20"/>
              </w:rPr>
              <w:t>%, naslednjih 30.000</w:t>
            </w:r>
            <w:r w:rsidR="001E75C0">
              <w:rPr>
                <w:rFonts w:ascii="Arial" w:eastAsia="Calibri" w:hAnsi="Arial" w:cs="Arial"/>
                <w:sz w:val="20"/>
                <w:szCs w:val="20"/>
              </w:rPr>
              <w:t> </w:t>
            </w:r>
            <w:r w:rsidRPr="00167E65">
              <w:rPr>
                <w:rFonts w:ascii="Arial" w:eastAsia="Calibri" w:hAnsi="Arial" w:cs="Arial"/>
                <w:sz w:val="20"/>
                <w:szCs w:val="20"/>
              </w:rPr>
              <w:t>EUR je stopnja 48</w:t>
            </w:r>
            <w:r w:rsidR="001E75C0">
              <w:rPr>
                <w:rFonts w:ascii="Arial" w:eastAsia="Calibri" w:hAnsi="Arial" w:cs="Arial"/>
                <w:sz w:val="20"/>
                <w:szCs w:val="20"/>
              </w:rPr>
              <w:t> </w:t>
            </w:r>
            <w:r w:rsidRPr="00167E65">
              <w:rPr>
                <w:rFonts w:ascii="Arial" w:eastAsia="Calibri" w:hAnsi="Arial" w:cs="Arial"/>
                <w:sz w:val="20"/>
                <w:szCs w:val="20"/>
              </w:rPr>
              <w:t>%, naslednjih 910.000</w:t>
            </w:r>
            <w:r w:rsidR="001E75C0">
              <w:rPr>
                <w:rFonts w:ascii="Arial" w:eastAsia="Calibri" w:hAnsi="Arial" w:cs="Arial"/>
                <w:sz w:val="20"/>
                <w:szCs w:val="20"/>
              </w:rPr>
              <w:t> </w:t>
            </w:r>
            <w:r w:rsidRPr="00167E65">
              <w:rPr>
                <w:rFonts w:ascii="Arial" w:eastAsia="Calibri" w:hAnsi="Arial" w:cs="Arial"/>
                <w:sz w:val="20"/>
                <w:szCs w:val="20"/>
              </w:rPr>
              <w:t>EUR je stopnja 50</w:t>
            </w:r>
            <w:r w:rsidR="001E75C0">
              <w:rPr>
                <w:rFonts w:ascii="Arial" w:eastAsia="Calibri" w:hAnsi="Arial" w:cs="Arial"/>
                <w:sz w:val="20"/>
                <w:szCs w:val="20"/>
              </w:rPr>
              <w:t> </w:t>
            </w:r>
            <w:r w:rsidRPr="00167E65">
              <w:rPr>
                <w:rFonts w:ascii="Arial" w:eastAsia="Calibri" w:hAnsi="Arial" w:cs="Arial"/>
                <w:sz w:val="20"/>
                <w:szCs w:val="20"/>
              </w:rPr>
              <w:t>%. Nad en milijon</w:t>
            </w:r>
            <w:r w:rsidR="001E75C0">
              <w:rPr>
                <w:rFonts w:ascii="Arial" w:eastAsia="Calibri" w:hAnsi="Arial" w:cs="Arial"/>
                <w:sz w:val="20"/>
                <w:szCs w:val="20"/>
              </w:rPr>
              <w:t> </w:t>
            </w:r>
            <w:r w:rsidRPr="00167E65">
              <w:rPr>
                <w:rFonts w:ascii="Arial" w:eastAsia="Calibri" w:hAnsi="Arial" w:cs="Arial"/>
                <w:sz w:val="20"/>
                <w:szCs w:val="20"/>
              </w:rPr>
              <w:t>EUR dohodka pa je stopnja 55</w:t>
            </w:r>
            <w:r w:rsidR="001E75C0">
              <w:rPr>
                <w:rFonts w:ascii="Arial" w:eastAsia="Calibri" w:hAnsi="Arial" w:cs="Arial"/>
                <w:sz w:val="20"/>
                <w:szCs w:val="20"/>
              </w:rPr>
              <w:t> </w:t>
            </w:r>
            <w:r w:rsidRPr="00167E65">
              <w:rPr>
                <w:rFonts w:ascii="Arial" w:eastAsia="Calibri" w:hAnsi="Arial" w:cs="Arial"/>
                <w:sz w:val="20"/>
                <w:szCs w:val="20"/>
              </w:rPr>
              <w:t>% (ta stopnja se bo uporabljala do leta 2025).</w:t>
            </w:r>
          </w:p>
          <w:p w14:paraId="63514047" w14:textId="77777777" w:rsidR="00AC6F2A" w:rsidRPr="00167E65" w:rsidRDefault="00AC6F2A" w:rsidP="002E1D31">
            <w:pPr>
              <w:spacing w:after="0" w:line="260" w:lineRule="exact"/>
              <w:jc w:val="both"/>
              <w:rPr>
                <w:rFonts w:ascii="Arial" w:eastAsia="Calibri" w:hAnsi="Arial" w:cs="Arial"/>
                <w:sz w:val="20"/>
                <w:szCs w:val="20"/>
              </w:rPr>
            </w:pPr>
          </w:p>
          <w:p w14:paraId="3F1BE006" w14:textId="0AA2208D" w:rsidR="00AC6F2A" w:rsidRPr="00167E65" w:rsidRDefault="00AC6F2A" w:rsidP="002E1D31">
            <w:pPr>
              <w:spacing w:after="0" w:line="260" w:lineRule="exact"/>
              <w:jc w:val="both"/>
              <w:rPr>
                <w:rFonts w:ascii="Arial" w:eastAsia="Calibri" w:hAnsi="Arial" w:cs="Arial"/>
                <w:sz w:val="20"/>
                <w:szCs w:val="20"/>
              </w:rPr>
            </w:pPr>
            <w:r w:rsidRPr="00167E65">
              <w:rPr>
                <w:rFonts w:ascii="Arial" w:eastAsia="Calibri" w:hAnsi="Arial" w:cs="Arial"/>
                <w:sz w:val="20"/>
                <w:szCs w:val="20"/>
              </w:rPr>
              <w:t xml:space="preserve">Določena občasna plačila, ki so poleg redne plače prejeta enkrat ali v nekaj intervalih, imajo drugačno davčno obravnavo. Najpomembnejša so regres za letni dopust (angl. </w:t>
            </w:r>
            <w:proofErr w:type="spellStart"/>
            <w:r w:rsidR="001E75C0">
              <w:rPr>
                <w:rFonts w:ascii="Arial" w:eastAsia="Calibri" w:hAnsi="Arial" w:cs="Arial"/>
                <w:i/>
                <w:sz w:val="20"/>
                <w:szCs w:val="20"/>
              </w:rPr>
              <w:t>h</w:t>
            </w:r>
            <w:r w:rsidRPr="00167E65">
              <w:rPr>
                <w:rFonts w:ascii="Arial" w:eastAsia="Calibri" w:hAnsi="Arial" w:cs="Arial"/>
                <w:i/>
                <w:sz w:val="20"/>
                <w:szCs w:val="20"/>
              </w:rPr>
              <w:t>oliday</w:t>
            </w:r>
            <w:proofErr w:type="spellEnd"/>
            <w:r w:rsidRPr="00167E65">
              <w:rPr>
                <w:rFonts w:ascii="Arial" w:eastAsia="Calibri" w:hAnsi="Arial" w:cs="Arial"/>
                <w:i/>
                <w:sz w:val="20"/>
                <w:szCs w:val="20"/>
              </w:rPr>
              <w:t xml:space="preserve"> </w:t>
            </w:r>
            <w:proofErr w:type="spellStart"/>
            <w:r w:rsidRPr="00167E65">
              <w:rPr>
                <w:rFonts w:ascii="Arial" w:eastAsia="Calibri" w:hAnsi="Arial" w:cs="Arial"/>
                <w:i/>
                <w:sz w:val="20"/>
                <w:szCs w:val="20"/>
              </w:rPr>
              <w:t>pay</w:t>
            </w:r>
            <w:proofErr w:type="spellEnd"/>
            <w:r w:rsidRPr="00167E65">
              <w:rPr>
                <w:rFonts w:ascii="Arial" w:eastAsia="Calibri" w:hAnsi="Arial" w:cs="Arial"/>
                <w:sz w:val="20"/>
                <w:szCs w:val="20"/>
              </w:rPr>
              <w:t xml:space="preserve">) oziroma 13. plača in božičnica (angl. </w:t>
            </w:r>
            <w:proofErr w:type="spellStart"/>
            <w:r w:rsidR="001E75C0">
              <w:rPr>
                <w:rFonts w:ascii="Arial" w:eastAsia="Calibri" w:hAnsi="Arial" w:cs="Arial"/>
                <w:i/>
                <w:sz w:val="20"/>
                <w:szCs w:val="20"/>
              </w:rPr>
              <w:t>c</w:t>
            </w:r>
            <w:r w:rsidRPr="00167E65">
              <w:rPr>
                <w:rFonts w:ascii="Arial" w:eastAsia="Calibri" w:hAnsi="Arial" w:cs="Arial"/>
                <w:i/>
                <w:sz w:val="20"/>
                <w:szCs w:val="20"/>
              </w:rPr>
              <w:t>hristmas</w:t>
            </w:r>
            <w:proofErr w:type="spellEnd"/>
            <w:r w:rsidRPr="00167E65">
              <w:rPr>
                <w:rFonts w:ascii="Arial" w:eastAsia="Calibri" w:hAnsi="Arial" w:cs="Arial"/>
                <w:i/>
                <w:sz w:val="20"/>
                <w:szCs w:val="20"/>
              </w:rPr>
              <w:t xml:space="preserve"> </w:t>
            </w:r>
            <w:proofErr w:type="spellStart"/>
            <w:r w:rsidRPr="00167E65">
              <w:rPr>
                <w:rFonts w:ascii="Arial" w:eastAsia="Calibri" w:hAnsi="Arial" w:cs="Arial"/>
                <w:i/>
                <w:sz w:val="20"/>
                <w:szCs w:val="20"/>
              </w:rPr>
              <w:t>allowance</w:t>
            </w:r>
            <w:proofErr w:type="spellEnd"/>
            <w:r w:rsidRPr="00167E65">
              <w:rPr>
                <w:rFonts w:ascii="Arial" w:eastAsia="Calibri" w:hAnsi="Arial" w:cs="Arial"/>
                <w:sz w:val="20"/>
                <w:szCs w:val="20"/>
              </w:rPr>
              <w:t>) oziroma 14. plača.</w:t>
            </w:r>
          </w:p>
          <w:p w14:paraId="2B6E262A" w14:textId="77777777" w:rsidR="00AC6F2A" w:rsidRPr="00167E65" w:rsidRDefault="00AC6F2A" w:rsidP="002E1D31">
            <w:pPr>
              <w:spacing w:after="0" w:line="260" w:lineRule="exact"/>
              <w:jc w:val="both"/>
              <w:rPr>
                <w:rFonts w:ascii="Arial" w:eastAsia="Calibri" w:hAnsi="Arial" w:cs="Arial"/>
                <w:sz w:val="20"/>
                <w:szCs w:val="20"/>
              </w:rPr>
            </w:pPr>
          </w:p>
          <w:p w14:paraId="64C0281A" w14:textId="017AC232" w:rsidR="0093796C" w:rsidRPr="00167E65" w:rsidRDefault="0064037A" w:rsidP="002E1D31">
            <w:pPr>
              <w:spacing w:after="0" w:line="260" w:lineRule="exact"/>
              <w:jc w:val="both"/>
              <w:rPr>
                <w:rFonts w:ascii="Arial" w:eastAsia="Calibri" w:hAnsi="Arial" w:cs="Arial"/>
                <w:sz w:val="20"/>
                <w:szCs w:val="20"/>
              </w:rPr>
            </w:pPr>
            <w:r w:rsidRPr="00167E65">
              <w:rPr>
                <w:rFonts w:ascii="Arial" w:eastAsia="Calibri" w:hAnsi="Arial" w:cs="Arial"/>
                <w:sz w:val="20"/>
                <w:szCs w:val="20"/>
              </w:rPr>
              <w:t>R</w:t>
            </w:r>
            <w:r w:rsidR="00AC6F2A" w:rsidRPr="00167E65">
              <w:rPr>
                <w:rFonts w:ascii="Arial" w:eastAsia="Calibri" w:hAnsi="Arial" w:cs="Arial"/>
                <w:sz w:val="20"/>
                <w:szCs w:val="20"/>
              </w:rPr>
              <w:t xml:space="preserve">egres za letni dopust in božičnica </w:t>
            </w:r>
            <w:r w:rsidRPr="00167E65">
              <w:rPr>
                <w:rFonts w:ascii="Arial" w:eastAsia="Calibri" w:hAnsi="Arial" w:cs="Arial"/>
                <w:sz w:val="20"/>
                <w:szCs w:val="20"/>
              </w:rPr>
              <w:t xml:space="preserve">sta </w:t>
            </w:r>
            <w:r w:rsidR="00AC6F2A" w:rsidRPr="00167E65">
              <w:rPr>
                <w:rFonts w:ascii="Arial" w:eastAsia="Calibri" w:hAnsi="Arial" w:cs="Arial"/>
                <w:sz w:val="20"/>
                <w:szCs w:val="20"/>
              </w:rPr>
              <w:t xml:space="preserve">obdavčena s solidarnostno dajatvijo (ang. </w:t>
            </w:r>
            <w:proofErr w:type="spellStart"/>
            <w:r w:rsidR="001E75C0">
              <w:rPr>
                <w:rFonts w:ascii="Arial" w:eastAsia="Calibri" w:hAnsi="Arial" w:cs="Arial"/>
                <w:i/>
                <w:sz w:val="20"/>
                <w:szCs w:val="20"/>
              </w:rPr>
              <w:t>s</w:t>
            </w:r>
            <w:r w:rsidR="00AC6F2A" w:rsidRPr="00167E65">
              <w:rPr>
                <w:rFonts w:ascii="Arial" w:eastAsia="Calibri" w:hAnsi="Arial" w:cs="Arial"/>
                <w:i/>
                <w:sz w:val="20"/>
                <w:szCs w:val="20"/>
              </w:rPr>
              <w:t>olidarity</w:t>
            </w:r>
            <w:proofErr w:type="spellEnd"/>
            <w:r w:rsidR="00AC6F2A" w:rsidRPr="00167E65">
              <w:rPr>
                <w:rFonts w:ascii="Arial" w:eastAsia="Calibri" w:hAnsi="Arial" w:cs="Arial"/>
                <w:i/>
                <w:sz w:val="20"/>
                <w:szCs w:val="20"/>
              </w:rPr>
              <w:t xml:space="preserve"> </w:t>
            </w:r>
            <w:proofErr w:type="spellStart"/>
            <w:r w:rsidR="00AC6F2A" w:rsidRPr="00167E65">
              <w:rPr>
                <w:rFonts w:ascii="Arial" w:eastAsia="Calibri" w:hAnsi="Arial" w:cs="Arial"/>
                <w:i/>
                <w:sz w:val="20"/>
                <w:szCs w:val="20"/>
              </w:rPr>
              <w:t>surcharge</w:t>
            </w:r>
            <w:proofErr w:type="spellEnd"/>
            <w:r w:rsidR="00AC6F2A" w:rsidRPr="00167E65">
              <w:rPr>
                <w:rFonts w:ascii="Arial" w:eastAsia="Calibri" w:hAnsi="Arial" w:cs="Arial"/>
                <w:sz w:val="20"/>
                <w:szCs w:val="20"/>
              </w:rPr>
              <w:t>). Prejeti regres in/ali božičnica nista obdavčljiva do 620</w:t>
            </w:r>
            <w:r w:rsidR="001E75C0">
              <w:rPr>
                <w:rFonts w:ascii="Arial" w:eastAsia="Calibri" w:hAnsi="Arial" w:cs="Arial"/>
                <w:sz w:val="20"/>
                <w:szCs w:val="20"/>
              </w:rPr>
              <w:t> </w:t>
            </w:r>
            <w:r w:rsidR="00AC6F2A" w:rsidRPr="00167E65">
              <w:rPr>
                <w:rFonts w:ascii="Arial" w:eastAsia="Calibri" w:hAnsi="Arial" w:cs="Arial"/>
                <w:sz w:val="20"/>
                <w:szCs w:val="20"/>
              </w:rPr>
              <w:t xml:space="preserve">EUR. Ti dohodki se obdavčijo le, če mesečna bruto </w:t>
            </w:r>
            <w:r w:rsidR="00AC6F2A" w:rsidRPr="00167E65">
              <w:rPr>
                <w:rFonts w:ascii="Arial" w:eastAsia="Calibri" w:hAnsi="Arial" w:cs="Arial"/>
                <w:sz w:val="20"/>
                <w:szCs w:val="20"/>
              </w:rPr>
              <w:lastRenderedPageBreak/>
              <w:t>plača presega 24.380</w:t>
            </w:r>
            <w:r w:rsidR="001E75C0">
              <w:rPr>
                <w:rFonts w:ascii="Arial" w:eastAsia="Calibri" w:hAnsi="Arial" w:cs="Arial"/>
                <w:sz w:val="20"/>
                <w:szCs w:val="20"/>
              </w:rPr>
              <w:t> </w:t>
            </w:r>
            <w:r w:rsidR="00AC6F2A" w:rsidRPr="00167E65">
              <w:rPr>
                <w:rFonts w:ascii="Arial" w:eastAsia="Calibri" w:hAnsi="Arial" w:cs="Arial"/>
                <w:sz w:val="20"/>
                <w:szCs w:val="20"/>
              </w:rPr>
              <w:t>EUR in znaša 6</w:t>
            </w:r>
            <w:r w:rsidR="001E75C0">
              <w:rPr>
                <w:rFonts w:ascii="Arial" w:eastAsia="Calibri" w:hAnsi="Arial" w:cs="Arial"/>
                <w:sz w:val="20"/>
                <w:szCs w:val="20"/>
              </w:rPr>
              <w:t> </w:t>
            </w:r>
            <w:r w:rsidR="00AC6F2A" w:rsidRPr="00167E65">
              <w:rPr>
                <w:rFonts w:ascii="Arial" w:eastAsia="Calibri" w:hAnsi="Arial" w:cs="Arial"/>
                <w:sz w:val="20"/>
                <w:szCs w:val="20"/>
              </w:rPr>
              <w:t>% za naslednjih 24.380</w:t>
            </w:r>
            <w:r w:rsidR="001E75C0">
              <w:rPr>
                <w:rFonts w:ascii="Arial" w:eastAsia="Calibri" w:hAnsi="Arial" w:cs="Arial"/>
                <w:sz w:val="20"/>
                <w:szCs w:val="20"/>
              </w:rPr>
              <w:t> </w:t>
            </w:r>
            <w:r w:rsidR="00AC6F2A" w:rsidRPr="00167E65">
              <w:rPr>
                <w:rFonts w:ascii="Arial" w:eastAsia="Calibri" w:hAnsi="Arial" w:cs="Arial"/>
                <w:sz w:val="20"/>
                <w:szCs w:val="20"/>
              </w:rPr>
              <w:t>EUR, 27</w:t>
            </w:r>
            <w:r w:rsidR="001E75C0">
              <w:rPr>
                <w:rFonts w:ascii="Arial" w:eastAsia="Calibri" w:hAnsi="Arial" w:cs="Arial"/>
                <w:sz w:val="20"/>
                <w:szCs w:val="20"/>
              </w:rPr>
              <w:t> </w:t>
            </w:r>
            <w:r w:rsidR="00AC6F2A" w:rsidRPr="00167E65">
              <w:rPr>
                <w:rFonts w:ascii="Arial" w:eastAsia="Calibri" w:hAnsi="Arial" w:cs="Arial"/>
                <w:sz w:val="20"/>
                <w:szCs w:val="20"/>
              </w:rPr>
              <w:t>% za naslednjih 25.000</w:t>
            </w:r>
            <w:r w:rsidR="001E75C0">
              <w:rPr>
                <w:rFonts w:ascii="Arial" w:eastAsia="Calibri" w:hAnsi="Arial" w:cs="Arial"/>
                <w:sz w:val="20"/>
                <w:szCs w:val="20"/>
              </w:rPr>
              <w:t> </w:t>
            </w:r>
            <w:r w:rsidR="00AC6F2A" w:rsidRPr="00167E65">
              <w:rPr>
                <w:rFonts w:ascii="Arial" w:eastAsia="Calibri" w:hAnsi="Arial" w:cs="Arial"/>
                <w:sz w:val="20"/>
                <w:szCs w:val="20"/>
              </w:rPr>
              <w:t>EUR, 35,75</w:t>
            </w:r>
            <w:r w:rsidR="001E75C0">
              <w:rPr>
                <w:rFonts w:ascii="Arial" w:eastAsia="Calibri" w:hAnsi="Arial" w:cs="Arial"/>
                <w:sz w:val="20"/>
                <w:szCs w:val="20"/>
              </w:rPr>
              <w:t> </w:t>
            </w:r>
            <w:r w:rsidR="00AC6F2A" w:rsidRPr="00167E65">
              <w:rPr>
                <w:rFonts w:ascii="Arial" w:eastAsia="Calibri" w:hAnsi="Arial" w:cs="Arial"/>
                <w:sz w:val="20"/>
                <w:szCs w:val="20"/>
              </w:rPr>
              <w:t>% za naslednjih 33.333</w:t>
            </w:r>
            <w:r w:rsidR="001E75C0">
              <w:rPr>
                <w:rFonts w:ascii="Arial" w:eastAsia="Calibri" w:hAnsi="Arial" w:cs="Arial"/>
                <w:sz w:val="20"/>
                <w:szCs w:val="20"/>
              </w:rPr>
              <w:t> </w:t>
            </w:r>
            <w:r w:rsidR="00AC6F2A" w:rsidRPr="00167E65">
              <w:rPr>
                <w:rFonts w:ascii="Arial" w:eastAsia="Calibri" w:hAnsi="Arial" w:cs="Arial"/>
                <w:sz w:val="20"/>
                <w:szCs w:val="20"/>
              </w:rPr>
              <w:t>EUR in 50</w:t>
            </w:r>
            <w:r w:rsidR="001E75C0">
              <w:rPr>
                <w:rFonts w:ascii="Arial" w:eastAsia="Calibri" w:hAnsi="Arial" w:cs="Arial"/>
                <w:sz w:val="20"/>
                <w:szCs w:val="20"/>
              </w:rPr>
              <w:t> </w:t>
            </w:r>
            <w:r w:rsidR="00AC6F2A" w:rsidRPr="00167E65">
              <w:rPr>
                <w:rFonts w:ascii="Arial" w:eastAsia="Calibri" w:hAnsi="Arial" w:cs="Arial"/>
                <w:sz w:val="20"/>
                <w:szCs w:val="20"/>
              </w:rPr>
              <w:t>% za zneske, ki presegajo 83.333</w:t>
            </w:r>
            <w:r w:rsidR="001E75C0">
              <w:rPr>
                <w:rFonts w:ascii="Arial" w:eastAsia="Calibri" w:hAnsi="Arial" w:cs="Arial"/>
                <w:sz w:val="20"/>
                <w:szCs w:val="20"/>
              </w:rPr>
              <w:t> </w:t>
            </w:r>
            <w:r w:rsidR="00AC6F2A" w:rsidRPr="00167E65">
              <w:rPr>
                <w:rFonts w:ascii="Arial" w:eastAsia="Calibri" w:hAnsi="Arial" w:cs="Arial"/>
                <w:sz w:val="20"/>
                <w:szCs w:val="20"/>
              </w:rPr>
              <w:t>EUR.</w:t>
            </w:r>
          </w:p>
          <w:p w14:paraId="41EAD3C5" w14:textId="77777777" w:rsidR="0093796C" w:rsidRPr="00167E65" w:rsidRDefault="0093796C" w:rsidP="002E1D31">
            <w:pPr>
              <w:spacing w:after="0" w:line="260" w:lineRule="exact"/>
              <w:jc w:val="both"/>
              <w:rPr>
                <w:rFonts w:ascii="Arial" w:eastAsia="Calibri" w:hAnsi="Arial" w:cs="Arial"/>
                <w:sz w:val="20"/>
                <w:szCs w:val="20"/>
              </w:rPr>
            </w:pPr>
          </w:p>
          <w:p w14:paraId="405FBC83" w14:textId="5CCBCBDB" w:rsidR="00AC6F2A" w:rsidRPr="00BB3B22" w:rsidRDefault="00AC6F2A" w:rsidP="002E1D3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BB3B22">
              <w:rPr>
                <w:rFonts w:ascii="Arial" w:eastAsia="Times New Roman" w:hAnsi="Arial" w:cs="Arial"/>
                <w:sz w:val="20"/>
                <w:szCs w:val="20"/>
                <w:lang w:eastAsia="sl-SI"/>
              </w:rPr>
              <w:t>5.1.2 Nemčija</w:t>
            </w:r>
          </w:p>
          <w:p w14:paraId="3BE968FD" w14:textId="5D78B23B" w:rsidR="00AC6F2A" w:rsidRPr="00167E65" w:rsidRDefault="00AC6F2A" w:rsidP="002E1D31">
            <w:pPr>
              <w:spacing w:after="0" w:line="260" w:lineRule="exact"/>
              <w:jc w:val="both"/>
              <w:rPr>
                <w:rFonts w:ascii="Arial" w:eastAsia="Calibri" w:hAnsi="Arial" w:cs="Arial"/>
                <w:sz w:val="20"/>
                <w:szCs w:val="20"/>
              </w:rPr>
            </w:pPr>
            <w:r w:rsidRPr="005C1748">
              <w:rPr>
                <w:rFonts w:ascii="Arial" w:eastAsia="Calibri" w:hAnsi="Arial" w:cs="Arial"/>
                <w:sz w:val="20"/>
                <w:szCs w:val="20"/>
              </w:rPr>
              <w:t xml:space="preserve">Rezidenti so zavezanci za dohodnino od </w:t>
            </w:r>
            <w:r w:rsidRPr="0028548E">
              <w:rPr>
                <w:rFonts w:ascii="Arial" w:eastAsia="Calibri" w:hAnsi="Arial" w:cs="Arial"/>
                <w:sz w:val="20"/>
                <w:szCs w:val="20"/>
              </w:rPr>
              <w:t>njihovega svetovnega dohodka. Rezidenčnim zakonskim partnerjem, ki živijo skupaj, se dohodnina odmeri skupaj, razen če se odločijo za ločeno odmero dohodnine.</w:t>
            </w:r>
            <w:r w:rsidR="001F36AB" w:rsidRPr="00167E65">
              <w:rPr>
                <w:rFonts w:ascii="Arial" w:eastAsia="Calibri" w:hAnsi="Arial" w:cs="Arial"/>
                <w:sz w:val="20"/>
                <w:szCs w:val="20"/>
              </w:rPr>
              <w:t xml:space="preserve"> </w:t>
            </w:r>
            <w:r w:rsidRPr="00167E65">
              <w:rPr>
                <w:rFonts w:ascii="Arial" w:eastAsia="Calibri" w:hAnsi="Arial" w:cs="Arial"/>
                <w:sz w:val="20"/>
                <w:szCs w:val="20"/>
              </w:rPr>
              <w:t xml:space="preserve">Dohodnina se odmeri od davčne osnove po spodaj navedenih progresivnih stopnjah iz lestvice, ki ji je dodan 5,5-odstotni solidarnostni pribitek (angl. </w:t>
            </w:r>
            <w:proofErr w:type="spellStart"/>
            <w:r w:rsidR="001E75C0">
              <w:rPr>
                <w:rFonts w:ascii="Arial" w:eastAsia="Calibri" w:hAnsi="Arial" w:cs="Arial"/>
                <w:i/>
                <w:sz w:val="20"/>
                <w:szCs w:val="20"/>
              </w:rPr>
              <w:t>s</w:t>
            </w:r>
            <w:r w:rsidRPr="00167E65">
              <w:rPr>
                <w:rFonts w:ascii="Arial" w:eastAsia="Calibri" w:hAnsi="Arial" w:cs="Arial"/>
                <w:i/>
                <w:sz w:val="20"/>
                <w:szCs w:val="20"/>
              </w:rPr>
              <w:t>olidarity</w:t>
            </w:r>
            <w:proofErr w:type="spellEnd"/>
            <w:r w:rsidRPr="00167E65">
              <w:rPr>
                <w:rFonts w:ascii="Arial" w:eastAsia="Calibri" w:hAnsi="Arial" w:cs="Arial"/>
                <w:i/>
                <w:sz w:val="20"/>
                <w:szCs w:val="20"/>
              </w:rPr>
              <w:t xml:space="preserve"> </w:t>
            </w:r>
            <w:proofErr w:type="spellStart"/>
            <w:r w:rsidRPr="00167E65">
              <w:rPr>
                <w:rFonts w:ascii="Arial" w:eastAsia="Calibri" w:hAnsi="Arial" w:cs="Arial"/>
                <w:i/>
                <w:sz w:val="20"/>
                <w:szCs w:val="20"/>
              </w:rPr>
              <w:t>surcharge</w:t>
            </w:r>
            <w:proofErr w:type="spellEnd"/>
            <w:r w:rsidRPr="00167E65">
              <w:rPr>
                <w:rFonts w:ascii="Arial" w:eastAsia="Calibri" w:hAnsi="Arial" w:cs="Arial"/>
                <w:sz w:val="20"/>
                <w:szCs w:val="20"/>
              </w:rPr>
              <w:t xml:space="preserve">). </w:t>
            </w:r>
          </w:p>
          <w:p w14:paraId="046D8130" w14:textId="77777777" w:rsidR="00AC6F2A" w:rsidRPr="00167E65" w:rsidRDefault="00AC6F2A" w:rsidP="002E1D31">
            <w:pPr>
              <w:spacing w:after="0" w:line="260" w:lineRule="exact"/>
              <w:jc w:val="both"/>
              <w:rPr>
                <w:rFonts w:ascii="Arial" w:eastAsia="Calibri" w:hAnsi="Arial" w:cs="Arial"/>
                <w:sz w:val="20"/>
                <w:szCs w:val="20"/>
              </w:rPr>
            </w:pPr>
          </w:p>
          <w:p w14:paraId="7801C8A7" w14:textId="2C4B7C7A" w:rsidR="00AC6F2A" w:rsidRPr="00BB3B22" w:rsidRDefault="00AC6F2A" w:rsidP="002E1D3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167E65">
              <w:rPr>
                <w:rFonts w:ascii="Arial" w:eastAsia="Calibri" w:hAnsi="Arial" w:cs="Arial"/>
                <w:sz w:val="20"/>
                <w:szCs w:val="20"/>
              </w:rPr>
              <w:t>Prvi davčni razred je</w:t>
            </w:r>
            <w:r w:rsidR="001E75C0">
              <w:rPr>
                <w:rFonts w:ascii="Arial" w:eastAsia="Calibri" w:hAnsi="Arial" w:cs="Arial"/>
                <w:sz w:val="20"/>
                <w:szCs w:val="20"/>
              </w:rPr>
              <w:t xml:space="preserve"> </w:t>
            </w:r>
            <w:r w:rsidRPr="00167E65">
              <w:rPr>
                <w:rFonts w:ascii="Arial" w:eastAsia="Calibri" w:hAnsi="Arial" w:cs="Arial"/>
                <w:sz w:val="20"/>
                <w:szCs w:val="20"/>
              </w:rPr>
              <w:t>ničti razred, nato sledijo davčni razredi z mejnimi stopnjami 14</w:t>
            </w:r>
            <w:r w:rsidR="001E75C0">
              <w:rPr>
                <w:rFonts w:ascii="Arial" w:eastAsia="Calibri" w:hAnsi="Arial" w:cs="Arial"/>
                <w:sz w:val="20"/>
                <w:szCs w:val="20"/>
              </w:rPr>
              <w:t> </w:t>
            </w:r>
            <w:r w:rsidRPr="00167E65">
              <w:rPr>
                <w:rFonts w:ascii="Arial" w:eastAsia="Calibri" w:hAnsi="Arial" w:cs="Arial"/>
                <w:sz w:val="20"/>
                <w:szCs w:val="20"/>
              </w:rPr>
              <w:t>% do 23,97</w:t>
            </w:r>
            <w:r w:rsidR="001E75C0">
              <w:rPr>
                <w:rFonts w:ascii="Arial" w:eastAsia="Calibri" w:hAnsi="Arial" w:cs="Arial"/>
                <w:sz w:val="20"/>
                <w:szCs w:val="20"/>
              </w:rPr>
              <w:t> </w:t>
            </w:r>
            <w:r w:rsidRPr="00167E65">
              <w:rPr>
                <w:rFonts w:ascii="Arial" w:eastAsia="Calibri" w:hAnsi="Arial" w:cs="Arial"/>
                <w:sz w:val="20"/>
                <w:szCs w:val="20"/>
              </w:rPr>
              <w:t>%, 23,97</w:t>
            </w:r>
            <w:r w:rsidR="001E75C0">
              <w:rPr>
                <w:rFonts w:ascii="Arial" w:eastAsia="Calibri" w:hAnsi="Arial" w:cs="Arial"/>
                <w:sz w:val="20"/>
                <w:szCs w:val="20"/>
              </w:rPr>
              <w:t> </w:t>
            </w:r>
            <w:r w:rsidRPr="00167E65">
              <w:rPr>
                <w:rFonts w:ascii="Arial" w:eastAsia="Calibri" w:hAnsi="Arial" w:cs="Arial"/>
                <w:sz w:val="20"/>
                <w:szCs w:val="20"/>
              </w:rPr>
              <w:t>% do 42</w:t>
            </w:r>
            <w:r w:rsidR="001E75C0">
              <w:rPr>
                <w:rFonts w:ascii="Arial" w:eastAsia="Calibri" w:hAnsi="Arial" w:cs="Arial"/>
                <w:sz w:val="20"/>
                <w:szCs w:val="20"/>
              </w:rPr>
              <w:t> </w:t>
            </w:r>
            <w:r w:rsidRPr="00167E65">
              <w:rPr>
                <w:rFonts w:ascii="Arial" w:eastAsia="Calibri" w:hAnsi="Arial" w:cs="Arial"/>
                <w:sz w:val="20"/>
                <w:szCs w:val="20"/>
              </w:rPr>
              <w:t>%, 42</w:t>
            </w:r>
            <w:r w:rsidR="001E75C0">
              <w:rPr>
                <w:rFonts w:ascii="Arial" w:eastAsia="Calibri" w:hAnsi="Arial" w:cs="Arial"/>
                <w:sz w:val="20"/>
                <w:szCs w:val="20"/>
              </w:rPr>
              <w:t> </w:t>
            </w:r>
            <w:r w:rsidRPr="00167E65">
              <w:rPr>
                <w:rFonts w:ascii="Arial" w:eastAsia="Calibri" w:hAnsi="Arial" w:cs="Arial"/>
                <w:sz w:val="20"/>
                <w:szCs w:val="20"/>
              </w:rPr>
              <w:t>% in zadnji davčni razred z mejno stopnjo 45</w:t>
            </w:r>
            <w:r w:rsidR="001E75C0">
              <w:rPr>
                <w:rFonts w:ascii="Arial" w:eastAsia="Calibri" w:hAnsi="Arial" w:cs="Arial"/>
                <w:sz w:val="20"/>
                <w:szCs w:val="20"/>
              </w:rPr>
              <w:t> </w:t>
            </w:r>
            <w:r w:rsidRPr="00167E65">
              <w:rPr>
                <w:rFonts w:ascii="Arial" w:eastAsia="Calibri" w:hAnsi="Arial" w:cs="Arial"/>
                <w:sz w:val="20"/>
                <w:szCs w:val="20"/>
              </w:rPr>
              <w:t>%. Ničti razred se nanaša na obdavčljivi dohodek do 9.</w:t>
            </w:r>
            <w:r w:rsidR="00AC5C52" w:rsidRPr="00167E65">
              <w:rPr>
                <w:rFonts w:ascii="Arial" w:eastAsia="Calibri" w:hAnsi="Arial" w:cs="Arial"/>
                <w:sz w:val="20"/>
                <w:szCs w:val="20"/>
              </w:rPr>
              <w:t>984</w:t>
            </w:r>
            <w:r w:rsidR="001E75C0">
              <w:rPr>
                <w:rFonts w:ascii="Arial" w:eastAsia="Calibri" w:hAnsi="Arial" w:cs="Arial"/>
                <w:sz w:val="20"/>
                <w:szCs w:val="20"/>
              </w:rPr>
              <w:t> </w:t>
            </w:r>
            <w:r w:rsidRPr="00167E65">
              <w:rPr>
                <w:rFonts w:ascii="Arial" w:eastAsia="Calibri" w:hAnsi="Arial" w:cs="Arial"/>
                <w:sz w:val="20"/>
                <w:szCs w:val="20"/>
              </w:rPr>
              <w:t>EUR, za obdavčljivi dohodek nad 9.</w:t>
            </w:r>
            <w:r w:rsidR="00AC5C52" w:rsidRPr="00167E65">
              <w:rPr>
                <w:rFonts w:ascii="Arial" w:eastAsia="Calibri" w:hAnsi="Arial" w:cs="Arial"/>
                <w:sz w:val="20"/>
                <w:szCs w:val="20"/>
              </w:rPr>
              <w:t>985</w:t>
            </w:r>
            <w:r w:rsidR="001E75C0">
              <w:rPr>
                <w:rFonts w:ascii="Arial" w:eastAsia="Calibri" w:hAnsi="Arial" w:cs="Arial"/>
                <w:sz w:val="20"/>
                <w:szCs w:val="20"/>
              </w:rPr>
              <w:t> </w:t>
            </w:r>
            <w:r w:rsidRPr="00167E65">
              <w:rPr>
                <w:rFonts w:ascii="Arial" w:eastAsia="Calibri" w:hAnsi="Arial" w:cs="Arial"/>
                <w:sz w:val="20"/>
                <w:szCs w:val="20"/>
              </w:rPr>
              <w:t>EUR do 14.</w:t>
            </w:r>
            <w:r w:rsidR="00AC5C52" w:rsidRPr="00167E65">
              <w:rPr>
                <w:rFonts w:ascii="Arial" w:eastAsia="Calibri" w:hAnsi="Arial" w:cs="Arial"/>
                <w:sz w:val="20"/>
                <w:szCs w:val="20"/>
              </w:rPr>
              <w:t>926</w:t>
            </w:r>
            <w:r w:rsidR="001E75C0">
              <w:rPr>
                <w:rFonts w:ascii="Arial" w:eastAsia="Calibri" w:hAnsi="Arial" w:cs="Arial"/>
                <w:sz w:val="20"/>
                <w:szCs w:val="20"/>
              </w:rPr>
              <w:t> </w:t>
            </w:r>
            <w:r w:rsidRPr="00167E65">
              <w:rPr>
                <w:rFonts w:ascii="Arial" w:eastAsia="Calibri" w:hAnsi="Arial" w:cs="Arial"/>
                <w:sz w:val="20"/>
                <w:szCs w:val="20"/>
              </w:rPr>
              <w:t>EUR je stopnja 14</w:t>
            </w:r>
            <w:r w:rsidR="001E75C0">
              <w:rPr>
                <w:rFonts w:ascii="Arial" w:eastAsia="Calibri" w:hAnsi="Arial" w:cs="Arial"/>
                <w:sz w:val="20"/>
                <w:szCs w:val="20"/>
              </w:rPr>
              <w:t> </w:t>
            </w:r>
            <w:r w:rsidRPr="00167E65">
              <w:rPr>
                <w:rFonts w:ascii="Arial" w:eastAsia="Calibri" w:hAnsi="Arial" w:cs="Arial"/>
                <w:sz w:val="20"/>
                <w:szCs w:val="20"/>
              </w:rPr>
              <w:t>% do 23,97</w:t>
            </w:r>
            <w:r w:rsidR="001E75C0">
              <w:rPr>
                <w:rFonts w:ascii="Arial" w:eastAsia="Calibri" w:hAnsi="Arial" w:cs="Arial"/>
                <w:sz w:val="20"/>
                <w:szCs w:val="20"/>
              </w:rPr>
              <w:t> </w:t>
            </w:r>
            <w:r w:rsidRPr="00167E65">
              <w:rPr>
                <w:rFonts w:ascii="Arial" w:eastAsia="Calibri" w:hAnsi="Arial" w:cs="Arial"/>
                <w:sz w:val="20"/>
                <w:szCs w:val="20"/>
              </w:rPr>
              <w:t>%, za obdavčljivi dohodek nad 14.</w:t>
            </w:r>
            <w:r w:rsidR="00AC5C52" w:rsidRPr="00167E65">
              <w:rPr>
                <w:rFonts w:ascii="Arial" w:eastAsia="Calibri" w:hAnsi="Arial" w:cs="Arial"/>
                <w:sz w:val="20"/>
                <w:szCs w:val="20"/>
              </w:rPr>
              <w:t>927</w:t>
            </w:r>
            <w:r w:rsidR="001E75C0">
              <w:rPr>
                <w:rFonts w:ascii="Arial" w:eastAsia="Calibri" w:hAnsi="Arial" w:cs="Arial"/>
                <w:sz w:val="20"/>
                <w:szCs w:val="20"/>
              </w:rPr>
              <w:t> </w:t>
            </w:r>
            <w:r w:rsidRPr="00167E65">
              <w:rPr>
                <w:rFonts w:ascii="Arial" w:eastAsia="Calibri" w:hAnsi="Arial" w:cs="Arial"/>
                <w:sz w:val="20"/>
                <w:szCs w:val="20"/>
              </w:rPr>
              <w:t>EUR do 5</w:t>
            </w:r>
            <w:r w:rsidR="00AC5C52" w:rsidRPr="00167E65">
              <w:rPr>
                <w:rFonts w:ascii="Arial" w:eastAsia="Calibri" w:hAnsi="Arial" w:cs="Arial"/>
                <w:sz w:val="20"/>
                <w:szCs w:val="20"/>
              </w:rPr>
              <w:t>8</w:t>
            </w:r>
            <w:r w:rsidRPr="00167E65">
              <w:rPr>
                <w:rFonts w:ascii="Arial" w:eastAsia="Calibri" w:hAnsi="Arial" w:cs="Arial"/>
                <w:sz w:val="20"/>
                <w:szCs w:val="20"/>
              </w:rPr>
              <w:t>.</w:t>
            </w:r>
            <w:r w:rsidR="00AC5C52" w:rsidRPr="00167E65">
              <w:rPr>
                <w:rFonts w:ascii="Arial" w:eastAsia="Calibri" w:hAnsi="Arial" w:cs="Arial"/>
                <w:sz w:val="20"/>
                <w:szCs w:val="20"/>
              </w:rPr>
              <w:t>596</w:t>
            </w:r>
            <w:r w:rsidR="001E75C0">
              <w:rPr>
                <w:rFonts w:ascii="Arial" w:eastAsia="Calibri" w:hAnsi="Arial" w:cs="Arial"/>
                <w:sz w:val="20"/>
                <w:szCs w:val="20"/>
              </w:rPr>
              <w:t> </w:t>
            </w:r>
            <w:r w:rsidRPr="00167E65">
              <w:rPr>
                <w:rFonts w:ascii="Arial" w:eastAsia="Calibri" w:hAnsi="Arial" w:cs="Arial"/>
                <w:sz w:val="20"/>
                <w:szCs w:val="20"/>
              </w:rPr>
              <w:t>EUR je stopnja 23,97</w:t>
            </w:r>
            <w:r w:rsidR="001E75C0">
              <w:rPr>
                <w:rFonts w:ascii="Arial" w:eastAsia="Calibri" w:hAnsi="Arial" w:cs="Arial"/>
                <w:sz w:val="20"/>
                <w:szCs w:val="20"/>
              </w:rPr>
              <w:t> </w:t>
            </w:r>
            <w:r w:rsidRPr="00167E65">
              <w:rPr>
                <w:rFonts w:ascii="Arial" w:eastAsia="Calibri" w:hAnsi="Arial" w:cs="Arial"/>
                <w:sz w:val="20"/>
                <w:szCs w:val="20"/>
              </w:rPr>
              <w:t>% do 42</w:t>
            </w:r>
            <w:r w:rsidR="001E75C0">
              <w:rPr>
                <w:rFonts w:ascii="Arial" w:eastAsia="Calibri" w:hAnsi="Arial" w:cs="Arial"/>
                <w:sz w:val="20"/>
                <w:szCs w:val="20"/>
              </w:rPr>
              <w:t> </w:t>
            </w:r>
            <w:r w:rsidRPr="00167E65">
              <w:rPr>
                <w:rFonts w:ascii="Arial" w:eastAsia="Calibri" w:hAnsi="Arial" w:cs="Arial"/>
                <w:sz w:val="20"/>
                <w:szCs w:val="20"/>
              </w:rPr>
              <w:t>%, za obdavčljivi dohodek nad 5</w:t>
            </w:r>
            <w:r w:rsidR="00AC5C52" w:rsidRPr="00167E65">
              <w:rPr>
                <w:rFonts w:ascii="Arial" w:eastAsia="Calibri" w:hAnsi="Arial" w:cs="Arial"/>
                <w:sz w:val="20"/>
                <w:szCs w:val="20"/>
              </w:rPr>
              <w:t>8</w:t>
            </w:r>
            <w:r w:rsidRPr="00167E65">
              <w:rPr>
                <w:rFonts w:ascii="Arial" w:eastAsia="Calibri" w:hAnsi="Arial" w:cs="Arial"/>
                <w:sz w:val="20"/>
                <w:szCs w:val="20"/>
              </w:rPr>
              <w:t>.</w:t>
            </w:r>
            <w:r w:rsidR="00AC5C52" w:rsidRPr="00167E65">
              <w:rPr>
                <w:rFonts w:ascii="Arial" w:eastAsia="Calibri" w:hAnsi="Arial" w:cs="Arial"/>
                <w:sz w:val="20"/>
                <w:szCs w:val="20"/>
              </w:rPr>
              <w:t>597</w:t>
            </w:r>
            <w:r w:rsidR="001E75C0">
              <w:rPr>
                <w:rFonts w:ascii="Arial" w:eastAsia="Calibri" w:hAnsi="Arial" w:cs="Arial"/>
                <w:sz w:val="20"/>
                <w:szCs w:val="20"/>
              </w:rPr>
              <w:t> </w:t>
            </w:r>
            <w:r w:rsidRPr="00167E65">
              <w:rPr>
                <w:rFonts w:ascii="Arial" w:eastAsia="Calibri" w:hAnsi="Arial" w:cs="Arial"/>
                <w:sz w:val="20"/>
                <w:szCs w:val="20"/>
              </w:rPr>
              <w:t>EUR do 27</w:t>
            </w:r>
            <w:r w:rsidR="00AC5C52" w:rsidRPr="00167E65">
              <w:rPr>
                <w:rFonts w:ascii="Arial" w:eastAsia="Calibri" w:hAnsi="Arial" w:cs="Arial"/>
                <w:sz w:val="20"/>
                <w:szCs w:val="20"/>
              </w:rPr>
              <w:t>7</w:t>
            </w:r>
            <w:r w:rsidRPr="00167E65">
              <w:rPr>
                <w:rFonts w:ascii="Arial" w:eastAsia="Calibri" w:hAnsi="Arial" w:cs="Arial"/>
                <w:sz w:val="20"/>
                <w:szCs w:val="20"/>
              </w:rPr>
              <w:t>.</w:t>
            </w:r>
            <w:r w:rsidR="00AC5C52" w:rsidRPr="00167E65">
              <w:rPr>
                <w:rFonts w:ascii="Arial" w:eastAsia="Calibri" w:hAnsi="Arial" w:cs="Arial"/>
                <w:sz w:val="20"/>
                <w:szCs w:val="20"/>
              </w:rPr>
              <w:t>825</w:t>
            </w:r>
            <w:r w:rsidR="001E75C0">
              <w:rPr>
                <w:rFonts w:ascii="Arial" w:eastAsia="Calibri" w:hAnsi="Arial" w:cs="Arial"/>
                <w:sz w:val="20"/>
                <w:szCs w:val="20"/>
              </w:rPr>
              <w:t> </w:t>
            </w:r>
            <w:r w:rsidRPr="00167E65">
              <w:rPr>
                <w:rFonts w:ascii="Arial" w:eastAsia="Calibri" w:hAnsi="Arial" w:cs="Arial"/>
                <w:sz w:val="20"/>
                <w:szCs w:val="20"/>
              </w:rPr>
              <w:t>EUR je stopnja 42</w:t>
            </w:r>
            <w:r w:rsidR="001E75C0">
              <w:rPr>
                <w:rFonts w:ascii="Arial" w:eastAsia="Calibri" w:hAnsi="Arial" w:cs="Arial"/>
                <w:sz w:val="20"/>
                <w:szCs w:val="20"/>
              </w:rPr>
              <w:t> </w:t>
            </w:r>
            <w:r w:rsidRPr="00167E65">
              <w:rPr>
                <w:rFonts w:ascii="Arial" w:eastAsia="Calibri" w:hAnsi="Arial" w:cs="Arial"/>
                <w:sz w:val="20"/>
                <w:szCs w:val="20"/>
              </w:rPr>
              <w:t>% in za obdavčljivi dohodek nad 27</w:t>
            </w:r>
            <w:r w:rsidR="00AC5C52" w:rsidRPr="00167E65">
              <w:rPr>
                <w:rFonts w:ascii="Arial" w:eastAsia="Calibri" w:hAnsi="Arial" w:cs="Arial"/>
                <w:sz w:val="20"/>
                <w:szCs w:val="20"/>
              </w:rPr>
              <w:t>7</w:t>
            </w:r>
            <w:r w:rsidRPr="00167E65">
              <w:rPr>
                <w:rFonts w:ascii="Arial" w:eastAsia="Calibri" w:hAnsi="Arial" w:cs="Arial"/>
                <w:sz w:val="20"/>
                <w:szCs w:val="20"/>
              </w:rPr>
              <w:t>.</w:t>
            </w:r>
            <w:r w:rsidR="00AC5C52" w:rsidRPr="00167E65">
              <w:rPr>
                <w:rFonts w:ascii="Arial" w:eastAsia="Calibri" w:hAnsi="Arial" w:cs="Arial"/>
                <w:sz w:val="20"/>
                <w:szCs w:val="20"/>
              </w:rPr>
              <w:t>825</w:t>
            </w:r>
            <w:r w:rsidR="001E75C0">
              <w:rPr>
                <w:rFonts w:ascii="Arial" w:eastAsia="Calibri" w:hAnsi="Arial" w:cs="Arial"/>
                <w:sz w:val="20"/>
                <w:szCs w:val="20"/>
              </w:rPr>
              <w:t> </w:t>
            </w:r>
            <w:r w:rsidRPr="00167E65">
              <w:rPr>
                <w:rFonts w:ascii="Arial" w:eastAsia="Calibri" w:hAnsi="Arial" w:cs="Arial"/>
                <w:sz w:val="20"/>
                <w:szCs w:val="20"/>
              </w:rPr>
              <w:t>EUR je stopnja 45</w:t>
            </w:r>
            <w:r w:rsidR="001E75C0">
              <w:rPr>
                <w:rFonts w:ascii="Arial" w:eastAsia="Calibri" w:hAnsi="Arial" w:cs="Arial"/>
                <w:sz w:val="20"/>
                <w:szCs w:val="20"/>
              </w:rPr>
              <w:t> </w:t>
            </w:r>
            <w:r w:rsidRPr="00167E65">
              <w:rPr>
                <w:rFonts w:ascii="Arial" w:eastAsia="Calibri" w:hAnsi="Arial" w:cs="Arial"/>
                <w:sz w:val="20"/>
                <w:szCs w:val="20"/>
              </w:rPr>
              <w:t>%.</w:t>
            </w:r>
          </w:p>
          <w:p w14:paraId="777BB40A" w14:textId="77777777" w:rsidR="00AC6F2A" w:rsidRPr="00BB3B22" w:rsidRDefault="00AC6F2A" w:rsidP="002E1D3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5FB6C9C2" w14:textId="3B53BA7B" w:rsidR="00AC6F2A" w:rsidRPr="00167E65" w:rsidRDefault="00AC6F2A" w:rsidP="002E1D31">
            <w:pPr>
              <w:spacing w:after="0" w:line="260" w:lineRule="exact"/>
              <w:jc w:val="both"/>
              <w:rPr>
                <w:rFonts w:ascii="Arial" w:eastAsia="Calibri" w:hAnsi="Arial" w:cs="Arial"/>
                <w:sz w:val="20"/>
                <w:szCs w:val="20"/>
              </w:rPr>
            </w:pPr>
            <w:r w:rsidRPr="00167E65">
              <w:rPr>
                <w:rFonts w:ascii="Arial" w:eastAsia="Calibri" w:hAnsi="Arial" w:cs="Arial"/>
                <w:sz w:val="20"/>
                <w:szCs w:val="20"/>
              </w:rPr>
              <w:t xml:space="preserve">Regres (nem. </w:t>
            </w:r>
            <w:proofErr w:type="spellStart"/>
            <w:r w:rsidRPr="00167E65">
              <w:rPr>
                <w:rFonts w:ascii="Arial" w:eastAsia="Calibri" w:hAnsi="Arial" w:cs="Arial"/>
                <w:i/>
                <w:sz w:val="20"/>
                <w:szCs w:val="20"/>
              </w:rPr>
              <w:t>Urlaubsgeld</w:t>
            </w:r>
            <w:proofErr w:type="spellEnd"/>
            <w:r w:rsidRPr="00167E65">
              <w:rPr>
                <w:rFonts w:ascii="Arial" w:eastAsia="Calibri" w:hAnsi="Arial" w:cs="Arial"/>
                <w:sz w:val="20"/>
                <w:szCs w:val="20"/>
              </w:rPr>
              <w:t xml:space="preserve">) in tudi božičnica (nem. </w:t>
            </w:r>
            <w:proofErr w:type="spellStart"/>
            <w:r w:rsidRPr="00167E65">
              <w:rPr>
                <w:rFonts w:ascii="Arial" w:eastAsia="Calibri" w:hAnsi="Arial" w:cs="Arial"/>
                <w:i/>
                <w:sz w:val="20"/>
                <w:szCs w:val="20"/>
              </w:rPr>
              <w:t>Weihnachtsgeld</w:t>
            </w:r>
            <w:proofErr w:type="spellEnd"/>
            <w:r w:rsidRPr="00167E65">
              <w:rPr>
                <w:rFonts w:ascii="Arial" w:eastAsia="Calibri" w:hAnsi="Arial" w:cs="Arial"/>
                <w:sz w:val="20"/>
                <w:szCs w:val="20"/>
              </w:rPr>
              <w:t xml:space="preserve">) spadata med posebne dohodke (nem. </w:t>
            </w:r>
            <w:proofErr w:type="spellStart"/>
            <w:r w:rsidRPr="00167E65">
              <w:rPr>
                <w:rFonts w:ascii="Arial" w:eastAsia="Calibri" w:hAnsi="Arial" w:cs="Arial"/>
                <w:i/>
                <w:sz w:val="20"/>
                <w:szCs w:val="20"/>
              </w:rPr>
              <w:t>Sonderleistungen</w:t>
            </w:r>
            <w:proofErr w:type="spellEnd"/>
            <w:r w:rsidRPr="00167E65">
              <w:rPr>
                <w:rFonts w:ascii="Arial" w:eastAsia="Calibri" w:hAnsi="Arial" w:cs="Arial"/>
                <w:sz w:val="20"/>
                <w:szCs w:val="20"/>
              </w:rPr>
              <w:t>) in se obdavčita enako kot drugi dohodki.</w:t>
            </w:r>
          </w:p>
          <w:p w14:paraId="50B70D34" w14:textId="77777777" w:rsidR="00AC6F2A" w:rsidRPr="002E1D31" w:rsidRDefault="00AC6F2A" w:rsidP="002E1D3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3B89C520" w14:textId="115865E8" w:rsidR="00AC6F2A" w:rsidRPr="00CC3E5F" w:rsidRDefault="00AC6F2A" w:rsidP="002E1D3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037B35">
              <w:rPr>
                <w:rFonts w:ascii="Arial" w:eastAsia="Times New Roman" w:hAnsi="Arial" w:cs="Arial"/>
                <w:sz w:val="20"/>
                <w:szCs w:val="20"/>
                <w:lang w:eastAsia="sl-SI"/>
              </w:rPr>
              <w:t>5.1.3 Hrvaška</w:t>
            </w:r>
          </w:p>
          <w:p w14:paraId="1325038B" w14:textId="1A38ECD4" w:rsidR="00AC6F2A" w:rsidRPr="00167E65" w:rsidRDefault="00AC6F2A" w:rsidP="002E1D31">
            <w:pPr>
              <w:spacing w:after="0" w:line="260" w:lineRule="exact"/>
              <w:jc w:val="both"/>
              <w:rPr>
                <w:rFonts w:ascii="Arial" w:eastAsia="Calibri" w:hAnsi="Arial" w:cs="Arial"/>
                <w:sz w:val="20"/>
                <w:szCs w:val="20"/>
              </w:rPr>
            </w:pPr>
            <w:r w:rsidRPr="001A7A4E">
              <w:rPr>
                <w:rFonts w:ascii="Arial" w:eastAsia="Calibri" w:hAnsi="Arial" w:cs="Arial"/>
                <w:sz w:val="20"/>
                <w:szCs w:val="20"/>
              </w:rPr>
              <w:t>Rezidenti so zavezanci za dohodnino od njihovega svetovnega dohodka.</w:t>
            </w:r>
          </w:p>
          <w:p w14:paraId="2385BC59" w14:textId="77777777" w:rsidR="0093796C" w:rsidRPr="00167E65" w:rsidRDefault="0093796C" w:rsidP="002E1D31">
            <w:pPr>
              <w:spacing w:after="0" w:line="260" w:lineRule="exact"/>
              <w:jc w:val="both"/>
              <w:rPr>
                <w:rFonts w:ascii="Arial" w:eastAsia="Calibri" w:hAnsi="Arial" w:cs="Arial"/>
                <w:sz w:val="20"/>
                <w:szCs w:val="20"/>
              </w:rPr>
            </w:pPr>
          </w:p>
          <w:p w14:paraId="0C1A60D1" w14:textId="108CFEFF" w:rsidR="00AC6F2A" w:rsidRPr="002E1D31" w:rsidRDefault="00AC6F2A" w:rsidP="002E1D31">
            <w:pPr>
              <w:spacing w:after="0" w:line="260" w:lineRule="exact"/>
              <w:jc w:val="both"/>
              <w:rPr>
                <w:rFonts w:ascii="Arial" w:eastAsia="Calibri" w:hAnsi="Arial" w:cs="Arial"/>
                <w:sz w:val="20"/>
                <w:szCs w:val="20"/>
              </w:rPr>
            </w:pPr>
            <w:r w:rsidRPr="00167E65">
              <w:rPr>
                <w:rFonts w:ascii="Arial" w:eastAsia="Calibri" w:hAnsi="Arial" w:cs="Arial"/>
                <w:sz w:val="20"/>
                <w:szCs w:val="20"/>
              </w:rPr>
              <w:t>Hrvaška ima dva davčna razreda, in sicer z mejnima stopnjama 20</w:t>
            </w:r>
            <w:r w:rsidR="001E75C0">
              <w:rPr>
                <w:rFonts w:ascii="Arial" w:eastAsia="Calibri" w:hAnsi="Arial" w:cs="Arial"/>
                <w:sz w:val="20"/>
                <w:szCs w:val="20"/>
              </w:rPr>
              <w:t> </w:t>
            </w:r>
            <w:r w:rsidRPr="00167E65">
              <w:rPr>
                <w:rFonts w:ascii="Arial" w:eastAsia="Calibri" w:hAnsi="Arial" w:cs="Arial"/>
                <w:sz w:val="20"/>
                <w:szCs w:val="20"/>
              </w:rPr>
              <w:t>% in 30</w:t>
            </w:r>
            <w:r w:rsidR="001E75C0">
              <w:rPr>
                <w:rFonts w:ascii="Arial" w:eastAsia="Calibri" w:hAnsi="Arial" w:cs="Arial"/>
                <w:sz w:val="20"/>
                <w:szCs w:val="20"/>
              </w:rPr>
              <w:t> </w:t>
            </w:r>
            <w:r w:rsidRPr="00167E65">
              <w:rPr>
                <w:rFonts w:ascii="Arial" w:eastAsia="Calibri" w:hAnsi="Arial" w:cs="Arial"/>
                <w:sz w:val="20"/>
                <w:szCs w:val="20"/>
              </w:rPr>
              <w:t>%. Do 360.000</w:t>
            </w:r>
            <w:r w:rsidR="001E75C0">
              <w:rPr>
                <w:rFonts w:ascii="Arial" w:eastAsia="Calibri" w:hAnsi="Arial" w:cs="Arial"/>
                <w:sz w:val="20"/>
                <w:szCs w:val="20"/>
              </w:rPr>
              <w:t> </w:t>
            </w:r>
            <w:r w:rsidRPr="00167E65">
              <w:rPr>
                <w:rFonts w:ascii="Arial" w:eastAsia="Calibri" w:hAnsi="Arial" w:cs="Arial"/>
                <w:sz w:val="20"/>
                <w:szCs w:val="20"/>
              </w:rPr>
              <w:t>HRK obdavčljivega dohodka je stopnja 20</w:t>
            </w:r>
            <w:r w:rsidR="001E75C0">
              <w:rPr>
                <w:rFonts w:ascii="Arial" w:eastAsia="Calibri" w:hAnsi="Arial" w:cs="Arial"/>
                <w:sz w:val="20"/>
                <w:szCs w:val="20"/>
              </w:rPr>
              <w:t> </w:t>
            </w:r>
            <w:r w:rsidRPr="00167E65">
              <w:rPr>
                <w:rFonts w:ascii="Arial" w:eastAsia="Calibri" w:hAnsi="Arial" w:cs="Arial"/>
                <w:sz w:val="20"/>
                <w:szCs w:val="20"/>
              </w:rPr>
              <w:t>%, nad 360.000</w:t>
            </w:r>
            <w:r w:rsidR="001E75C0">
              <w:rPr>
                <w:rFonts w:ascii="Arial" w:eastAsia="Calibri" w:hAnsi="Arial" w:cs="Arial"/>
                <w:sz w:val="20"/>
                <w:szCs w:val="20"/>
              </w:rPr>
              <w:t> </w:t>
            </w:r>
            <w:r w:rsidRPr="00167E65">
              <w:rPr>
                <w:rFonts w:ascii="Arial" w:eastAsia="Calibri" w:hAnsi="Arial" w:cs="Arial"/>
                <w:sz w:val="20"/>
                <w:szCs w:val="20"/>
              </w:rPr>
              <w:t>HRK obdavčljivega dohodka pa je stopnja 30</w:t>
            </w:r>
            <w:r w:rsidR="001E75C0">
              <w:rPr>
                <w:rFonts w:ascii="Arial" w:eastAsia="Calibri" w:hAnsi="Arial" w:cs="Arial"/>
                <w:sz w:val="20"/>
                <w:szCs w:val="20"/>
              </w:rPr>
              <w:t> </w:t>
            </w:r>
            <w:r w:rsidRPr="00167E65">
              <w:rPr>
                <w:rFonts w:ascii="Arial" w:eastAsia="Calibri" w:hAnsi="Arial" w:cs="Arial"/>
                <w:sz w:val="20"/>
                <w:szCs w:val="20"/>
              </w:rPr>
              <w:t>%. Poleg tega nekatere občine lahko naložijo dodatni davek na dohodek, in sicer od 10</w:t>
            </w:r>
            <w:r w:rsidR="001E75C0">
              <w:rPr>
                <w:rFonts w:ascii="Arial" w:eastAsia="Calibri" w:hAnsi="Arial" w:cs="Arial"/>
                <w:sz w:val="20"/>
                <w:szCs w:val="20"/>
              </w:rPr>
              <w:t> </w:t>
            </w:r>
            <w:r w:rsidRPr="00167E65">
              <w:rPr>
                <w:rFonts w:ascii="Arial" w:eastAsia="Calibri" w:hAnsi="Arial" w:cs="Arial"/>
                <w:sz w:val="20"/>
                <w:szCs w:val="20"/>
              </w:rPr>
              <w:t>% do 30</w:t>
            </w:r>
            <w:r w:rsidR="001E75C0">
              <w:rPr>
                <w:rFonts w:ascii="Arial" w:eastAsia="Calibri" w:hAnsi="Arial" w:cs="Arial"/>
                <w:sz w:val="20"/>
                <w:szCs w:val="20"/>
              </w:rPr>
              <w:t> </w:t>
            </w:r>
            <w:r w:rsidRPr="00167E65">
              <w:rPr>
                <w:rFonts w:ascii="Arial" w:eastAsia="Calibri" w:hAnsi="Arial" w:cs="Arial"/>
                <w:sz w:val="20"/>
                <w:szCs w:val="20"/>
              </w:rPr>
              <w:t>%, odvisno od števila prebivalcev. Najvišja stopnja tega dodatnega davka je trenutno v Zagrebu, in sicer 18</w:t>
            </w:r>
            <w:r w:rsidR="001E75C0">
              <w:rPr>
                <w:rFonts w:ascii="Arial" w:eastAsia="Calibri" w:hAnsi="Arial" w:cs="Arial"/>
                <w:sz w:val="20"/>
                <w:szCs w:val="20"/>
              </w:rPr>
              <w:t> </w:t>
            </w:r>
            <w:r w:rsidRPr="00167E65">
              <w:rPr>
                <w:rFonts w:ascii="Arial" w:eastAsia="Calibri" w:hAnsi="Arial" w:cs="Arial"/>
                <w:sz w:val="20"/>
                <w:szCs w:val="20"/>
              </w:rPr>
              <w:t>%.</w:t>
            </w:r>
            <w:r w:rsidR="00B15277" w:rsidRPr="002E1D31">
              <w:rPr>
                <w:rFonts w:ascii="Arial" w:eastAsia="Calibri" w:hAnsi="Arial" w:cs="Arial"/>
                <w:sz w:val="20"/>
                <w:szCs w:val="20"/>
              </w:rPr>
              <w:t xml:space="preserve"> </w:t>
            </w:r>
            <w:r w:rsidRPr="002E1D31">
              <w:rPr>
                <w:rFonts w:ascii="Arial" w:eastAsia="Calibri" w:hAnsi="Arial" w:cs="Arial"/>
                <w:sz w:val="20"/>
                <w:szCs w:val="20"/>
              </w:rPr>
              <w:t>Davčni zavezanci rezidenti so upravičeni do osnovne osebne olajšave v višini 4.000</w:t>
            </w:r>
            <w:r w:rsidR="001E75C0">
              <w:rPr>
                <w:rFonts w:ascii="Arial" w:eastAsia="Calibri" w:hAnsi="Arial" w:cs="Arial"/>
                <w:sz w:val="20"/>
                <w:szCs w:val="20"/>
              </w:rPr>
              <w:t> </w:t>
            </w:r>
            <w:r w:rsidRPr="002E1D31">
              <w:rPr>
                <w:rFonts w:ascii="Arial" w:eastAsia="Calibri" w:hAnsi="Arial" w:cs="Arial"/>
                <w:sz w:val="20"/>
                <w:szCs w:val="20"/>
              </w:rPr>
              <w:t>HRK mesečno. Upokojenci in osebe, ki prebivajo na območjih posebnega državnega pomena (I. in II. kategorija) ter na hribovitih in gorskih območjih, so prav tako upravičeni do osebne olajšave v višini 4.000</w:t>
            </w:r>
            <w:r w:rsidR="001E75C0">
              <w:rPr>
                <w:rFonts w:ascii="Arial" w:eastAsia="Calibri" w:hAnsi="Arial" w:cs="Arial"/>
                <w:sz w:val="20"/>
                <w:szCs w:val="20"/>
              </w:rPr>
              <w:t> </w:t>
            </w:r>
            <w:r w:rsidRPr="002E1D31">
              <w:rPr>
                <w:rFonts w:ascii="Arial" w:eastAsia="Calibri" w:hAnsi="Arial" w:cs="Arial"/>
                <w:sz w:val="20"/>
                <w:szCs w:val="20"/>
              </w:rPr>
              <w:t>HRK mesečno.</w:t>
            </w:r>
          </w:p>
          <w:p w14:paraId="6B00F223" w14:textId="77777777" w:rsidR="00AC6F2A" w:rsidRPr="002E1D31" w:rsidRDefault="00AC6F2A" w:rsidP="002E1D31">
            <w:pPr>
              <w:spacing w:after="0" w:line="260" w:lineRule="exact"/>
              <w:jc w:val="both"/>
              <w:rPr>
                <w:rFonts w:ascii="Arial" w:eastAsia="Calibri" w:hAnsi="Arial" w:cs="Arial"/>
                <w:sz w:val="20"/>
                <w:szCs w:val="20"/>
              </w:rPr>
            </w:pPr>
          </w:p>
          <w:p w14:paraId="1E561C1B" w14:textId="0BFD3D7F" w:rsidR="00AC6F2A" w:rsidRPr="002E1D31" w:rsidRDefault="00B15277"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2E1D31">
              <w:rPr>
                <w:rFonts w:ascii="Arial" w:eastAsia="Calibri" w:hAnsi="Arial" w:cs="Arial"/>
                <w:sz w:val="20"/>
                <w:szCs w:val="20"/>
              </w:rPr>
              <w:t>D</w:t>
            </w:r>
            <w:r w:rsidR="00AC6F2A" w:rsidRPr="002E1D31">
              <w:rPr>
                <w:rFonts w:ascii="Arial" w:eastAsia="Calibri" w:hAnsi="Arial" w:cs="Arial"/>
                <w:sz w:val="20"/>
                <w:szCs w:val="20"/>
              </w:rPr>
              <w:t>ohodek od nagrade za izvedbo v višini do 5.000</w:t>
            </w:r>
            <w:r w:rsidR="001E75C0">
              <w:rPr>
                <w:rFonts w:ascii="Arial" w:eastAsia="Calibri" w:hAnsi="Arial" w:cs="Arial"/>
                <w:sz w:val="20"/>
                <w:szCs w:val="20"/>
              </w:rPr>
              <w:t> </w:t>
            </w:r>
            <w:r w:rsidR="00AC6F2A" w:rsidRPr="002E1D31">
              <w:rPr>
                <w:rFonts w:ascii="Arial" w:eastAsia="Calibri" w:hAnsi="Arial" w:cs="Arial"/>
                <w:sz w:val="20"/>
                <w:szCs w:val="20"/>
              </w:rPr>
              <w:t>HRK ter posebni bonus (npr. božičnica, regres) do 3.000</w:t>
            </w:r>
            <w:r w:rsidR="001E75C0">
              <w:rPr>
                <w:rFonts w:ascii="Arial" w:eastAsia="Calibri" w:hAnsi="Arial" w:cs="Arial"/>
                <w:sz w:val="20"/>
                <w:szCs w:val="20"/>
              </w:rPr>
              <w:t> </w:t>
            </w:r>
            <w:r w:rsidR="00AC6F2A" w:rsidRPr="002E1D31">
              <w:rPr>
                <w:rFonts w:ascii="Arial" w:eastAsia="Calibri" w:hAnsi="Arial" w:cs="Arial"/>
                <w:sz w:val="20"/>
                <w:szCs w:val="20"/>
              </w:rPr>
              <w:t xml:space="preserve">HRK letno </w:t>
            </w:r>
            <w:r w:rsidRPr="002E1D31">
              <w:rPr>
                <w:rFonts w:ascii="Arial" w:eastAsia="Calibri" w:hAnsi="Arial" w:cs="Arial"/>
                <w:sz w:val="20"/>
                <w:szCs w:val="20"/>
              </w:rPr>
              <w:t xml:space="preserve">sta </w:t>
            </w:r>
            <w:r w:rsidR="00AC6F2A" w:rsidRPr="002E1D31">
              <w:rPr>
                <w:rFonts w:ascii="Arial" w:eastAsia="Calibri" w:hAnsi="Arial" w:cs="Arial"/>
                <w:sz w:val="20"/>
                <w:szCs w:val="20"/>
              </w:rPr>
              <w:t>izvzeta iz obdavčitve. Od 1. januarja 2020 so zaposleni z letnim obdavčljivim dohodkom do 360.000 HRK ter stari 25 let ali manj upravičeni do 100</w:t>
            </w:r>
            <w:r w:rsidR="001E75C0">
              <w:rPr>
                <w:rFonts w:ascii="Arial" w:eastAsia="Calibri" w:hAnsi="Arial" w:cs="Arial"/>
                <w:sz w:val="20"/>
                <w:szCs w:val="20"/>
              </w:rPr>
              <w:t> </w:t>
            </w:r>
            <w:r w:rsidR="00AC6F2A" w:rsidRPr="002E1D31">
              <w:rPr>
                <w:rFonts w:ascii="Arial" w:eastAsia="Calibri" w:hAnsi="Arial" w:cs="Arial"/>
                <w:sz w:val="20"/>
                <w:szCs w:val="20"/>
              </w:rPr>
              <w:t>% znižanja davčne obveznosti, stari med 26 in 30 let, pa so upravičeni do 50</w:t>
            </w:r>
            <w:r w:rsidR="001E75C0">
              <w:rPr>
                <w:rFonts w:ascii="Arial" w:eastAsia="Calibri" w:hAnsi="Arial" w:cs="Arial"/>
                <w:sz w:val="20"/>
                <w:szCs w:val="20"/>
              </w:rPr>
              <w:t> </w:t>
            </w:r>
            <w:r w:rsidR="00AC6F2A" w:rsidRPr="002E1D31">
              <w:rPr>
                <w:rFonts w:ascii="Arial" w:eastAsia="Calibri" w:hAnsi="Arial" w:cs="Arial"/>
                <w:sz w:val="20"/>
                <w:szCs w:val="20"/>
              </w:rPr>
              <w:t>% znižanja.</w:t>
            </w:r>
          </w:p>
          <w:p w14:paraId="57C0C766" w14:textId="19AE66DA" w:rsidR="00F7435C" w:rsidRDefault="00F7435C"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44C62B73" w14:textId="1D4F6BAD" w:rsidR="000D5FCA" w:rsidRDefault="008F2117"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5</w:t>
            </w:r>
            <w:r w:rsidR="000D5FCA">
              <w:rPr>
                <w:rFonts w:ascii="Arial" w:eastAsia="Calibri" w:hAnsi="Arial" w:cs="Arial"/>
                <w:sz w:val="20"/>
                <w:szCs w:val="20"/>
              </w:rPr>
              <w:t>.</w:t>
            </w:r>
            <w:r>
              <w:rPr>
                <w:rFonts w:ascii="Arial" w:eastAsia="Calibri" w:hAnsi="Arial" w:cs="Arial"/>
                <w:sz w:val="20"/>
                <w:szCs w:val="20"/>
              </w:rPr>
              <w:t>2</w:t>
            </w:r>
            <w:r w:rsidR="000D5FCA">
              <w:rPr>
                <w:rFonts w:ascii="Arial" w:eastAsia="Calibri" w:hAnsi="Arial" w:cs="Arial"/>
                <w:sz w:val="20"/>
                <w:szCs w:val="20"/>
              </w:rPr>
              <w:t xml:space="preserve"> </w:t>
            </w:r>
            <w:r w:rsidR="00986633" w:rsidRPr="004F63D6">
              <w:rPr>
                <w:rFonts w:ascii="Arial" w:eastAsia="Calibri" w:hAnsi="Arial" w:cs="Arial"/>
                <w:sz w:val="20"/>
                <w:szCs w:val="20"/>
              </w:rPr>
              <w:t xml:space="preserve">Prikaz </w:t>
            </w:r>
            <w:r w:rsidR="00986633">
              <w:rPr>
                <w:rFonts w:ascii="Arial" w:eastAsia="Calibri" w:hAnsi="Arial" w:cs="Arial"/>
                <w:sz w:val="20"/>
                <w:szCs w:val="20"/>
              </w:rPr>
              <w:t xml:space="preserve">posebnih ureditev na področju obdavčitve dohodkov </w:t>
            </w:r>
            <w:r w:rsidR="000D5FCA">
              <w:rPr>
                <w:rFonts w:ascii="Arial" w:eastAsia="Calibri" w:hAnsi="Arial" w:cs="Arial"/>
                <w:sz w:val="20"/>
                <w:szCs w:val="20"/>
              </w:rPr>
              <w:t>mlad</w:t>
            </w:r>
            <w:r w:rsidR="00986633">
              <w:rPr>
                <w:rFonts w:ascii="Arial" w:eastAsia="Calibri" w:hAnsi="Arial" w:cs="Arial"/>
                <w:sz w:val="20"/>
                <w:szCs w:val="20"/>
              </w:rPr>
              <w:t>ih</w:t>
            </w:r>
          </w:p>
          <w:p w14:paraId="691DE9B3" w14:textId="77777777" w:rsidR="000D5FCA" w:rsidRDefault="000D5FCA"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0A2B729C" w14:textId="534A700C" w:rsidR="000D5FCA" w:rsidRDefault="008F2117"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5</w:t>
            </w:r>
            <w:r w:rsidR="000D5FCA">
              <w:rPr>
                <w:rFonts w:ascii="Arial" w:eastAsia="Calibri" w:hAnsi="Arial" w:cs="Arial"/>
                <w:sz w:val="20"/>
                <w:szCs w:val="20"/>
              </w:rPr>
              <w:t>.</w:t>
            </w:r>
            <w:r>
              <w:rPr>
                <w:rFonts w:ascii="Arial" w:eastAsia="Calibri" w:hAnsi="Arial" w:cs="Arial"/>
                <w:sz w:val="20"/>
                <w:szCs w:val="20"/>
              </w:rPr>
              <w:t>2</w:t>
            </w:r>
            <w:r w:rsidR="000D5FCA">
              <w:rPr>
                <w:rFonts w:ascii="Arial" w:eastAsia="Calibri" w:hAnsi="Arial" w:cs="Arial"/>
                <w:sz w:val="20"/>
                <w:szCs w:val="20"/>
              </w:rPr>
              <w:t>.</w:t>
            </w:r>
            <w:r>
              <w:rPr>
                <w:rFonts w:ascii="Arial" w:eastAsia="Calibri" w:hAnsi="Arial" w:cs="Arial"/>
                <w:sz w:val="20"/>
                <w:szCs w:val="20"/>
              </w:rPr>
              <w:t>1</w:t>
            </w:r>
            <w:r w:rsidR="000D5FCA">
              <w:rPr>
                <w:rFonts w:ascii="Arial" w:eastAsia="Calibri" w:hAnsi="Arial" w:cs="Arial"/>
                <w:sz w:val="20"/>
                <w:szCs w:val="20"/>
              </w:rPr>
              <w:t xml:space="preserve"> Portugalska</w:t>
            </w:r>
          </w:p>
          <w:p w14:paraId="43181D21" w14:textId="17356A7D" w:rsidR="00E62C66" w:rsidRDefault="000D5FCA" w:rsidP="000D5FCA">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S proračunskim zakonom leta 202</w:t>
            </w:r>
            <w:r w:rsidRPr="000D5FCA">
              <w:rPr>
                <w:rFonts w:ascii="Arial" w:eastAsia="Calibri" w:hAnsi="Arial" w:cs="Arial"/>
                <w:sz w:val="20"/>
                <w:szCs w:val="20"/>
              </w:rPr>
              <w:t xml:space="preserve">0 </w:t>
            </w:r>
            <w:r>
              <w:rPr>
                <w:rFonts w:ascii="Arial" w:eastAsia="Calibri" w:hAnsi="Arial" w:cs="Arial"/>
                <w:sz w:val="20"/>
                <w:szCs w:val="20"/>
              </w:rPr>
              <w:t xml:space="preserve">je bila uvedena nova ureditev </w:t>
            </w:r>
            <w:r w:rsidR="00BC3E7C">
              <w:rPr>
                <w:rFonts w:ascii="Arial" w:eastAsia="Calibri" w:hAnsi="Arial" w:cs="Arial"/>
                <w:sz w:val="20"/>
                <w:szCs w:val="20"/>
              </w:rPr>
              <w:t>za mlade zaposlene osebe</w:t>
            </w:r>
            <w:r w:rsidRPr="000D5FCA">
              <w:rPr>
                <w:rFonts w:ascii="Arial" w:eastAsia="Calibri" w:hAnsi="Arial" w:cs="Arial"/>
                <w:sz w:val="20"/>
                <w:szCs w:val="20"/>
              </w:rPr>
              <w:t xml:space="preserve">. </w:t>
            </w:r>
            <w:r w:rsidR="00E62C66">
              <w:rPr>
                <w:rFonts w:ascii="Arial" w:eastAsia="Calibri" w:hAnsi="Arial" w:cs="Arial"/>
                <w:sz w:val="20"/>
                <w:szCs w:val="20"/>
              </w:rPr>
              <w:t xml:space="preserve">Dohodek iz zaposlitve </w:t>
            </w:r>
            <w:r w:rsidRPr="000D5FCA">
              <w:rPr>
                <w:rFonts w:ascii="Arial" w:eastAsia="Calibri" w:hAnsi="Arial" w:cs="Arial"/>
                <w:sz w:val="20"/>
                <w:szCs w:val="20"/>
              </w:rPr>
              <w:t>(</w:t>
            </w:r>
            <w:r w:rsidR="00E62C66">
              <w:rPr>
                <w:rFonts w:ascii="Arial" w:eastAsia="Calibri" w:hAnsi="Arial" w:cs="Arial"/>
                <w:sz w:val="20"/>
                <w:szCs w:val="20"/>
              </w:rPr>
              <w:t>kategorija</w:t>
            </w:r>
            <w:r w:rsidRPr="000D5FCA">
              <w:rPr>
                <w:rFonts w:ascii="Arial" w:eastAsia="Calibri" w:hAnsi="Arial" w:cs="Arial"/>
                <w:sz w:val="20"/>
                <w:szCs w:val="20"/>
              </w:rPr>
              <w:t xml:space="preserve"> A)</w:t>
            </w:r>
            <w:r w:rsidR="00E62C66">
              <w:rPr>
                <w:rFonts w:ascii="Arial" w:eastAsia="Calibri" w:hAnsi="Arial" w:cs="Arial"/>
                <w:sz w:val="20"/>
                <w:szCs w:val="20"/>
              </w:rPr>
              <w:t xml:space="preserve"> je delno izključen iz obdavčitve, če;</w:t>
            </w:r>
          </w:p>
          <w:p w14:paraId="319CFAFD" w14:textId="623DF0F8" w:rsidR="00E62C66" w:rsidRDefault="00E62C66" w:rsidP="00E62C66">
            <w:pPr>
              <w:pStyle w:val="Odstavekseznama"/>
              <w:numPr>
                <w:ilvl w:val="0"/>
                <w:numId w:val="16"/>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Pr>
                <w:rFonts w:ascii="Arial" w:eastAsia="Calibri" w:hAnsi="Arial" w:cs="Arial"/>
                <w:sz w:val="20"/>
                <w:szCs w:val="20"/>
              </w:rPr>
              <w:t>je prejemnik dohodka star med 18 in 26 let,</w:t>
            </w:r>
          </w:p>
          <w:p w14:paraId="6274E00C" w14:textId="77777777" w:rsidR="00E62C66" w:rsidRDefault="00E62C66" w:rsidP="00E62C66">
            <w:pPr>
              <w:pStyle w:val="Odstavekseznama"/>
              <w:numPr>
                <w:ilvl w:val="0"/>
                <w:numId w:val="16"/>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Pr>
                <w:rFonts w:ascii="Arial" w:eastAsia="Calibri" w:hAnsi="Arial" w:cs="Arial"/>
                <w:sz w:val="20"/>
                <w:szCs w:val="20"/>
              </w:rPr>
              <w:t>ni vzdrževani družinski član oziroma oseba,</w:t>
            </w:r>
          </w:p>
          <w:p w14:paraId="67086658" w14:textId="0D2CF45A" w:rsidR="000D5FCA" w:rsidRDefault="00E62C66" w:rsidP="00E62C66">
            <w:pPr>
              <w:pStyle w:val="Odstavekseznama"/>
              <w:numPr>
                <w:ilvl w:val="0"/>
                <w:numId w:val="16"/>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Pr>
                <w:rFonts w:ascii="Arial" w:eastAsia="Calibri" w:hAnsi="Arial" w:cs="Arial"/>
                <w:sz w:val="20"/>
                <w:szCs w:val="20"/>
              </w:rPr>
              <w:t xml:space="preserve">letni bruto dohodek ne presega </w:t>
            </w:r>
            <w:r w:rsidR="000D5FCA" w:rsidRPr="00F44B64">
              <w:rPr>
                <w:rFonts w:ascii="Arial" w:eastAsia="Calibri" w:hAnsi="Arial" w:cs="Arial"/>
                <w:sz w:val="20"/>
                <w:szCs w:val="20"/>
              </w:rPr>
              <w:t>25</w:t>
            </w:r>
            <w:r>
              <w:rPr>
                <w:rFonts w:ascii="Arial" w:eastAsia="Calibri" w:hAnsi="Arial" w:cs="Arial"/>
                <w:sz w:val="20"/>
                <w:szCs w:val="20"/>
              </w:rPr>
              <w:t>.</w:t>
            </w:r>
            <w:r w:rsidR="000D5FCA" w:rsidRPr="00F44B64">
              <w:rPr>
                <w:rFonts w:ascii="Arial" w:eastAsia="Calibri" w:hAnsi="Arial" w:cs="Arial"/>
                <w:sz w:val="20"/>
                <w:szCs w:val="20"/>
              </w:rPr>
              <w:t>075</w:t>
            </w:r>
            <w:r w:rsidR="001E75C0">
              <w:rPr>
                <w:rFonts w:ascii="Arial" w:eastAsia="Calibri" w:hAnsi="Arial" w:cs="Arial"/>
                <w:sz w:val="20"/>
                <w:szCs w:val="20"/>
              </w:rPr>
              <w:t> </w:t>
            </w:r>
            <w:r>
              <w:rPr>
                <w:rFonts w:ascii="Arial" w:eastAsia="Calibri" w:hAnsi="Arial" w:cs="Arial"/>
                <w:sz w:val="20"/>
                <w:szCs w:val="20"/>
              </w:rPr>
              <w:t>EUR</w:t>
            </w:r>
            <w:r w:rsidR="000D5FCA" w:rsidRPr="00F44B64">
              <w:rPr>
                <w:rFonts w:ascii="Arial" w:eastAsia="Calibri" w:hAnsi="Arial" w:cs="Arial"/>
                <w:sz w:val="20"/>
                <w:szCs w:val="20"/>
              </w:rPr>
              <w:t>.</w:t>
            </w:r>
          </w:p>
          <w:p w14:paraId="69684DDD" w14:textId="0188BACB" w:rsidR="00E62C66" w:rsidRDefault="00E62C66" w:rsidP="00986633">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7572B02B" w14:textId="478B8C03" w:rsidR="00E62C66" w:rsidRPr="00F44B64" w:rsidRDefault="00E62C66" w:rsidP="00986633">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E62C66">
              <w:rPr>
                <w:rFonts w:ascii="Arial" w:eastAsia="Calibri" w:hAnsi="Arial" w:cs="Arial"/>
                <w:sz w:val="20"/>
                <w:szCs w:val="20"/>
              </w:rPr>
              <w:t>Zgoraj navedeni režim velja samo v prvih 3 letih pridobivanja dohodka po letu zaključenega študija po zaključku stopnje izobrazbe, ki ustreza najmanj 4.</w:t>
            </w:r>
            <w:r w:rsidR="001E75C0">
              <w:rPr>
                <w:rFonts w:ascii="Arial" w:eastAsia="Calibri" w:hAnsi="Arial" w:cs="Arial"/>
                <w:sz w:val="20"/>
                <w:szCs w:val="20"/>
              </w:rPr>
              <w:t> </w:t>
            </w:r>
            <w:r w:rsidRPr="00E62C66">
              <w:rPr>
                <w:rFonts w:ascii="Arial" w:eastAsia="Calibri" w:hAnsi="Arial" w:cs="Arial"/>
                <w:sz w:val="20"/>
                <w:szCs w:val="20"/>
              </w:rPr>
              <w:t>stopnji nacionalnega ogrodja kvalifikacij (</w:t>
            </w:r>
            <w:proofErr w:type="spellStart"/>
            <w:r w:rsidRPr="00EB7F56">
              <w:rPr>
                <w:rFonts w:ascii="Arial" w:eastAsia="Calibri" w:hAnsi="Arial" w:cs="Arial"/>
                <w:i/>
                <w:iCs/>
                <w:sz w:val="20"/>
                <w:szCs w:val="20"/>
              </w:rPr>
              <w:t>Quadro</w:t>
            </w:r>
            <w:proofErr w:type="spellEnd"/>
            <w:r w:rsidRPr="00EB7F56">
              <w:rPr>
                <w:rFonts w:ascii="Arial" w:eastAsia="Calibri" w:hAnsi="Arial" w:cs="Arial"/>
                <w:i/>
                <w:iCs/>
                <w:sz w:val="20"/>
                <w:szCs w:val="20"/>
              </w:rPr>
              <w:t xml:space="preserve"> </w:t>
            </w:r>
            <w:proofErr w:type="spellStart"/>
            <w:r w:rsidRPr="00EB7F56">
              <w:rPr>
                <w:rFonts w:ascii="Arial" w:eastAsia="Calibri" w:hAnsi="Arial" w:cs="Arial"/>
                <w:i/>
                <w:iCs/>
                <w:sz w:val="20"/>
                <w:szCs w:val="20"/>
              </w:rPr>
              <w:t>Nacional</w:t>
            </w:r>
            <w:proofErr w:type="spellEnd"/>
            <w:r w:rsidRPr="00EB7F56">
              <w:rPr>
                <w:rFonts w:ascii="Arial" w:eastAsia="Calibri" w:hAnsi="Arial" w:cs="Arial"/>
                <w:i/>
                <w:iCs/>
                <w:sz w:val="20"/>
                <w:szCs w:val="20"/>
              </w:rPr>
              <w:t xml:space="preserve"> de </w:t>
            </w:r>
            <w:proofErr w:type="spellStart"/>
            <w:r w:rsidRPr="00EB7F56">
              <w:rPr>
                <w:rFonts w:ascii="Arial" w:eastAsia="Calibri" w:hAnsi="Arial" w:cs="Arial"/>
                <w:i/>
                <w:iCs/>
                <w:sz w:val="20"/>
                <w:szCs w:val="20"/>
              </w:rPr>
              <w:t>Qualificações</w:t>
            </w:r>
            <w:proofErr w:type="spellEnd"/>
            <w:r w:rsidRPr="00E62C66">
              <w:rPr>
                <w:rFonts w:ascii="Arial" w:eastAsia="Calibri" w:hAnsi="Arial" w:cs="Arial"/>
                <w:sz w:val="20"/>
                <w:szCs w:val="20"/>
              </w:rPr>
              <w:t>)</w:t>
            </w:r>
            <w:r w:rsidR="001E75C0">
              <w:rPr>
                <w:rFonts w:ascii="Arial" w:eastAsia="Calibri" w:hAnsi="Arial" w:cs="Arial"/>
                <w:sz w:val="20"/>
                <w:szCs w:val="20"/>
              </w:rPr>
              <w:t>,</w:t>
            </w:r>
            <w:r w:rsidRPr="00E62C66">
              <w:rPr>
                <w:rFonts w:ascii="Arial" w:eastAsia="Calibri" w:hAnsi="Arial" w:cs="Arial"/>
                <w:sz w:val="20"/>
                <w:szCs w:val="20"/>
              </w:rPr>
              <w:t xml:space="preserve"> in </w:t>
            </w:r>
            <w:r w:rsidR="001E75C0">
              <w:rPr>
                <w:rFonts w:ascii="Arial" w:eastAsia="Calibri" w:hAnsi="Arial" w:cs="Arial"/>
                <w:sz w:val="20"/>
                <w:szCs w:val="20"/>
              </w:rPr>
              <w:t xml:space="preserve">če </w:t>
            </w:r>
            <w:r w:rsidRPr="00E62C66">
              <w:rPr>
                <w:rFonts w:ascii="Arial" w:eastAsia="Calibri" w:hAnsi="Arial" w:cs="Arial"/>
                <w:sz w:val="20"/>
                <w:szCs w:val="20"/>
              </w:rPr>
              <w:t xml:space="preserve">da se to zgodi leta 2020 ali pozneje. Veljavna oprostitev </w:t>
            </w:r>
            <w:r w:rsidR="00F44B64">
              <w:rPr>
                <w:rFonts w:ascii="Arial" w:eastAsia="Calibri" w:hAnsi="Arial" w:cs="Arial"/>
                <w:sz w:val="20"/>
                <w:szCs w:val="20"/>
              </w:rPr>
              <w:t xml:space="preserve">znaša </w:t>
            </w:r>
            <w:r w:rsidRPr="00E62C66">
              <w:rPr>
                <w:rFonts w:ascii="Arial" w:eastAsia="Calibri" w:hAnsi="Arial" w:cs="Arial"/>
                <w:sz w:val="20"/>
                <w:szCs w:val="20"/>
              </w:rPr>
              <w:t>30</w:t>
            </w:r>
            <w:r w:rsidR="002067C8">
              <w:rPr>
                <w:rFonts w:ascii="Arial" w:eastAsia="Calibri" w:hAnsi="Arial" w:cs="Arial"/>
                <w:sz w:val="20"/>
                <w:szCs w:val="20"/>
              </w:rPr>
              <w:t> </w:t>
            </w:r>
            <w:r w:rsidRPr="00E62C66">
              <w:rPr>
                <w:rFonts w:ascii="Arial" w:eastAsia="Calibri" w:hAnsi="Arial" w:cs="Arial"/>
                <w:sz w:val="20"/>
                <w:szCs w:val="20"/>
              </w:rPr>
              <w:t>%, 20</w:t>
            </w:r>
            <w:r w:rsidR="002067C8">
              <w:rPr>
                <w:rFonts w:ascii="Arial" w:eastAsia="Calibri" w:hAnsi="Arial" w:cs="Arial"/>
                <w:sz w:val="20"/>
                <w:szCs w:val="20"/>
              </w:rPr>
              <w:t> </w:t>
            </w:r>
            <w:r w:rsidRPr="00E62C66">
              <w:rPr>
                <w:rFonts w:ascii="Arial" w:eastAsia="Calibri" w:hAnsi="Arial" w:cs="Arial"/>
                <w:sz w:val="20"/>
                <w:szCs w:val="20"/>
              </w:rPr>
              <w:t>% oziroma 10</w:t>
            </w:r>
            <w:r w:rsidR="002067C8">
              <w:rPr>
                <w:rFonts w:ascii="Arial" w:eastAsia="Calibri" w:hAnsi="Arial" w:cs="Arial"/>
                <w:sz w:val="20"/>
                <w:szCs w:val="20"/>
              </w:rPr>
              <w:t> </w:t>
            </w:r>
            <w:r w:rsidRPr="00E62C66">
              <w:rPr>
                <w:rFonts w:ascii="Arial" w:eastAsia="Calibri" w:hAnsi="Arial" w:cs="Arial"/>
                <w:sz w:val="20"/>
                <w:szCs w:val="20"/>
              </w:rPr>
              <w:t xml:space="preserve">% </w:t>
            </w:r>
            <w:r w:rsidR="00F44B64">
              <w:rPr>
                <w:rFonts w:ascii="Arial" w:eastAsia="Calibri" w:hAnsi="Arial" w:cs="Arial"/>
                <w:sz w:val="20"/>
                <w:szCs w:val="20"/>
              </w:rPr>
              <w:t>doseženega</w:t>
            </w:r>
            <w:r w:rsidRPr="00E62C66">
              <w:rPr>
                <w:rFonts w:ascii="Arial" w:eastAsia="Calibri" w:hAnsi="Arial" w:cs="Arial"/>
                <w:sz w:val="20"/>
                <w:szCs w:val="20"/>
              </w:rPr>
              <w:t xml:space="preserve"> dohodka v prvem, drugem in tretjem letu po </w:t>
            </w:r>
            <w:r w:rsidR="00F44B64">
              <w:rPr>
                <w:rFonts w:ascii="Arial" w:eastAsia="Calibri" w:hAnsi="Arial" w:cs="Arial"/>
                <w:sz w:val="20"/>
                <w:szCs w:val="20"/>
              </w:rPr>
              <w:t>zaključku študija.</w:t>
            </w:r>
          </w:p>
          <w:p w14:paraId="591A4167" w14:textId="77777777" w:rsidR="00E62C66" w:rsidRDefault="00E62C66" w:rsidP="000D5FCA">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78AB9EAE" w14:textId="0AE2986E" w:rsidR="000D5FCA" w:rsidRDefault="008F2117" w:rsidP="000D5FCA">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5</w:t>
            </w:r>
            <w:r w:rsidR="00F44B64">
              <w:rPr>
                <w:rFonts w:ascii="Arial" w:eastAsia="Calibri" w:hAnsi="Arial" w:cs="Arial"/>
                <w:sz w:val="20"/>
                <w:szCs w:val="20"/>
              </w:rPr>
              <w:t>.</w:t>
            </w:r>
            <w:r>
              <w:rPr>
                <w:rFonts w:ascii="Arial" w:eastAsia="Calibri" w:hAnsi="Arial" w:cs="Arial"/>
                <w:sz w:val="20"/>
                <w:szCs w:val="20"/>
              </w:rPr>
              <w:t>2</w:t>
            </w:r>
            <w:r w:rsidR="00F44B64">
              <w:rPr>
                <w:rFonts w:ascii="Arial" w:eastAsia="Calibri" w:hAnsi="Arial" w:cs="Arial"/>
                <w:sz w:val="20"/>
                <w:szCs w:val="20"/>
              </w:rPr>
              <w:t xml:space="preserve">.2 </w:t>
            </w:r>
            <w:r w:rsidR="000D5FCA" w:rsidRPr="000D5FCA">
              <w:rPr>
                <w:rFonts w:ascii="Arial" w:eastAsia="Calibri" w:hAnsi="Arial" w:cs="Arial"/>
                <w:sz w:val="20"/>
                <w:szCs w:val="20"/>
              </w:rPr>
              <w:t xml:space="preserve">Poljska </w:t>
            </w:r>
          </w:p>
          <w:p w14:paraId="06070838" w14:textId="4F873B23" w:rsidR="00F44B64" w:rsidRPr="000D5FCA" w:rsidRDefault="00F44B64" w:rsidP="00F44B64">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Na Poljskem je se</w:t>
            </w:r>
            <w:r w:rsidRPr="00F44B64">
              <w:rPr>
                <w:rFonts w:ascii="Arial" w:eastAsia="Calibri" w:hAnsi="Arial" w:cs="Arial"/>
                <w:sz w:val="20"/>
                <w:szCs w:val="20"/>
              </w:rPr>
              <w:t>znam oproščenih dohodkov obsežen in med drugim vključuje</w:t>
            </w:r>
            <w:r>
              <w:rPr>
                <w:rFonts w:ascii="Arial" w:eastAsia="Calibri" w:hAnsi="Arial" w:cs="Arial"/>
                <w:sz w:val="20"/>
                <w:szCs w:val="20"/>
              </w:rPr>
              <w:t xml:space="preserve"> tudi</w:t>
            </w:r>
            <w:r w:rsidRPr="00F44B64">
              <w:rPr>
                <w:rFonts w:ascii="Arial" w:eastAsia="Calibri" w:hAnsi="Arial" w:cs="Arial"/>
                <w:sz w:val="20"/>
                <w:szCs w:val="20"/>
              </w:rPr>
              <w:t xml:space="preserve"> dohodek iz pogodb o zaposlitvi ali storitev, ki ga pridobijo posamezniki, mlajši od 26 let, od 1. januarja 2021 pa tudi tisti, ki opravljajo študentsko ali absolventsko prakso, do zneska 85.528 PLN na leto</w:t>
            </w:r>
            <w:r>
              <w:rPr>
                <w:rFonts w:ascii="Arial" w:eastAsia="Calibri" w:hAnsi="Arial" w:cs="Arial"/>
                <w:sz w:val="20"/>
                <w:szCs w:val="20"/>
              </w:rPr>
              <w:t>.</w:t>
            </w:r>
          </w:p>
          <w:p w14:paraId="42D73B98" w14:textId="77777777" w:rsidR="000D5FCA" w:rsidRPr="000D5FCA" w:rsidRDefault="000D5FCA" w:rsidP="000D5FCA">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12B5430D" w14:textId="4C55A0B4" w:rsidR="00032DFC" w:rsidRDefault="00AA700E"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4F63D6">
              <w:rPr>
                <w:rFonts w:ascii="Arial" w:eastAsia="Calibri" w:hAnsi="Arial" w:cs="Arial"/>
                <w:sz w:val="20"/>
                <w:szCs w:val="20"/>
              </w:rPr>
              <w:t>5.</w:t>
            </w:r>
            <w:r w:rsidR="00F7435C">
              <w:rPr>
                <w:rFonts w:ascii="Arial" w:eastAsia="Calibri" w:hAnsi="Arial" w:cs="Arial"/>
                <w:sz w:val="20"/>
                <w:szCs w:val="20"/>
              </w:rPr>
              <w:t>3</w:t>
            </w:r>
            <w:r w:rsidRPr="004F63D6">
              <w:rPr>
                <w:rFonts w:ascii="Arial" w:eastAsia="Calibri" w:hAnsi="Arial" w:cs="Arial"/>
                <w:sz w:val="20"/>
                <w:szCs w:val="20"/>
              </w:rPr>
              <w:t xml:space="preserve"> Prikaz ureditve </w:t>
            </w:r>
            <w:r w:rsidR="004F63D6" w:rsidRPr="004F63D6">
              <w:rPr>
                <w:rFonts w:ascii="Arial" w:eastAsia="Calibri" w:hAnsi="Arial" w:cs="Arial"/>
                <w:sz w:val="20"/>
                <w:szCs w:val="20"/>
              </w:rPr>
              <w:t>obdavčevanj</w:t>
            </w:r>
            <w:r w:rsidR="004F63D6">
              <w:rPr>
                <w:rFonts w:ascii="Arial" w:eastAsia="Calibri" w:hAnsi="Arial" w:cs="Arial"/>
                <w:sz w:val="20"/>
                <w:szCs w:val="20"/>
              </w:rPr>
              <w:t>a</w:t>
            </w:r>
            <w:r w:rsidR="004F63D6" w:rsidRPr="004F63D6">
              <w:rPr>
                <w:rFonts w:ascii="Arial" w:eastAsia="Calibri" w:hAnsi="Arial" w:cs="Arial"/>
                <w:sz w:val="20"/>
                <w:szCs w:val="20"/>
              </w:rPr>
              <w:t xml:space="preserve"> </w:t>
            </w:r>
            <w:r w:rsidR="00032DFC">
              <w:rPr>
                <w:rFonts w:ascii="Arial" w:eastAsia="Calibri" w:hAnsi="Arial" w:cs="Arial"/>
                <w:sz w:val="20"/>
                <w:szCs w:val="20"/>
              </w:rPr>
              <w:t>dohodka iz oddajanja premoženja v najem</w:t>
            </w:r>
          </w:p>
          <w:p w14:paraId="26040F0C" w14:textId="77777777"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376BD7B3" w14:textId="6B9E090C"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5.</w:t>
            </w:r>
            <w:r w:rsidR="00F7435C">
              <w:rPr>
                <w:rFonts w:ascii="Arial" w:eastAsia="Calibri" w:hAnsi="Arial" w:cs="Arial"/>
                <w:sz w:val="20"/>
                <w:szCs w:val="20"/>
              </w:rPr>
              <w:t>3</w:t>
            </w:r>
            <w:r>
              <w:rPr>
                <w:rFonts w:ascii="Arial" w:eastAsia="Calibri" w:hAnsi="Arial" w:cs="Arial"/>
                <w:sz w:val="20"/>
                <w:szCs w:val="20"/>
              </w:rPr>
              <w:t xml:space="preserve">.1 </w:t>
            </w:r>
            <w:r w:rsidRPr="00032DFC">
              <w:rPr>
                <w:rFonts w:ascii="Arial" w:eastAsia="Calibri" w:hAnsi="Arial" w:cs="Arial"/>
                <w:sz w:val="20"/>
                <w:szCs w:val="20"/>
              </w:rPr>
              <w:t>Avstrija</w:t>
            </w:r>
          </w:p>
          <w:p w14:paraId="3F3EB403"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Obdavčljivi dohodek iz nepremičnin vključuje dohodek iz oddajanja v najem in zakup. Ta kategorija dohodka vključuje:</w:t>
            </w:r>
          </w:p>
          <w:p w14:paraId="638CA397" w14:textId="78F902D2" w:rsidR="00032DFC" w:rsidRPr="00032DFC" w:rsidRDefault="00032DFC" w:rsidP="00032DFC">
            <w:pPr>
              <w:pStyle w:val="Odstavekseznama"/>
              <w:numPr>
                <w:ilvl w:val="0"/>
                <w:numId w:val="16"/>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dohodek iz oddajanja nepremičnin v najem in zakup ter pravice, ki jih urejajo pravila civilnega prava o nepremičninah;</w:t>
            </w:r>
          </w:p>
          <w:p w14:paraId="256CC328" w14:textId="4090C5E7" w:rsidR="00032DFC" w:rsidRPr="00032DFC" w:rsidRDefault="00032DFC" w:rsidP="00032DFC">
            <w:pPr>
              <w:pStyle w:val="Odstavekseznama"/>
              <w:numPr>
                <w:ilvl w:val="0"/>
                <w:numId w:val="16"/>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dohodek z oddajanja v najem ali zakup konglomeratov premoženja, zlasti premičnega poslovnega premoženja (za plačila iz najemov drugih premičnin</w:t>
            </w:r>
            <w:r w:rsidR="004113D6">
              <w:rPr>
                <w:rFonts w:ascii="Arial" w:eastAsia="Calibri" w:hAnsi="Arial" w:cs="Arial"/>
                <w:sz w:val="20"/>
                <w:szCs w:val="20"/>
              </w:rPr>
              <w:t>)</w:t>
            </w:r>
            <w:r w:rsidRPr="00032DFC">
              <w:rPr>
                <w:rFonts w:ascii="Arial" w:eastAsia="Calibri" w:hAnsi="Arial" w:cs="Arial"/>
                <w:sz w:val="20"/>
                <w:szCs w:val="20"/>
              </w:rPr>
              <w:t>, in</w:t>
            </w:r>
          </w:p>
          <w:p w14:paraId="58878D34" w14:textId="11F484B6" w:rsidR="00032DFC" w:rsidRPr="00032DFC" w:rsidRDefault="00032DFC" w:rsidP="00032DFC">
            <w:pPr>
              <w:pStyle w:val="Odstavekseznama"/>
              <w:numPr>
                <w:ilvl w:val="0"/>
                <w:numId w:val="16"/>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dohodek od prodaje terjatev iz najemnin in zakupa, tudi če so del prejetega nadomestila za prodajo nepremičnine.</w:t>
            </w:r>
          </w:p>
          <w:p w14:paraId="6340DC28"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4A4AC352"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V primeru hiš, v katerih bivajo lastniki, domnevni dohodek od najemnin ni obdavčen. Če so deli hiše lastniško naseljeni, drugi deli pa so oddani v najem, se morajo stroški, uveljavljani kot odbitki, nanašati samo na najeti del. Če jasno razlikovanje med lastniškimi in najetimi deli hiše ni mogoče, je treba odbitke razdeliti na razumen način.</w:t>
            </w:r>
          </w:p>
          <w:p w14:paraId="313403FF"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338A13FF" w14:textId="6C93E92B"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Za izračun dohodka iz nepremičnine veljajo posebna pravila, n</w:t>
            </w:r>
            <w:r w:rsidR="002067C8">
              <w:rPr>
                <w:rFonts w:ascii="Arial" w:eastAsia="Calibri" w:hAnsi="Arial" w:cs="Arial"/>
                <w:sz w:val="20"/>
                <w:szCs w:val="20"/>
              </w:rPr>
              <w:t>a primer</w:t>
            </w:r>
            <w:r w:rsidRPr="00032DFC">
              <w:rPr>
                <w:rFonts w:ascii="Arial" w:eastAsia="Calibri" w:hAnsi="Arial" w:cs="Arial"/>
                <w:sz w:val="20"/>
                <w:szCs w:val="20"/>
              </w:rPr>
              <w:t>:</w:t>
            </w:r>
          </w:p>
          <w:p w14:paraId="532DE69E" w14:textId="2FE2385C" w:rsidR="00032DFC" w:rsidRPr="00032DFC" w:rsidRDefault="00032DFC" w:rsidP="00032DFC">
            <w:pPr>
              <w:pStyle w:val="Odstavekseznama"/>
              <w:numPr>
                <w:ilvl w:val="0"/>
                <w:numId w:val="16"/>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stroške, ki nastanejo zaradi redno ponavljajočih se popravil in vzdrževalnih del, je treba odšteti v letu plačila;</w:t>
            </w:r>
          </w:p>
          <w:p w14:paraId="22F51218" w14:textId="3144CC0A" w:rsidR="00032DFC" w:rsidRPr="00032DFC" w:rsidRDefault="00032DFC" w:rsidP="00032DFC">
            <w:pPr>
              <w:pStyle w:val="Odstavekseznama"/>
              <w:numPr>
                <w:ilvl w:val="0"/>
                <w:numId w:val="16"/>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stroški popravil in vzdrževanja, ki ne nastajajo redno, se lahko odštejejo v letu plačila ali na zahtevo sorazmerno porazdelijo na 15 let;</w:t>
            </w:r>
          </w:p>
          <w:p w14:paraId="2EC3DC44" w14:textId="1E90E9BF" w:rsidR="00032DFC" w:rsidRPr="00032DFC" w:rsidRDefault="00032DFC" w:rsidP="00032DFC">
            <w:pPr>
              <w:pStyle w:val="Odstavekseznama"/>
              <w:numPr>
                <w:ilvl w:val="0"/>
                <w:numId w:val="16"/>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amortizacija za izredno tehnično ali ekonomsko obrabo in s tem povezane stroške kot tudi izredne stroške, ki ne spadajo med stroške vzdrževanja, stroške obnove ali proizvodne stroške se lahko na zahtevo sorazmerno porazdelijo na 15 let (ta odbitek je bil uveden kot odziv na odločbo avstrijskega ustavnega sodišča, po kateri je protiustavno, da prenos izgub iz najema ni na voljo; odbitek velja za odmere od leta 2010);</w:t>
            </w:r>
          </w:p>
          <w:p w14:paraId="2AE5E35D" w14:textId="0D050577" w:rsidR="00032DFC" w:rsidRPr="00032DFC" w:rsidRDefault="00032DFC" w:rsidP="00032DFC">
            <w:pPr>
              <w:pStyle w:val="Odstavekseznama"/>
              <w:numPr>
                <w:ilvl w:val="0"/>
                <w:numId w:val="16"/>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 xml:space="preserve">stroški večjih popravil in obnovitvenih del v zvezi s stanovanjskimi stavbami morajo biti sorazmerno porazdeljeni na 15 let (taki stroški niso odbitni, če so pokriti z oproščenimi subvencijami); </w:t>
            </w:r>
          </w:p>
          <w:p w14:paraId="50502546" w14:textId="3864037A" w:rsidR="00032DFC" w:rsidRPr="00032DFC" w:rsidRDefault="00032DFC" w:rsidP="00032DFC">
            <w:pPr>
              <w:pStyle w:val="Odstavekseznama"/>
              <w:numPr>
                <w:ilvl w:val="0"/>
                <w:numId w:val="16"/>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izdatke za pridobitev, gradnjo ali dozidavo zgradbe je treba kapitalizirati in odšteti v obliki amortizacije. Kapitalizirati je treba tudi popravila in obnove v zvezi s pridobitvijo zgradbe. Enako velja za prenove, ki izboljšajo zgradbo (ali njene dele) do te mere, da bi jo na splošno obravnavali kot »drugačno« stavbo. Amortizacija je omejena na 1,5</w:t>
            </w:r>
            <w:r w:rsidR="002067C8">
              <w:rPr>
                <w:rFonts w:ascii="Arial" w:eastAsia="Calibri" w:hAnsi="Arial" w:cs="Arial"/>
                <w:sz w:val="20"/>
                <w:szCs w:val="20"/>
              </w:rPr>
              <w:t> </w:t>
            </w:r>
            <w:r w:rsidRPr="00032DFC">
              <w:rPr>
                <w:rFonts w:ascii="Arial" w:eastAsia="Calibri" w:hAnsi="Arial" w:cs="Arial"/>
                <w:sz w:val="20"/>
                <w:szCs w:val="20"/>
              </w:rPr>
              <w:t>% izdatkov letno</w:t>
            </w:r>
            <w:r w:rsidR="004113D6">
              <w:rPr>
                <w:rFonts w:ascii="Arial" w:eastAsia="Calibri" w:hAnsi="Arial" w:cs="Arial"/>
                <w:sz w:val="20"/>
                <w:szCs w:val="20"/>
              </w:rPr>
              <w:t>;</w:t>
            </w:r>
          </w:p>
          <w:p w14:paraId="2DB2DB01" w14:textId="6FE64269" w:rsidR="00032DFC" w:rsidRPr="00032DFC" w:rsidRDefault="004113D6" w:rsidP="00076F4A">
            <w:pPr>
              <w:pStyle w:val="Odstavekseznama"/>
              <w:numPr>
                <w:ilvl w:val="0"/>
                <w:numId w:val="24"/>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Pr>
                <w:rFonts w:ascii="Arial" w:eastAsia="Calibri" w:hAnsi="Arial" w:cs="Arial"/>
                <w:sz w:val="20"/>
                <w:szCs w:val="20"/>
              </w:rPr>
              <w:t>p</w:t>
            </w:r>
            <w:r w:rsidR="00032DFC" w:rsidRPr="00032DFC">
              <w:rPr>
                <w:rFonts w:ascii="Arial" w:eastAsia="Calibri" w:hAnsi="Arial" w:cs="Arial"/>
                <w:sz w:val="20"/>
                <w:szCs w:val="20"/>
              </w:rPr>
              <w:t>ri pridobitvi grajene nepremičnine, ki je oddana v najem ali zakup in oddaje, se predvideva, da se del v višini 40</w:t>
            </w:r>
            <w:r w:rsidR="002067C8">
              <w:rPr>
                <w:rFonts w:ascii="Arial" w:eastAsia="Calibri" w:hAnsi="Arial" w:cs="Arial"/>
                <w:sz w:val="20"/>
                <w:szCs w:val="20"/>
              </w:rPr>
              <w:t> </w:t>
            </w:r>
            <w:r w:rsidR="00032DFC" w:rsidRPr="00032DFC">
              <w:rPr>
                <w:rFonts w:ascii="Arial" w:eastAsia="Calibri" w:hAnsi="Arial" w:cs="Arial"/>
                <w:sz w:val="20"/>
                <w:szCs w:val="20"/>
              </w:rPr>
              <w:t>% nabavne vrednosti grajene nepremičnine plača za zemljišče (to je, da se ne amortizira); vendar pa lahko davčni zavezanec predloži dokazilo, da v posameznem primeru velja drugo razmerje</w:t>
            </w:r>
            <w:r>
              <w:rPr>
                <w:rFonts w:ascii="Arial" w:eastAsia="Calibri" w:hAnsi="Arial" w:cs="Arial"/>
                <w:sz w:val="20"/>
                <w:szCs w:val="20"/>
              </w:rPr>
              <w:t>;</w:t>
            </w:r>
          </w:p>
          <w:p w14:paraId="41887068" w14:textId="4F5B387F" w:rsidR="00032DFC" w:rsidRPr="00032DFC" w:rsidRDefault="004113D6" w:rsidP="00076F4A">
            <w:pPr>
              <w:pStyle w:val="Odstavekseznama"/>
              <w:numPr>
                <w:ilvl w:val="0"/>
                <w:numId w:val="24"/>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Pr>
                <w:rFonts w:ascii="Arial" w:eastAsia="Calibri" w:hAnsi="Arial" w:cs="Arial"/>
                <w:sz w:val="20"/>
                <w:szCs w:val="20"/>
              </w:rPr>
              <w:t>r</w:t>
            </w:r>
            <w:r w:rsidR="00032DFC" w:rsidRPr="00032DFC">
              <w:rPr>
                <w:rFonts w:ascii="Arial" w:eastAsia="Calibri" w:hAnsi="Arial" w:cs="Arial"/>
                <w:sz w:val="20"/>
                <w:szCs w:val="20"/>
              </w:rPr>
              <w:t>edne dohodninske stopnje so progresivne. Skupne obdavčitve zakoncev ali gospodinjstev ni, ampak mora vsak član gospodinjstva vložiti svojo napoved. Veljavne davčne stopnje so od 0</w:t>
            </w:r>
            <w:r w:rsidR="002067C8">
              <w:rPr>
                <w:rFonts w:ascii="Arial" w:eastAsia="Calibri" w:hAnsi="Arial" w:cs="Arial"/>
                <w:sz w:val="20"/>
                <w:szCs w:val="20"/>
              </w:rPr>
              <w:t> </w:t>
            </w:r>
            <w:r w:rsidR="00032DFC" w:rsidRPr="00032DFC">
              <w:rPr>
                <w:rFonts w:ascii="Arial" w:eastAsia="Calibri" w:hAnsi="Arial" w:cs="Arial"/>
                <w:sz w:val="20"/>
                <w:szCs w:val="20"/>
              </w:rPr>
              <w:t>% do 50</w:t>
            </w:r>
            <w:r w:rsidR="002067C8">
              <w:rPr>
                <w:rFonts w:ascii="Arial" w:eastAsia="Calibri" w:hAnsi="Arial" w:cs="Arial"/>
                <w:sz w:val="20"/>
                <w:szCs w:val="20"/>
              </w:rPr>
              <w:t> </w:t>
            </w:r>
            <w:r w:rsidR="00032DFC" w:rsidRPr="00032DFC">
              <w:rPr>
                <w:rFonts w:ascii="Arial" w:eastAsia="Calibri" w:hAnsi="Arial" w:cs="Arial"/>
                <w:sz w:val="20"/>
                <w:szCs w:val="20"/>
              </w:rPr>
              <w:t>%.</w:t>
            </w:r>
          </w:p>
          <w:p w14:paraId="2A4D24B8"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6C865FA3" w14:textId="01E9B111"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5.</w:t>
            </w:r>
            <w:r w:rsidR="00F7435C">
              <w:rPr>
                <w:rFonts w:ascii="Arial" w:eastAsia="Calibri" w:hAnsi="Arial" w:cs="Arial"/>
                <w:sz w:val="20"/>
                <w:szCs w:val="20"/>
              </w:rPr>
              <w:t>3</w:t>
            </w:r>
            <w:r>
              <w:rPr>
                <w:rFonts w:ascii="Arial" w:eastAsia="Calibri" w:hAnsi="Arial" w:cs="Arial"/>
                <w:sz w:val="20"/>
                <w:szCs w:val="20"/>
              </w:rPr>
              <w:t xml:space="preserve">.2 </w:t>
            </w:r>
            <w:r w:rsidRPr="00032DFC">
              <w:rPr>
                <w:rFonts w:ascii="Arial" w:eastAsia="Calibri" w:hAnsi="Arial" w:cs="Arial"/>
                <w:sz w:val="20"/>
                <w:szCs w:val="20"/>
              </w:rPr>
              <w:t>Nemčija</w:t>
            </w:r>
          </w:p>
          <w:p w14:paraId="7A0FE447" w14:textId="79934776"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Izračun dohodka iz naložb, vključno z dohodkom iz oddajanja v najem, se razlikuje od izračuna dohodka iz dejavnosti. Obdavčljivi dohodek je razlika med prejetimi plačili in z dohodki povezanimi stroški, plačanimi v ustreznem koledarskem letu. Odhodki v zvezi s prihodki so odbitni, če so utemeljeni. Obdavči se tako izračunani neto dohodek.</w:t>
            </w:r>
          </w:p>
          <w:p w14:paraId="75F99691"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4EB55F91" w14:textId="0E14D1BA"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 xml:space="preserve">Dohodek iz nepremičnega premoženja je razvrščen kot dohodek iz oddajanja v najem iz skupine 6. Ta je opredeljen kot dohodek, ki izvira iz oddajanja nepremičnega premoženja v najem in zakup, zlasti nepremičnin, zgradb, delov stavb ali stanovanj, premičnin in avtorskih honorarjev, tretji stranki. Nemčija ne zaračunava nobenega davka na domnevni dohodek od stanovanj, v katerih bivajo lastniki. Če je plačilo </w:t>
            </w:r>
            <w:r w:rsidRPr="00032DFC">
              <w:rPr>
                <w:rFonts w:ascii="Arial" w:eastAsia="Calibri" w:hAnsi="Arial" w:cs="Arial"/>
                <w:sz w:val="20"/>
                <w:szCs w:val="20"/>
              </w:rPr>
              <w:lastRenderedPageBreak/>
              <w:t>za stanovanje, ki se oddaja v stanovanjske namene, nižje od 50</w:t>
            </w:r>
            <w:r w:rsidR="002067C8">
              <w:rPr>
                <w:rFonts w:ascii="Arial" w:eastAsia="Calibri" w:hAnsi="Arial" w:cs="Arial"/>
                <w:sz w:val="20"/>
                <w:szCs w:val="20"/>
              </w:rPr>
              <w:t> </w:t>
            </w:r>
            <w:r w:rsidRPr="00032DFC">
              <w:rPr>
                <w:rFonts w:ascii="Arial" w:eastAsia="Calibri" w:hAnsi="Arial" w:cs="Arial"/>
                <w:sz w:val="20"/>
                <w:szCs w:val="20"/>
              </w:rPr>
              <w:t>% (66</w:t>
            </w:r>
            <w:r w:rsidR="002067C8">
              <w:rPr>
                <w:rFonts w:ascii="Arial" w:eastAsia="Calibri" w:hAnsi="Arial" w:cs="Arial"/>
                <w:sz w:val="20"/>
                <w:szCs w:val="20"/>
              </w:rPr>
              <w:t> </w:t>
            </w:r>
            <w:r w:rsidRPr="00032DFC">
              <w:rPr>
                <w:rFonts w:ascii="Arial" w:eastAsia="Calibri" w:hAnsi="Arial" w:cs="Arial"/>
                <w:sz w:val="20"/>
                <w:szCs w:val="20"/>
              </w:rPr>
              <w:t>% pred letom 2021) običajne vrednosti najemnine na lokalnem trgu, je treba predajo uporabe in koristi razdeliti na neodplačni del in del, ki mu pripada nadomestilo.</w:t>
            </w:r>
          </w:p>
          <w:p w14:paraId="69A78951"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1F202D8C" w14:textId="5B4BCC15"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Obdavčljivi dohodek od najemnin iz skupine 6 so bruto prejete najemnine, zmanjšane za amortizacijo, hipotekarne obresti in druge stroške.</w:t>
            </w:r>
          </w:p>
          <w:p w14:paraId="05E12271"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30800E9B" w14:textId="19099C34"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Davek od dohodka posameznikov se obračunava po progresivnih stopnjah. Veljavne davčne stopnje so od 0</w:t>
            </w:r>
            <w:r w:rsidR="002067C8">
              <w:rPr>
                <w:rFonts w:ascii="Arial" w:eastAsia="Calibri" w:hAnsi="Arial" w:cs="Arial"/>
                <w:sz w:val="20"/>
                <w:szCs w:val="20"/>
              </w:rPr>
              <w:t> </w:t>
            </w:r>
            <w:r w:rsidRPr="00032DFC">
              <w:rPr>
                <w:rFonts w:ascii="Arial" w:eastAsia="Calibri" w:hAnsi="Arial" w:cs="Arial"/>
                <w:sz w:val="20"/>
                <w:szCs w:val="20"/>
              </w:rPr>
              <w:t>% do 45</w:t>
            </w:r>
            <w:r w:rsidR="002067C8">
              <w:rPr>
                <w:rFonts w:ascii="Arial" w:eastAsia="Calibri" w:hAnsi="Arial" w:cs="Arial"/>
                <w:sz w:val="20"/>
                <w:szCs w:val="20"/>
              </w:rPr>
              <w:t> </w:t>
            </w:r>
            <w:r w:rsidRPr="00032DFC">
              <w:rPr>
                <w:rFonts w:ascii="Arial" w:eastAsia="Calibri" w:hAnsi="Arial" w:cs="Arial"/>
                <w:sz w:val="20"/>
                <w:szCs w:val="20"/>
              </w:rPr>
              <w:t>%. Od zneska izračunanega davka se obračuna solidarnostni pribitek v višini 5,5</w:t>
            </w:r>
            <w:r w:rsidR="002067C8">
              <w:rPr>
                <w:rFonts w:ascii="Arial" w:eastAsia="Calibri" w:hAnsi="Arial" w:cs="Arial"/>
                <w:sz w:val="20"/>
                <w:szCs w:val="20"/>
              </w:rPr>
              <w:t> </w:t>
            </w:r>
            <w:r w:rsidRPr="00032DFC">
              <w:rPr>
                <w:rFonts w:ascii="Arial" w:eastAsia="Calibri" w:hAnsi="Arial" w:cs="Arial"/>
                <w:sz w:val="20"/>
                <w:szCs w:val="20"/>
              </w:rPr>
              <w:t>%.</w:t>
            </w:r>
          </w:p>
          <w:p w14:paraId="3BBD135F"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5F9CECCA" w14:textId="4AB9CE43"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5.</w:t>
            </w:r>
            <w:r w:rsidR="00F7435C">
              <w:rPr>
                <w:rFonts w:ascii="Arial" w:eastAsia="Calibri" w:hAnsi="Arial" w:cs="Arial"/>
                <w:sz w:val="20"/>
                <w:szCs w:val="20"/>
              </w:rPr>
              <w:t>3</w:t>
            </w:r>
            <w:r>
              <w:rPr>
                <w:rFonts w:ascii="Arial" w:eastAsia="Calibri" w:hAnsi="Arial" w:cs="Arial"/>
                <w:sz w:val="20"/>
                <w:szCs w:val="20"/>
              </w:rPr>
              <w:t xml:space="preserve">.3 </w:t>
            </w:r>
            <w:r w:rsidRPr="00032DFC">
              <w:rPr>
                <w:rFonts w:ascii="Arial" w:eastAsia="Calibri" w:hAnsi="Arial" w:cs="Arial"/>
                <w:sz w:val="20"/>
                <w:szCs w:val="20"/>
              </w:rPr>
              <w:t>Hrvaška</w:t>
            </w:r>
          </w:p>
          <w:p w14:paraId="2234F3F3" w14:textId="2246DE13"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Dohodki iz nepremičnin vključujejo prejemke iz oddajanja nepremičnin v najem ali zakup, iz oddajanja apartmajev, sob in ležišč popotnikom in turistom ter od organiziranja kampov, prejemke iz časovno omejenega odstopa avtorskih pravic, pravic industrijske lastnine in drugih premoženjskih pravic ter prejemke od odsvojitve nepremičnin in premoženjskih pravic.</w:t>
            </w:r>
          </w:p>
          <w:p w14:paraId="13C239B9"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647F80B3" w14:textId="20BA30E3"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Dohodnina od dohodkov iz oddajanja nepremičnin v najem ali zakup se plačuje mesečno v skladu s sklepom davčnega organa. Pri izračunu obdavčljivega dohodka iz najema ali zakupa nepremičnin je dovoljen 30-odstotni odbitek, ki predstavlja povezane stroške. Osebne olajšave se ne priznajo. Davek se plača po stopnji 10</w:t>
            </w:r>
            <w:r w:rsidR="002067C8">
              <w:rPr>
                <w:rFonts w:ascii="Arial" w:eastAsia="Calibri" w:hAnsi="Arial" w:cs="Arial"/>
                <w:sz w:val="20"/>
                <w:szCs w:val="20"/>
              </w:rPr>
              <w:t> </w:t>
            </w:r>
            <w:r w:rsidRPr="00032DFC">
              <w:rPr>
                <w:rFonts w:ascii="Arial" w:eastAsia="Calibri" w:hAnsi="Arial" w:cs="Arial"/>
                <w:sz w:val="20"/>
                <w:szCs w:val="20"/>
              </w:rPr>
              <w:t>% plus mestni pribitek (če obstaja).</w:t>
            </w:r>
          </w:p>
          <w:p w14:paraId="6AD34151"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0A79418D" w14:textId="21F23E92"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Davčni zavezanec, ki daje nepremičnino v najem ali zakup, se lahko odloči za obdavčitev po pravilih, ki veljajo za dohodke iz dejavnosti. Taka obdavčitev velja za davkoplačevalce, ki plačujejo DDV ali katerih prejemki presegajo 300.000</w:t>
            </w:r>
            <w:r w:rsidR="002067C8">
              <w:rPr>
                <w:rFonts w:ascii="Arial" w:eastAsia="Calibri" w:hAnsi="Arial" w:cs="Arial"/>
                <w:sz w:val="20"/>
                <w:szCs w:val="20"/>
              </w:rPr>
              <w:t> HRK</w:t>
            </w:r>
            <w:r w:rsidRPr="00032DFC">
              <w:rPr>
                <w:rFonts w:ascii="Arial" w:eastAsia="Calibri" w:hAnsi="Arial" w:cs="Arial"/>
                <w:sz w:val="20"/>
                <w:szCs w:val="20"/>
              </w:rPr>
              <w:t xml:space="preserve"> letno.</w:t>
            </w:r>
          </w:p>
          <w:p w14:paraId="0256E934"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38A4D701" w14:textId="055C0AB5"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Dohodek iz oddajanja apartmajev, sob in ležišč popotnikom in turistom ter dohodek iz organiziranja kampov se lahko obdavči kot dohodek iz dejavnosti ali pod določenimi pogoji po pavšalni obdavčitvi.</w:t>
            </w:r>
            <w:r w:rsidR="004113D6">
              <w:rPr>
                <w:rFonts w:ascii="Arial" w:eastAsia="Calibri" w:hAnsi="Arial" w:cs="Arial"/>
                <w:sz w:val="20"/>
                <w:szCs w:val="20"/>
              </w:rPr>
              <w:t xml:space="preserve"> </w:t>
            </w:r>
            <w:r w:rsidRPr="00032DFC">
              <w:rPr>
                <w:rFonts w:ascii="Arial" w:eastAsia="Calibri" w:hAnsi="Arial" w:cs="Arial"/>
                <w:sz w:val="20"/>
                <w:szCs w:val="20"/>
              </w:rPr>
              <w:t>Pri dohodkih iz premoženjskih pravic se dohodnina plača z davčnim odtegljajem. V času odtegljaja se osebne olajšave ne priznajo. Pripadajoči dokumentirani stroški so dovoljeni z vložitvijo zahtevka do 15. januarja tekočega leta za preteklo leto.</w:t>
            </w:r>
          </w:p>
          <w:p w14:paraId="26D903E7"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6E7773C8" w14:textId="664EA4B0"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5.</w:t>
            </w:r>
            <w:r w:rsidR="00F7435C">
              <w:rPr>
                <w:rFonts w:ascii="Arial" w:eastAsia="Calibri" w:hAnsi="Arial" w:cs="Arial"/>
                <w:sz w:val="20"/>
                <w:szCs w:val="20"/>
              </w:rPr>
              <w:t>3</w:t>
            </w:r>
            <w:r>
              <w:rPr>
                <w:rFonts w:ascii="Arial" w:eastAsia="Calibri" w:hAnsi="Arial" w:cs="Arial"/>
                <w:sz w:val="20"/>
                <w:szCs w:val="20"/>
              </w:rPr>
              <w:t xml:space="preserve">.4 </w:t>
            </w:r>
            <w:r w:rsidRPr="00032DFC">
              <w:rPr>
                <w:rFonts w:ascii="Arial" w:eastAsia="Calibri" w:hAnsi="Arial" w:cs="Arial"/>
                <w:sz w:val="20"/>
                <w:szCs w:val="20"/>
              </w:rPr>
              <w:t>Danska</w:t>
            </w:r>
          </w:p>
          <w:p w14:paraId="25238FC3" w14:textId="77777777"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Dohodek iz nepremičnine, ki ni glavno prebivališče zavezanca, je obdavčen kot osebni dohodek. Priznajo se stroški vzdrževanja.</w:t>
            </w:r>
          </w:p>
          <w:p w14:paraId="77A1A8B4" w14:textId="6557332A"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0FD1F4B5"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Obdavčljivi dohodek iz oddajanja vikenda v najem se lahko po izbiri davčnega zavezanca izračuna kot:</w:t>
            </w:r>
          </w:p>
          <w:p w14:paraId="04A58C37" w14:textId="5D52C113" w:rsidR="00032DFC" w:rsidRPr="00032DFC" w:rsidRDefault="00032DFC" w:rsidP="00076F4A">
            <w:pPr>
              <w:pStyle w:val="Odstavekseznama"/>
              <w:numPr>
                <w:ilvl w:val="0"/>
                <w:numId w:val="24"/>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dohodek, zmanjšan za povezane dejanske stroške, vključno s stroški vzdrževanja in amortizacijo za pohištvo ter državnim davkom od premoženja za obdobje, v katerem je vikend oddan. V tem primeru lastnik plača državni davek od premoženja za vikend samo za obdobje, ko ni oddan v najem; ali</w:t>
            </w:r>
          </w:p>
          <w:p w14:paraId="5E00BFE5" w14:textId="3B9C6D6D" w:rsidR="00032DFC" w:rsidRPr="00032DFC" w:rsidRDefault="00032DFC" w:rsidP="00076F4A">
            <w:pPr>
              <w:pStyle w:val="Odstavekseznama"/>
              <w:numPr>
                <w:ilvl w:val="0"/>
                <w:numId w:val="24"/>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dohodek, zmanjšan za olajšavo v višini 11.900</w:t>
            </w:r>
            <w:r w:rsidR="002067C8">
              <w:rPr>
                <w:rFonts w:ascii="Arial" w:eastAsia="Calibri" w:hAnsi="Arial" w:cs="Arial"/>
                <w:sz w:val="20"/>
                <w:szCs w:val="20"/>
              </w:rPr>
              <w:t> </w:t>
            </w:r>
            <w:r w:rsidRPr="00032DFC">
              <w:rPr>
                <w:rFonts w:ascii="Arial" w:eastAsia="Calibri" w:hAnsi="Arial" w:cs="Arial"/>
                <w:sz w:val="20"/>
                <w:szCs w:val="20"/>
              </w:rPr>
              <w:t xml:space="preserve">DKK v letu 2022. </w:t>
            </w:r>
            <w:r w:rsidR="004113D6">
              <w:rPr>
                <w:rFonts w:ascii="Arial" w:eastAsia="Calibri" w:hAnsi="Arial" w:cs="Arial"/>
                <w:sz w:val="20"/>
                <w:szCs w:val="20"/>
              </w:rPr>
              <w:t>Tako izračunani</w:t>
            </w:r>
            <w:r w:rsidRPr="00032DFC">
              <w:rPr>
                <w:rFonts w:ascii="Arial" w:eastAsia="Calibri" w:hAnsi="Arial" w:cs="Arial"/>
                <w:sz w:val="20"/>
                <w:szCs w:val="20"/>
              </w:rPr>
              <w:t xml:space="preserve"> dohodek se lahko dodatno zmanjša za 40</w:t>
            </w:r>
            <w:r w:rsidR="002067C8">
              <w:rPr>
                <w:rFonts w:ascii="Arial" w:eastAsia="Calibri" w:hAnsi="Arial" w:cs="Arial"/>
                <w:sz w:val="20"/>
                <w:szCs w:val="20"/>
              </w:rPr>
              <w:t> </w:t>
            </w:r>
            <w:r w:rsidRPr="00032DFC">
              <w:rPr>
                <w:rFonts w:ascii="Arial" w:eastAsia="Calibri" w:hAnsi="Arial" w:cs="Arial"/>
                <w:sz w:val="20"/>
                <w:szCs w:val="20"/>
              </w:rPr>
              <w:t>%, pri čemer tako znižanje nadomesti vse odbitke za stroške. V tem primeru lastnik plača državni davek od premoženja za kočo tudi v času, ko jo oddaja. Če dohodek iz oddajanja v najem davčnim organom prijavi tretji ponudnik (npr. zastopnik za oddajo v najem) kot dohodek iz oddajanjem pisarn v najem, znaša olajšava 43.200</w:t>
            </w:r>
            <w:r w:rsidR="002067C8">
              <w:rPr>
                <w:rFonts w:ascii="Arial" w:eastAsia="Calibri" w:hAnsi="Arial" w:cs="Arial"/>
                <w:sz w:val="20"/>
                <w:szCs w:val="20"/>
              </w:rPr>
              <w:t> </w:t>
            </w:r>
            <w:r w:rsidRPr="00032DFC">
              <w:rPr>
                <w:rFonts w:ascii="Arial" w:eastAsia="Calibri" w:hAnsi="Arial" w:cs="Arial"/>
                <w:sz w:val="20"/>
                <w:szCs w:val="20"/>
              </w:rPr>
              <w:t>DKK v letu 2022.</w:t>
            </w:r>
          </w:p>
          <w:p w14:paraId="2C986CA8" w14:textId="77777777" w:rsidR="008A122A" w:rsidRPr="008A122A" w:rsidRDefault="008A122A" w:rsidP="008A122A">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5DCE8A95" w14:textId="51650C5F" w:rsidR="00032DFC" w:rsidRPr="008A122A" w:rsidRDefault="00032DFC" w:rsidP="008A122A">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8A122A">
              <w:rPr>
                <w:rFonts w:ascii="Arial" w:eastAsia="Calibri" w:hAnsi="Arial" w:cs="Arial"/>
                <w:sz w:val="20"/>
                <w:szCs w:val="20"/>
              </w:rPr>
              <w:t>Obdavčljivi dohodek iz oddajanja dela lastniške hiše v nastanitveni najem ali iz oddajanja hiše v najem za obdobje, krajše od enega leta, se lahko po izbiri davčnega zavezanca izračuna kot:</w:t>
            </w:r>
          </w:p>
          <w:p w14:paraId="57A76087" w14:textId="7B53533A" w:rsidR="00032DFC" w:rsidRPr="00032DFC" w:rsidRDefault="00032DFC" w:rsidP="00076F4A">
            <w:pPr>
              <w:pStyle w:val="Odstavekseznama"/>
              <w:numPr>
                <w:ilvl w:val="0"/>
                <w:numId w:val="25"/>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dohodek, zmanjšan za povezane dejanske stroške, vključno s stroški vzdrževanja in amortizacijo za pohištvo ter državnim davkom od premoženja za obdobje, v katerem je hiša oddana. V tem primeru lastnik plača državni davek od premoženja za hišo samo za obdobje, ko ni oddana v najem; ali</w:t>
            </w:r>
          </w:p>
          <w:p w14:paraId="4B2EF22F" w14:textId="207E3ABC" w:rsidR="00032DFC" w:rsidRPr="00032DFC" w:rsidRDefault="00032DFC" w:rsidP="00076F4A">
            <w:pPr>
              <w:pStyle w:val="Odstavekseznama"/>
              <w:numPr>
                <w:ilvl w:val="0"/>
                <w:numId w:val="25"/>
              </w:numPr>
              <w:suppressAutoHyphens/>
              <w:overflowPunct w:val="0"/>
              <w:autoSpaceDE w:val="0"/>
              <w:autoSpaceDN w:val="0"/>
              <w:adjustRightInd w:val="0"/>
              <w:spacing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lastRenderedPageBreak/>
              <w:t>dohodek, zmanjšan za olajšavo v višini 11.900</w:t>
            </w:r>
            <w:r w:rsidR="002067C8">
              <w:rPr>
                <w:rFonts w:ascii="Arial" w:eastAsia="Calibri" w:hAnsi="Arial" w:cs="Arial"/>
                <w:sz w:val="20"/>
                <w:szCs w:val="20"/>
              </w:rPr>
              <w:t> </w:t>
            </w:r>
            <w:r w:rsidRPr="00032DFC">
              <w:rPr>
                <w:rFonts w:ascii="Arial" w:eastAsia="Calibri" w:hAnsi="Arial" w:cs="Arial"/>
                <w:sz w:val="20"/>
                <w:szCs w:val="20"/>
              </w:rPr>
              <w:t xml:space="preserve">DKK v letu 2022. </w:t>
            </w:r>
            <w:r w:rsidR="008A122A">
              <w:rPr>
                <w:rFonts w:ascii="Arial" w:eastAsia="Calibri" w:hAnsi="Arial" w:cs="Arial"/>
                <w:sz w:val="20"/>
                <w:szCs w:val="20"/>
              </w:rPr>
              <w:t>Tako izračunani</w:t>
            </w:r>
            <w:r w:rsidRPr="00032DFC">
              <w:rPr>
                <w:rFonts w:ascii="Arial" w:eastAsia="Calibri" w:hAnsi="Arial" w:cs="Arial"/>
                <w:sz w:val="20"/>
                <w:szCs w:val="20"/>
              </w:rPr>
              <w:t xml:space="preserve"> dohodek se lahko dodatno zmanjša za 40</w:t>
            </w:r>
            <w:r w:rsidR="002067C8">
              <w:rPr>
                <w:rFonts w:ascii="Arial" w:eastAsia="Calibri" w:hAnsi="Arial" w:cs="Arial"/>
                <w:sz w:val="20"/>
                <w:szCs w:val="20"/>
              </w:rPr>
              <w:t> </w:t>
            </w:r>
            <w:r w:rsidRPr="00032DFC">
              <w:rPr>
                <w:rFonts w:ascii="Arial" w:eastAsia="Calibri" w:hAnsi="Arial" w:cs="Arial"/>
                <w:sz w:val="20"/>
                <w:szCs w:val="20"/>
              </w:rPr>
              <w:t>%, pri čemer tako znižanje nadomesti vse odbitke za stroške. V tem primeru lastnik plača državni davek od premoženja za hišo tudi v času, ko jo oddaja. Če dohodek iz oddajanja v najem davčnim organom prijavi tretji ponudnik (npr. zastopnik za oddajo v najem) kot dohodek iz oddajanja pisarn v najem, znaša olajšava 43.200</w:t>
            </w:r>
            <w:r w:rsidR="002067C8">
              <w:rPr>
                <w:rFonts w:ascii="Arial" w:eastAsia="Calibri" w:hAnsi="Arial" w:cs="Arial"/>
                <w:sz w:val="20"/>
                <w:szCs w:val="20"/>
              </w:rPr>
              <w:t> </w:t>
            </w:r>
            <w:r w:rsidRPr="00032DFC">
              <w:rPr>
                <w:rFonts w:ascii="Arial" w:eastAsia="Calibri" w:hAnsi="Arial" w:cs="Arial"/>
                <w:sz w:val="20"/>
                <w:szCs w:val="20"/>
              </w:rPr>
              <w:t>DKK v letu 2022.</w:t>
            </w:r>
          </w:p>
          <w:p w14:paraId="595A69F3" w14:textId="77777777"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630DD86D" w14:textId="1DB8E5F3"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Lastnik plača državni davek od premoženja za hišo, ne glede na to, ali je del hiše oddan ali hiša oddana za manj kot eno leto.</w:t>
            </w:r>
          </w:p>
          <w:p w14:paraId="4F2A1D75"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74F34CB6" w14:textId="776840A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V skupino dohodka iz kapitala je vključena tudi vrednost najema stanovanj, v katerih bivajo lastniki.</w:t>
            </w:r>
            <w:r w:rsidR="008A122A">
              <w:rPr>
                <w:rFonts w:ascii="Arial" w:eastAsia="Calibri" w:hAnsi="Arial" w:cs="Arial"/>
                <w:sz w:val="20"/>
                <w:szCs w:val="20"/>
              </w:rPr>
              <w:t xml:space="preserve"> </w:t>
            </w:r>
            <w:r w:rsidRPr="00032DFC">
              <w:rPr>
                <w:rFonts w:ascii="Arial" w:eastAsia="Calibri" w:hAnsi="Arial" w:cs="Arial"/>
                <w:sz w:val="20"/>
                <w:szCs w:val="20"/>
              </w:rPr>
              <w:t>Celotna državna davčna obveznost je seštevek davkov, odmerjenih od pet različnih davčnih osnov. Stopnje za te skupine dohodka so različne. Stopnja od osebnega dohodka plus neto dohodka (a ne izgub) iz kapitala, ki ne presega 46.600</w:t>
            </w:r>
            <w:r w:rsidR="002067C8">
              <w:rPr>
                <w:rFonts w:ascii="Arial" w:eastAsia="Calibri" w:hAnsi="Arial" w:cs="Arial"/>
                <w:sz w:val="20"/>
                <w:szCs w:val="20"/>
              </w:rPr>
              <w:t> </w:t>
            </w:r>
            <w:r w:rsidRPr="00032DFC">
              <w:rPr>
                <w:rFonts w:ascii="Arial" w:eastAsia="Calibri" w:hAnsi="Arial" w:cs="Arial"/>
                <w:sz w:val="20"/>
                <w:szCs w:val="20"/>
              </w:rPr>
              <w:t>DKK</w:t>
            </w:r>
            <w:r w:rsidR="008A122A">
              <w:rPr>
                <w:rFonts w:ascii="Arial" w:eastAsia="Calibri" w:hAnsi="Arial" w:cs="Arial"/>
                <w:sz w:val="20"/>
                <w:szCs w:val="20"/>
              </w:rPr>
              <w:t>,</w:t>
            </w:r>
            <w:r w:rsidRPr="00032DFC">
              <w:rPr>
                <w:rFonts w:ascii="Arial" w:eastAsia="Calibri" w:hAnsi="Arial" w:cs="Arial"/>
                <w:sz w:val="20"/>
                <w:szCs w:val="20"/>
              </w:rPr>
              <w:t xml:space="preserve"> je 12,09</w:t>
            </w:r>
            <w:r w:rsidR="002067C8">
              <w:rPr>
                <w:rFonts w:ascii="Arial" w:eastAsia="Calibri" w:hAnsi="Arial" w:cs="Arial"/>
                <w:sz w:val="20"/>
                <w:szCs w:val="20"/>
              </w:rPr>
              <w:t> </w:t>
            </w:r>
            <w:r w:rsidRPr="00032DFC">
              <w:rPr>
                <w:rFonts w:ascii="Arial" w:eastAsia="Calibri" w:hAnsi="Arial" w:cs="Arial"/>
                <w:sz w:val="20"/>
                <w:szCs w:val="20"/>
              </w:rPr>
              <w:t>% za leto 2022, stopnja od osebnega dohodka, ki presega 552.500</w:t>
            </w:r>
            <w:r w:rsidR="002067C8">
              <w:rPr>
                <w:rFonts w:ascii="Arial" w:eastAsia="Calibri" w:hAnsi="Arial" w:cs="Arial"/>
                <w:sz w:val="20"/>
                <w:szCs w:val="20"/>
              </w:rPr>
              <w:t> </w:t>
            </w:r>
            <w:r w:rsidRPr="00032DFC">
              <w:rPr>
                <w:rFonts w:ascii="Arial" w:eastAsia="Calibri" w:hAnsi="Arial" w:cs="Arial"/>
                <w:sz w:val="20"/>
                <w:szCs w:val="20"/>
              </w:rPr>
              <w:t>DKK</w:t>
            </w:r>
            <w:r w:rsidR="008A122A">
              <w:rPr>
                <w:rFonts w:ascii="Arial" w:eastAsia="Calibri" w:hAnsi="Arial" w:cs="Arial"/>
                <w:sz w:val="20"/>
                <w:szCs w:val="20"/>
              </w:rPr>
              <w:t>,</w:t>
            </w:r>
            <w:r w:rsidRPr="00032DFC">
              <w:rPr>
                <w:rFonts w:ascii="Arial" w:eastAsia="Calibri" w:hAnsi="Arial" w:cs="Arial"/>
                <w:sz w:val="20"/>
                <w:szCs w:val="20"/>
              </w:rPr>
              <w:t xml:space="preserve"> in dohodka iz kapitala, ki presega 46.600</w:t>
            </w:r>
            <w:r w:rsidR="002067C8">
              <w:rPr>
                <w:rFonts w:ascii="Arial" w:eastAsia="Calibri" w:hAnsi="Arial" w:cs="Arial"/>
                <w:sz w:val="20"/>
                <w:szCs w:val="20"/>
              </w:rPr>
              <w:t> </w:t>
            </w:r>
            <w:r w:rsidRPr="00032DFC">
              <w:rPr>
                <w:rFonts w:ascii="Arial" w:eastAsia="Calibri" w:hAnsi="Arial" w:cs="Arial"/>
                <w:sz w:val="20"/>
                <w:szCs w:val="20"/>
              </w:rPr>
              <w:t>DKK (kapitalske izgube se ne priznajo)</w:t>
            </w:r>
            <w:r w:rsidR="008A122A">
              <w:rPr>
                <w:rFonts w:ascii="Arial" w:eastAsia="Calibri" w:hAnsi="Arial" w:cs="Arial"/>
                <w:sz w:val="20"/>
                <w:szCs w:val="20"/>
              </w:rPr>
              <w:t>,</w:t>
            </w:r>
            <w:r w:rsidRPr="00032DFC">
              <w:rPr>
                <w:rFonts w:ascii="Arial" w:eastAsia="Calibri" w:hAnsi="Arial" w:cs="Arial"/>
                <w:sz w:val="20"/>
                <w:szCs w:val="20"/>
              </w:rPr>
              <w:t xml:space="preserve"> pa je 15</w:t>
            </w:r>
            <w:r w:rsidR="002067C8">
              <w:rPr>
                <w:rFonts w:ascii="Arial" w:eastAsia="Calibri" w:hAnsi="Arial" w:cs="Arial"/>
                <w:sz w:val="20"/>
                <w:szCs w:val="20"/>
              </w:rPr>
              <w:t> </w:t>
            </w:r>
            <w:r w:rsidRPr="00032DFC">
              <w:rPr>
                <w:rFonts w:ascii="Arial" w:eastAsia="Calibri" w:hAnsi="Arial" w:cs="Arial"/>
                <w:sz w:val="20"/>
                <w:szCs w:val="20"/>
              </w:rPr>
              <w:t>% za leto 2022.</w:t>
            </w:r>
          </w:p>
          <w:p w14:paraId="34D2DFEC"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18E539AD" w14:textId="0BA746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5.</w:t>
            </w:r>
            <w:r w:rsidR="00F7435C">
              <w:rPr>
                <w:rFonts w:ascii="Arial" w:eastAsia="Calibri" w:hAnsi="Arial" w:cs="Arial"/>
                <w:sz w:val="20"/>
                <w:szCs w:val="20"/>
              </w:rPr>
              <w:t>3</w:t>
            </w:r>
            <w:r>
              <w:rPr>
                <w:rFonts w:ascii="Arial" w:eastAsia="Calibri" w:hAnsi="Arial" w:cs="Arial"/>
                <w:sz w:val="20"/>
                <w:szCs w:val="20"/>
              </w:rPr>
              <w:t xml:space="preserve">.5 </w:t>
            </w:r>
            <w:r w:rsidRPr="00032DFC">
              <w:rPr>
                <w:rFonts w:ascii="Arial" w:eastAsia="Calibri" w:hAnsi="Arial" w:cs="Arial"/>
                <w:sz w:val="20"/>
                <w:szCs w:val="20"/>
              </w:rPr>
              <w:t>Irska</w:t>
            </w:r>
          </w:p>
          <w:p w14:paraId="57B17A62" w14:textId="77777777" w:rsidR="008A122A" w:rsidRPr="008A122A" w:rsidRDefault="008A122A" w:rsidP="008A122A">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2CE26CA1" w14:textId="75854764" w:rsidR="00032DFC" w:rsidRPr="00032DFC" w:rsidRDefault="008A122A" w:rsidP="008A122A">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V zvezi z nepremičninami</w:t>
            </w:r>
            <w:r w:rsidRPr="008A122A">
              <w:rPr>
                <w:rFonts w:ascii="Arial" w:eastAsia="Calibri" w:hAnsi="Arial" w:cs="Arial"/>
                <w:sz w:val="20"/>
                <w:szCs w:val="20"/>
              </w:rPr>
              <w:t xml:space="preserve">, v katerih bivajo lastniki, domnevni dohodek </w:t>
            </w:r>
            <w:r w:rsidR="00032DFC" w:rsidRPr="00032DFC">
              <w:rPr>
                <w:rFonts w:ascii="Arial" w:eastAsia="Calibri" w:hAnsi="Arial" w:cs="Arial"/>
                <w:sz w:val="20"/>
                <w:szCs w:val="20"/>
              </w:rPr>
              <w:t>ni predmet obdavčitve.</w:t>
            </w:r>
          </w:p>
          <w:p w14:paraId="654ABE1E" w14:textId="77777777"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056E1A9C" w14:textId="5E283BC4"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5.</w:t>
            </w:r>
            <w:r w:rsidR="00F7435C">
              <w:rPr>
                <w:rFonts w:ascii="Arial" w:eastAsia="Calibri" w:hAnsi="Arial" w:cs="Arial"/>
                <w:sz w:val="20"/>
                <w:szCs w:val="20"/>
              </w:rPr>
              <w:t>3</w:t>
            </w:r>
            <w:r>
              <w:rPr>
                <w:rFonts w:ascii="Arial" w:eastAsia="Calibri" w:hAnsi="Arial" w:cs="Arial"/>
                <w:sz w:val="20"/>
                <w:szCs w:val="20"/>
              </w:rPr>
              <w:t xml:space="preserve">.5.1 </w:t>
            </w:r>
            <w:r w:rsidRPr="00032DFC">
              <w:rPr>
                <w:rFonts w:ascii="Arial" w:eastAsia="Calibri" w:hAnsi="Arial" w:cs="Arial"/>
                <w:sz w:val="20"/>
                <w:szCs w:val="20"/>
              </w:rPr>
              <w:t>Stanovanjski najem</w:t>
            </w:r>
          </w:p>
          <w:p w14:paraId="6BFF7609" w14:textId="1510C9EE"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Na splošno je dohodek od oddajanja premoženja na Irskem v celoti obdavčen. Dohodek nastane, ko je zakonsko zapadel in ne, ko je plačan. Premije, prejete ob sklenitvi najema</w:t>
            </w:r>
            <w:r w:rsidR="00971B75">
              <w:rPr>
                <w:rFonts w:ascii="Arial" w:eastAsia="Calibri" w:hAnsi="Arial" w:cs="Arial"/>
                <w:sz w:val="20"/>
                <w:szCs w:val="20"/>
              </w:rPr>
              <w:t>,</w:t>
            </w:r>
            <w:r w:rsidRPr="00032DFC">
              <w:rPr>
                <w:rFonts w:ascii="Arial" w:eastAsia="Calibri" w:hAnsi="Arial" w:cs="Arial"/>
                <w:sz w:val="20"/>
                <w:szCs w:val="20"/>
              </w:rPr>
              <w:t xml:space="preserve"> krajš</w:t>
            </w:r>
            <w:r w:rsidR="002067C8">
              <w:rPr>
                <w:rFonts w:ascii="Arial" w:eastAsia="Calibri" w:hAnsi="Arial" w:cs="Arial"/>
                <w:sz w:val="20"/>
                <w:szCs w:val="20"/>
              </w:rPr>
              <w:t>ega</w:t>
            </w:r>
            <w:r w:rsidRPr="00032DFC">
              <w:rPr>
                <w:rFonts w:ascii="Arial" w:eastAsia="Calibri" w:hAnsi="Arial" w:cs="Arial"/>
                <w:sz w:val="20"/>
                <w:szCs w:val="20"/>
              </w:rPr>
              <w:t xml:space="preserve"> od 50 let, se prav tako lahko obravnavajo kot delno sestavljene iz dohodka (ostanek se obravnava v skladu z zakonikom o davku na kapitalski dobiček); pavšalni zneski, ki so ekonomsko enakovredni premijam, se obravnavajo podobno. Plačila najemniku, da bi ga spodbudili k sklenitvi najema, so na splošno obdavčena kot dohodek (oddelek 98A TCA 1997), tako kot pavšalni zneski, prejeti za prodajo pravice do prejemanja prihodnjih najemnin.</w:t>
            </w:r>
          </w:p>
          <w:p w14:paraId="269DD5DB" w14:textId="77777777" w:rsidR="008A122A" w:rsidRDefault="008A122A"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42602D48" w14:textId="084BD1A4"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 xml:space="preserve">S shemo </w:t>
            </w:r>
            <w:r w:rsidR="002067C8">
              <w:rPr>
                <w:rFonts w:ascii="Arial" w:eastAsia="Calibri" w:hAnsi="Arial" w:cs="Arial"/>
                <w:sz w:val="20"/>
                <w:szCs w:val="20"/>
              </w:rPr>
              <w:t>»</w:t>
            </w:r>
            <w:r w:rsidRPr="00032DFC">
              <w:rPr>
                <w:rFonts w:ascii="Arial" w:eastAsia="Calibri" w:hAnsi="Arial" w:cs="Arial"/>
                <w:sz w:val="20"/>
                <w:szCs w:val="20"/>
              </w:rPr>
              <w:t>najema sob</w:t>
            </w:r>
            <w:r w:rsidR="002067C8">
              <w:rPr>
                <w:rFonts w:ascii="Arial" w:eastAsia="Calibri" w:hAnsi="Arial" w:cs="Arial"/>
                <w:sz w:val="20"/>
                <w:szCs w:val="20"/>
              </w:rPr>
              <w:t>«</w:t>
            </w:r>
            <w:r w:rsidRPr="00032DFC">
              <w:rPr>
                <w:rFonts w:ascii="Arial" w:eastAsia="Calibri" w:hAnsi="Arial" w:cs="Arial"/>
                <w:sz w:val="20"/>
                <w:szCs w:val="20"/>
              </w:rPr>
              <w:t xml:space="preserve"> se spodbuja lastnike stanovanj, da zagotovijo dodatno stanovanjsko nastanitev nepovezanim osebam. Shema deluje tako, da je iz obdavčitve izvzetih prvih 14.000</w:t>
            </w:r>
            <w:r w:rsidR="002067C8">
              <w:rPr>
                <w:rFonts w:ascii="Arial" w:eastAsia="Calibri" w:hAnsi="Arial" w:cs="Arial"/>
                <w:sz w:val="20"/>
                <w:szCs w:val="20"/>
              </w:rPr>
              <w:t> </w:t>
            </w:r>
            <w:r w:rsidRPr="00032DFC">
              <w:rPr>
                <w:rFonts w:ascii="Arial" w:eastAsia="Calibri" w:hAnsi="Arial" w:cs="Arial"/>
                <w:sz w:val="20"/>
                <w:szCs w:val="20"/>
              </w:rPr>
              <w:t>EUR dohodka iz oddajanja v najem, vključno z dohodkom od pomožnih storitev</w:t>
            </w:r>
            <w:r w:rsidR="002067C8">
              <w:rPr>
                <w:rFonts w:ascii="Arial" w:eastAsia="Calibri" w:hAnsi="Arial" w:cs="Arial"/>
                <w:sz w:val="20"/>
                <w:szCs w:val="20"/>
              </w:rPr>
              <w:t>,</w:t>
            </w:r>
            <w:r w:rsidRPr="00032DFC">
              <w:rPr>
                <w:rFonts w:ascii="Arial" w:eastAsia="Calibri" w:hAnsi="Arial" w:cs="Arial"/>
                <w:sz w:val="20"/>
                <w:szCs w:val="20"/>
              </w:rPr>
              <w:t xml:space="preserve"> in iz oddajanja v najem dela glavnega zasebnega prebivališča osebe. Z učinkom od 1. januarja 2019 velja minimalno obdobje najema 28 dni, tako da je iz sheme izključeno kratkoročno oddajanje. Sodelovanje v shemi ne vpliva na zahtevek lastnika stanovanja za olajšavo za hipotekarne obresti, olajšavo za glavno zasebno stanovanje pri davku od kapitalskih dobičkov ali upravičenost do olajšav pri t.</w:t>
            </w:r>
            <w:r w:rsidR="002067C8">
              <w:rPr>
                <w:rFonts w:ascii="Arial" w:eastAsia="Calibri" w:hAnsi="Arial" w:cs="Arial"/>
                <w:sz w:val="20"/>
                <w:szCs w:val="20"/>
              </w:rPr>
              <w:t> </w:t>
            </w:r>
            <w:r w:rsidRPr="00032DFC">
              <w:rPr>
                <w:rFonts w:ascii="Arial" w:eastAsia="Calibri" w:hAnsi="Arial" w:cs="Arial"/>
                <w:sz w:val="20"/>
                <w:szCs w:val="20"/>
              </w:rPr>
              <w:t xml:space="preserve">i. </w:t>
            </w:r>
            <w:proofErr w:type="spellStart"/>
            <w:r w:rsidRPr="00EB7F56">
              <w:rPr>
                <w:rFonts w:ascii="Arial" w:eastAsia="Calibri" w:hAnsi="Arial" w:cs="Arial"/>
                <w:i/>
                <w:sz w:val="20"/>
                <w:szCs w:val="20"/>
              </w:rPr>
              <w:t>stamp</w:t>
            </w:r>
            <w:proofErr w:type="spellEnd"/>
            <w:r w:rsidRPr="00EB7F56">
              <w:rPr>
                <w:rFonts w:ascii="Arial" w:eastAsia="Calibri" w:hAnsi="Arial" w:cs="Arial"/>
                <w:i/>
                <w:sz w:val="20"/>
                <w:szCs w:val="20"/>
              </w:rPr>
              <w:t xml:space="preserve"> </w:t>
            </w:r>
            <w:proofErr w:type="spellStart"/>
            <w:r w:rsidRPr="00EB7F56">
              <w:rPr>
                <w:rFonts w:ascii="Arial" w:eastAsia="Calibri" w:hAnsi="Arial" w:cs="Arial"/>
                <w:i/>
                <w:sz w:val="20"/>
                <w:szCs w:val="20"/>
              </w:rPr>
              <w:t>duty</w:t>
            </w:r>
            <w:proofErr w:type="spellEnd"/>
            <w:r w:rsidRPr="00032DFC">
              <w:rPr>
                <w:rFonts w:ascii="Arial" w:eastAsia="Calibri" w:hAnsi="Arial" w:cs="Arial"/>
                <w:sz w:val="20"/>
                <w:szCs w:val="20"/>
              </w:rPr>
              <w:t>. Olajšava ne velja, če je soba oddana delodajalcu posameznika.</w:t>
            </w:r>
          </w:p>
          <w:p w14:paraId="7EB6004A"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27360E9F" w14:textId="48193762"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Dovoljeni stroški vključujejo najemnine in stroške vzdrževanja, popravil, zavarovanja in upravljanja prostorov, za katere na splošno veljajo načela, ki veljajo za izračunavanje dohodka iz poslovanja. Obresti na posojila, ki se uporabijo za nakup, popravilo ali izboljšavo stanovanjske nepremičnine, se na splošno odštejejo pri izračunu dohodka iz oddajanja v najem od 1. januarja 2019, dokler lastnik izpolnjuje zahteve za registracijo Odbora za zasebne stanovanjske najeme (prej je bila raven odbitka za obresti omejena). Obresti na posojila za nakup nepremičnine od zakonca ali civilnega partnerja se na splošno ne priznajo. Kakršen</w:t>
            </w:r>
            <w:r w:rsidR="002067C8">
              <w:rPr>
                <w:rFonts w:ascii="Arial" w:eastAsia="Calibri" w:hAnsi="Arial" w:cs="Arial"/>
                <w:sz w:val="20"/>
                <w:szCs w:val="20"/>
              </w:rPr>
              <w:t> </w:t>
            </w:r>
            <w:r w:rsidRPr="00032DFC">
              <w:rPr>
                <w:rFonts w:ascii="Arial" w:eastAsia="Calibri" w:hAnsi="Arial" w:cs="Arial"/>
                <w:sz w:val="20"/>
                <w:szCs w:val="20"/>
              </w:rPr>
              <w:t xml:space="preserve">koli delež izdatkov v zvezi z uporabo lastnika ni </w:t>
            </w:r>
            <w:r w:rsidR="00971B75">
              <w:rPr>
                <w:rFonts w:ascii="Arial" w:eastAsia="Calibri" w:hAnsi="Arial" w:cs="Arial"/>
                <w:sz w:val="20"/>
                <w:szCs w:val="20"/>
              </w:rPr>
              <w:t>davčno priznan strošek</w:t>
            </w:r>
            <w:r w:rsidRPr="00032DFC">
              <w:rPr>
                <w:rFonts w:ascii="Arial" w:eastAsia="Calibri" w:hAnsi="Arial" w:cs="Arial"/>
                <w:sz w:val="20"/>
                <w:szCs w:val="20"/>
              </w:rPr>
              <w:t xml:space="preserve">. Stroški pred oddajo v najem niso </w:t>
            </w:r>
            <w:r w:rsidR="00971B75">
              <w:rPr>
                <w:rFonts w:ascii="Arial" w:eastAsia="Calibri" w:hAnsi="Arial" w:cs="Arial"/>
                <w:sz w:val="20"/>
                <w:szCs w:val="20"/>
              </w:rPr>
              <w:t>davčno priznani stroški</w:t>
            </w:r>
            <w:r w:rsidRPr="00032DFC">
              <w:rPr>
                <w:rFonts w:ascii="Arial" w:eastAsia="Calibri" w:hAnsi="Arial" w:cs="Arial"/>
                <w:sz w:val="20"/>
                <w:szCs w:val="20"/>
              </w:rPr>
              <w:t>, niti se najemnina ne plača za obdobje pred prvo vselitvijo najemnika v stavbo za namene obrti ali podjetja ali za bivanje, celo, če se je najem začel pred tem datumom. Kadar najemodajalec ne prejme najemnine, ki mu pripada, ker je postala neizterljiva ali se ji je odpovedal zaradi stiske, lahko zahteva odbitek za izgubljeno najemnino. Medtem ko se stroški, nastali pred oddajo, na splošno ne priznajo, se za določene stroške, nastale pred oddajo v najem prej praznih stanovanjskih prostorov, priznava časovno omejen odbitek. Za stroške stanovanjskih prostorov, ki so prazni najmanj 12</w:t>
            </w:r>
            <w:r w:rsidR="002067C8">
              <w:rPr>
                <w:rFonts w:ascii="Arial" w:eastAsia="Calibri" w:hAnsi="Arial" w:cs="Arial"/>
                <w:sz w:val="20"/>
                <w:szCs w:val="20"/>
              </w:rPr>
              <w:t> </w:t>
            </w:r>
            <w:r w:rsidRPr="00032DFC">
              <w:rPr>
                <w:rFonts w:ascii="Arial" w:eastAsia="Calibri" w:hAnsi="Arial" w:cs="Arial"/>
                <w:sz w:val="20"/>
                <w:szCs w:val="20"/>
              </w:rPr>
              <w:t>mesecev in se oddajajo najemnikom v času od dneva sprejetja zakona (tj.</w:t>
            </w:r>
            <w:r w:rsidR="002067C8">
              <w:rPr>
                <w:rFonts w:ascii="Arial" w:eastAsia="Calibri" w:hAnsi="Arial" w:cs="Arial"/>
                <w:sz w:val="20"/>
                <w:szCs w:val="20"/>
              </w:rPr>
              <w:t> </w:t>
            </w:r>
            <w:r w:rsidRPr="00032DFC">
              <w:rPr>
                <w:rFonts w:ascii="Arial" w:eastAsia="Calibri" w:hAnsi="Arial" w:cs="Arial"/>
                <w:sz w:val="20"/>
                <w:szCs w:val="20"/>
              </w:rPr>
              <w:t>25. december 2017) do 31.</w:t>
            </w:r>
            <w:r w:rsidR="002067C8">
              <w:rPr>
                <w:rFonts w:ascii="Arial" w:eastAsia="Calibri" w:hAnsi="Arial" w:cs="Arial"/>
                <w:sz w:val="20"/>
                <w:szCs w:val="20"/>
              </w:rPr>
              <w:t> </w:t>
            </w:r>
            <w:r w:rsidRPr="00032DFC">
              <w:rPr>
                <w:rFonts w:ascii="Arial" w:eastAsia="Calibri" w:hAnsi="Arial" w:cs="Arial"/>
                <w:sz w:val="20"/>
                <w:szCs w:val="20"/>
              </w:rPr>
              <w:t>decembra 2024, velja davčna olajšava (do največ 5.000</w:t>
            </w:r>
            <w:r w:rsidR="002067C8">
              <w:rPr>
                <w:rFonts w:ascii="Arial" w:eastAsia="Calibri" w:hAnsi="Arial" w:cs="Arial"/>
                <w:sz w:val="20"/>
                <w:szCs w:val="20"/>
              </w:rPr>
              <w:t> </w:t>
            </w:r>
            <w:r w:rsidRPr="00032DFC">
              <w:rPr>
                <w:rFonts w:ascii="Arial" w:eastAsia="Calibri" w:hAnsi="Arial" w:cs="Arial"/>
                <w:sz w:val="20"/>
                <w:szCs w:val="20"/>
              </w:rPr>
              <w:t xml:space="preserve">EUR na prazen prostor). Izdatek je odbitni, </w:t>
            </w:r>
            <w:r w:rsidRPr="00032DFC">
              <w:rPr>
                <w:rFonts w:ascii="Arial" w:eastAsia="Calibri" w:hAnsi="Arial" w:cs="Arial"/>
                <w:sz w:val="20"/>
                <w:szCs w:val="20"/>
              </w:rPr>
              <w:lastRenderedPageBreak/>
              <w:t>če je nastal v 12-mesečnem obdobju pred oddajo stanovanjske nepremičnine v najem in bi bil izdatek upravičen do odbitka, če bi nastal v obdobju oddajanja v najem. Ukrepi vključujejo tudi določbo o vračilu terjatev, v skladu s katero bo vsak zahtevani odbitek povrnjen, če v 4 letih po prvi oddaji nepremičnina ni več stanovanjski prostor. Stroški nakupa, gradnje ali predelave stanovanjske nepremičnine se praviloma ne priznajo.</w:t>
            </w:r>
          </w:p>
          <w:p w14:paraId="5F23261F" w14:textId="77777777"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5FDBA76D" w14:textId="67CC13F4"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5.</w:t>
            </w:r>
            <w:r w:rsidR="00F7435C">
              <w:rPr>
                <w:rFonts w:ascii="Arial" w:eastAsia="Calibri" w:hAnsi="Arial" w:cs="Arial"/>
                <w:sz w:val="20"/>
                <w:szCs w:val="20"/>
              </w:rPr>
              <w:t>3</w:t>
            </w:r>
            <w:r>
              <w:rPr>
                <w:rFonts w:ascii="Arial" w:eastAsia="Calibri" w:hAnsi="Arial" w:cs="Arial"/>
                <w:sz w:val="20"/>
                <w:szCs w:val="20"/>
              </w:rPr>
              <w:t xml:space="preserve">.5.2 </w:t>
            </w:r>
            <w:r w:rsidRPr="00032DFC">
              <w:rPr>
                <w:rFonts w:ascii="Arial" w:eastAsia="Calibri" w:hAnsi="Arial" w:cs="Arial"/>
                <w:sz w:val="20"/>
                <w:szCs w:val="20"/>
              </w:rPr>
              <w:t>Komercialni najem</w:t>
            </w:r>
          </w:p>
          <w:p w14:paraId="08B2ED3F" w14:textId="28F2264B"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Posamezniki, ki oddajajo industrijske zgradbe, lahko zahtevajo kapitalske olajšave, podobne tistim, ki so na voljo trgovcem, vendar ne pospešene amortizacije. Kakršen</w:t>
            </w:r>
            <w:r w:rsidR="002067C8">
              <w:rPr>
                <w:rFonts w:ascii="Arial" w:eastAsia="Calibri" w:hAnsi="Arial" w:cs="Arial"/>
                <w:sz w:val="20"/>
                <w:szCs w:val="20"/>
              </w:rPr>
              <w:t> </w:t>
            </w:r>
            <w:r w:rsidRPr="00032DFC">
              <w:rPr>
                <w:rFonts w:ascii="Arial" w:eastAsia="Calibri" w:hAnsi="Arial" w:cs="Arial"/>
                <w:sz w:val="20"/>
                <w:szCs w:val="20"/>
              </w:rPr>
              <w:t>koli presežek kapitalskih olajšav nad dohodkom iz oddajanja v najem se lahko na splošno pobota s skupnim dohodkom do omejitve 31.750</w:t>
            </w:r>
            <w:r w:rsidR="002067C8">
              <w:rPr>
                <w:rFonts w:ascii="Arial" w:eastAsia="Calibri" w:hAnsi="Arial" w:cs="Arial"/>
                <w:sz w:val="20"/>
                <w:szCs w:val="20"/>
              </w:rPr>
              <w:t> </w:t>
            </w:r>
            <w:r w:rsidRPr="00032DFC">
              <w:rPr>
                <w:rFonts w:ascii="Arial" w:eastAsia="Calibri" w:hAnsi="Arial" w:cs="Arial"/>
                <w:sz w:val="20"/>
                <w:szCs w:val="20"/>
              </w:rPr>
              <w:t>EUR letno, razen če se nanašajo na počitniške hiše ali (v večini primerov) hotele. Olajšave za stavbo, kupljeno od družbe, se lahko na splošno izravnajo le z dohodkom iz oddajanja v najem te stavbe. Za te olajšave lahko veljajo omejitve olajšav za posameznike z visokimi dohodki.</w:t>
            </w:r>
          </w:p>
          <w:p w14:paraId="5F25A49C"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53444BE6" w14:textId="6CB3DC29"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 xml:space="preserve">Dobički in izgube pri oddajanju v najem se </w:t>
            </w:r>
            <w:r w:rsidR="002067C8">
              <w:rPr>
                <w:rFonts w:ascii="Arial" w:eastAsia="Calibri" w:hAnsi="Arial" w:cs="Arial"/>
                <w:sz w:val="20"/>
                <w:szCs w:val="20"/>
              </w:rPr>
              <w:t>navadno</w:t>
            </w:r>
            <w:r w:rsidRPr="00032DFC">
              <w:rPr>
                <w:rFonts w:ascii="Arial" w:eastAsia="Calibri" w:hAnsi="Arial" w:cs="Arial"/>
                <w:sz w:val="20"/>
                <w:szCs w:val="20"/>
              </w:rPr>
              <w:t xml:space="preserve"> seštevajo v vsakem davčnem letu. Čisto izgubo ali neporabljene kapitalske olajšave je mogoče prenesti v prihodnja leta za izravnavo z dohodkov iz oddajanja v najem; kapitalske olajšave tekočega leta je treba uporabiti prednostno pred izgubami, prenesenimi iz prejšnjih let.</w:t>
            </w:r>
          </w:p>
          <w:p w14:paraId="32566B76"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7E20915D" w14:textId="4B12100C"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V skladu s temi določbami se lahko povečane olajšave v zvezi s poslovno stavbo, ki je bila dana v najem, pobotajo le z najemnino, prejeto v zvezi z isto stavbo, v nasprotju s celotnim dohodkom posameznika. Če bi zahtevana doba za pospešeno olajšavo presegla 10 let, bi se to obdobje skrajšalo na 7 let. Če se obdobje še ne bi končalo, bi se morebitne neizkoriščene izgube zmanjšale za 20</w:t>
            </w:r>
            <w:r w:rsidR="002067C8">
              <w:rPr>
                <w:rFonts w:ascii="Arial" w:eastAsia="Calibri" w:hAnsi="Arial" w:cs="Arial"/>
                <w:sz w:val="20"/>
                <w:szCs w:val="20"/>
              </w:rPr>
              <w:t> </w:t>
            </w:r>
            <w:r w:rsidRPr="00032DFC">
              <w:rPr>
                <w:rFonts w:ascii="Arial" w:eastAsia="Calibri" w:hAnsi="Arial" w:cs="Arial"/>
                <w:sz w:val="20"/>
                <w:szCs w:val="20"/>
              </w:rPr>
              <w:t>% in bi se lahko izkoristile le v preostalem 7-letnem obdobju. Poleg tega bi veljala splošna zgornja meja, v skladu s katero nobenih povečanih olajšav znotraj zgornjih kategorij ni dovoljeno prenašati po letu 2014.</w:t>
            </w:r>
          </w:p>
          <w:p w14:paraId="243748B7" w14:textId="77777777" w:rsidR="00032DFC" w:rsidRP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1F73D56E" w14:textId="0EFE7FA5" w:rsidR="00032DFC" w:rsidRDefault="00032DFC" w:rsidP="00032DF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032DFC">
              <w:rPr>
                <w:rFonts w:ascii="Arial" w:eastAsia="Calibri" w:hAnsi="Arial" w:cs="Arial"/>
                <w:sz w:val="20"/>
                <w:szCs w:val="20"/>
              </w:rPr>
              <w:t>Davčne stopnje so progresivne (20 in 40</w:t>
            </w:r>
            <w:r w:rsidR="002067C8">
              <w:rPr>
                <w:rFonts w:ascii="Arial" w:eastAsia="Calibri" w:hAnsi="Arial" w:cs="Arial"/>
                <w:sz w:val="20"/>
                <w:szCs w:val="20"/>
              </w:rPr>
              <w:t> </w:t>
            </w:r>
            <w:r w:rsidRPr="00032DFC">
              <w:rPr>
                <w:rFonts w:ascii="Arial" w:eastAsia="Calibri" w:hAnsi="Arial" w:cs="Arial"/>
                <w:sz w:val="20"/>
                <w:szCs w:val="20"/>
              </w:rPr>
              <w:t>%).</w:t>
            </w:r>
          </w:p>
          <w:p w14:paraId="5F8AAA50" w14:textId="77777777" w:rsidR="00032DFC" w:rsidRDefault="00032DFC"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16B083F4" w14:textId="2BF9005A" w:rsidR="00AA700E" w:rsidRPr="005259F1" w:rsidRDefault="00032DFC"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Times New Roman"/>
                <w:sz w:val="20"/>
              </w:rPr>
            </w:pPr>
            <w:r>
              <w:rPr>
                <w:rFonts w:ascii="Arial" w:eastAsia="Calibri" w:hAnsi="Arial" w:cs="Arial"/>
                <w:sz w:val="20"/>
                <w:szCs w:val="20"/>
              </w:rPr>
              <w:t>5.</w:t>
            </w:r>
            <w:r w:rsidR="00F7435C">
              <w:rPr>
                <w:rFonts w:ascii="Arial" w:eastAsia="Calibri" w:hAnsi="Arial" w:cs="Arial"/>
                <w:sz w:val="20"/>
                <w:szCs w:val="20"/>
              </w:rPr>
              <w:t>4</w:t>
            </w:r>
            <w:r>
              <w:rPr>
                <w:rFonts w:ascii="Arial" w:eastAsia="Calibri" w:hAnsi="Arial" w:cs="Arial"/>
                <w:sz w:val="20"/>
                <w:szCs w:val="20"/>
              </w:rPr>
              <w:t xml:space="preserve">. </w:t>
            </w:r>
            <w:r w:rsidR="00AA700E" w:rsidRPr="004F63D6">
              <w:rPr>
                <w:rFonts w:ascii="Arial" w:eastAsia="Calibri" w:hAnsi="Arial" w:cs="Arial"/>
                <w:sz w:val="20"/>
                <w:szCs w:val="20"/>
              </w:rPr>
              <w:t xml:space="preserve">Prikaz ureditve </w:t>
            </w:r>
            <w:r w:rsidR="004F63D6" w:rsidRPr="004F63D6">
              <w:rPr>
                <w:rFonts w:ascii="Arial" w:eastAsia="Calibri" w:hAnsi="Arial" w:cs="Arial"/>
                <w:sz w:val="20"/>
                <w:szCs w:val="20"/>
              </w:rPr>
              <w:t>obdavčevanj</w:t>
            </w:r>
            <w:r w:rsidR="004F63D6">
              <w:rPr>
                <w:rFonts w:ascii="Arial" w:eastAsia="Calibri" w:hAnsi="Arial" w:cs="Arial"/>
                <w:sz w:val="20"/>
                <w:szCs w:val="20"/>
              </w:rPr>
              <w:t>a</w:t>
            </w:r>
            <w:r w:rsidR="004F63D6" w:rsidRPr="004F63D6">
              <w:rPr>
                <w:rFonts w:ascii="Arial" w:eastAsia="Calibri" w:hAnsi="Arial" w:cs="Arial"/>
                <w:sz w:val="20"/>
                <w:szCs w:val="20"/>
              </w:rPr>
              <w:t xml:space="preserve"> izplačanih vrednosti delnic ali deležev v primeru odsvojitve delnic ali deležev v okviru pridobivanja lastnih delnic oziroma deležev družbe </w:t>
            </w:r>
          </w:p>
          <w:p w14:paraId="71E9B214" w14:textId="24499FF4" w:rsidR="00AA700E" w:rsidRPr="00167E65" w:rsidRDefault="00AA700E"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4BF6FD09" w14:textId="35B2F191" w:rsidR="00951734" w:rsidRPr="00C506BF" w:rsidRDefault="00951734">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C506BF">
              <w:rPr>
                <w:rFonts w:ascii="Arial" w:eastAsia="Calibri" w:hAnsi="Arial" w:cs="Arial"/>
                <w:sz w:val="20"/>
                <w:szCs w:val="20"/>
              </w:rPr>
              <w:t>5.</w:t>
            </w:r>
            <w:r w:rsidR="00F7435C">
              <w:rPr>
                <w:rFonts w:ascii="Arial" w:eastAsia="Calibri" w:hAnsi="Arial" w:cs="Arial"/>
                <w:sz w:val="20"/>
                <w:szCs w:val="20"/>
              </w:rPr>
              <w:t>4</w:t>
            </w:r>
            <w:r w:rsidRPr="00C506BF">
              <w:rPr>
                <w:rFonts w:ascii="Arial" w:eastAsia="Calibri" w:hAnsi="Arial" w:cs="Arial"/>
                <w:sz w:val="20"/>
                <w:szCs w:val="20"/>
              </w:rPr>
              <w:t>.1 Danska</w:t>
            </w:r>
          </w:p>
          <w:p w14:paraId="0034598A" w14:textId="5D15DC25" w:rsidR="00951734" w:rsidRPr="00951734" w:rsidRDefault="00951734" w:rsidP="00951734">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951734">
              <w:rPr>
                <w:rFonts w:ascii="Arial" w:eastAsia="Calibri" w:hAnsi="Arial" w:cs="Arial"/>
                <w:sz w:val="20"/>
                <w:szCs w:val="20"/>
              </w:rPr>
              <w:t xml:space="preserve">Kot dividende </w:t>
            </w:r>
            <w:r>
              <w:rPr>
                <w:rFonts w:ascii="Arial" w:eastAsia="Calibri" w:hAnsi="Arial" w:cs="Arial"/>
                <w:sz w:val="20"/>
                <w:szCs w:val="20"/>
              </w:rPr>
              <w:t xml:space="preserve">se obdavčijo tudi izplačila </w:t>
            </w:r>
            <w:r w:rsidRPr="00951734">
              <w:rPr>
                <w:rFonts w:ascii="Arial" w:eastAsia="Calibri" w:hAnsi="Arial" w:cs="Arial"/>
                <w:sz w:val="20"/>
                <w:szCs w:val="20"/>
              </w:rPr>
              <w:t>ob zmanjšanju kapitala družbe, razen če je pridobljeno dovoljenje za obdavčitev kot prenos delnic. Dovoljenje običajno zahteva, da je zmanjšanje kapitala izvedeno iz tehtnih poslovnih razlogov, n</w:t>
            </w:r>
            <w:r w:rsidR="002067C8">
              <w:rPr>
                <w:rFonts w:ascii="Arial" w:eastAsia="Calibri" w:hAnsi="Arial" w:cs="Arial"/>
                <w:sz w:val="20"/>
                <w:szCs w:val="20"/>
              </w:rPr>
              <w:t>a primer</w:t>
            </w:r>
            <w:r w:rsidRPr="00951734">
              <w:rPr>
                <w:rFonts w:ascii="Arial" w:eastAsia="Calibri" w:hAnsi="Arial" w:cs="Arial"/>
                <w:sz w:val="20"/>
                <w:szCs w:val="20"/>
              </w:rPr>
              <w:t xml:space="preserve"> obstoj presežka kapitala zaradi prodaje poslovnega premoženja (CIR 72 z dne 17.</w:t>
            </w:r>
            <w:r w:rsidR="002067C8">
              <w:rPr>
                <w:rFonts w:ascii="Arial" w:eastAsia="Calibri" w:hAnsi="Arial" w:cs="Arial"/>
                <w:sz w:val="20"/>
                <w:szCs w:val="20"/>
              </w:rPr>
              <w:t> </w:t>
            </w:r>
            <w:r w:rsidRPr="00951734">
              <w:rPr>
                <w:rFonts w:ascii="Arial" w:eastAsia="Calibri" w:hAnsi="Arial" w:cs="Arial"/>
                <w:sz w:val="20"/>
                <w:szCs w:val="20"/>
              </w:rPr>
              <w:t>4.</w:t>
            </w:r>
            <w:r w:rsidR="002067C8">
              <w:rPr>
                <w:rFonts w:ascii="Arial" w:eastAsia="Calibri" w:hAnsi="Arial" w:cs="Arial"/>
                <w:sz w:val="20"/>
                <w:szCs w:val="20"/>
              </w:rPr>
              <w:t> </w:t>
            </w:r>
            <w:r w:rsidRPr="00951734">
              <w:rPr>
                <w:rFonts w:ascii="Arial" w:eastAsia="Calibri" w:hAnsi="Arial" w:cs="Arial"/>
                <w:sz w:val="20"/>
                <w:szCs w:val="20"/>
              </w:rPr>
              <w:t>1996).</w:t>
            </w:r>
          </w:p>
          <w:p w14:paraId="735BC3DE" w14:textId="77777777" w:rsidR="00951734" w:rsidRPr="00951734" w:rsidRDefault="00951734" w:rsidP="00951734">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593CDE78" w14:textId="61717D63" w:rsidR="00951734" w:rsidRDefault="00951734">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951734">
              <w:rPr>
                <w:rFonts w:ascii="Arial" w:eastAsia="Calibri" w:hAnsi="Arial" w:cs="Arial"/>
                <w:sz w:val="20"/>
                <w:szCs w:val="20"/>
              </w:rPr>
              <w:t>Prenos delnic na družbo izdajateljico se prav tako obravnava kot dividenda, razen če je pridobljeno dovoljenje za obdavčitev kot prenos delnic (oddelek 16B LL). Prenos delnic zaposlenih (razen znatnih deležev), ki se lahko prenesejo na družbo le kot posledica zahtev za konsolidacijo skupine po zakonu o davku od dohodkov pravnih oseb, se ne obravnava kot dividenda. Na splošno veljajo enaka pravila za delnice, ki kotirajo na borzi.</w:t>
            </w:r>
          </w:p>
          <w:p w14:paraId="2D3FF03F" w14:textId="77777777" w:rsidR="00951734" w:rsidRDefault="00951734">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378A0B8A" w14:textId="2B48AB52" w:rsidR="0099305F" w:rsidRPr="00C506BF" w:rsidRDefault="0099305F"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C506BF">
              <w:rPr>
                <w:rFonts w:ascii="Arial" w:eastAsia="Calibri" w:hAnsi="Arial" w:cs="Arial"/>
                <w:sz w:val="20"/>
                <w:szCs w:val="20"/>
              </w:rPr>
              <w:t>5.</w:t>
            </w:r>
            <w:r w:rsidR="00F7435C">
              <w:rPr>
                <w:rFonts w:ascii="Arial" w:eastAsia="Calibri" w:hAnsi="Arial" w:cs="Arial"/>
                <w:sz w:val="20"/>
                <w:szCs w:val="20"/>
              </w:rPr>
              <w:t>4</w:t>
            </w:r>
            <w:r w:rsidRPr="00C506BF">
              <w:rPr>
                <w:rFonts w:ascii="Arial" w:eastAsia="Calibri" w:hAnsi="Arial" w:cs="Arial"/>
                <w:sz w:val="20"/>
                <w:szCs w:val="20"/>
              </w:rPr>
              <w:t>.</w:t>
            </w:r>
            <w:r w:rsidR="003B53AF" w:rsidRPr="00C506BF">
              <w:rPr>
                <w:rFonts w:ascii="Arial" w:eastAsia="Calibri" w:hAnsi="Arial" w:cs="Arial"/>
                <w:sz w:val="20"/>
                <w:szCs w:val="20"/>
              </w:rPr>
              <w:t>2</w:t>
            </w:r>
            <w:r w:rsidRPr="00C506BF">
              <w:rPr>
                <w:rFonts w:ascii="Arial" w:eastAsia="Calibri" w:hAnsi="Arial" w:cs="Arial"/>
                <w:sz w:val="20"/>
                <w:szCs w:val="20"/>
              </w:rPr>
              <w:t xml:space="preserve"> </w:t>
            </w:r>
            <w:r w:rsidR="00D403DC" w:rsidRPr="00C506BF">
              <w:rPr>
                <w:rFonts w:ascii="Arial" w:eastAsia="Calibri" w:hAnsi="Arial" w:cs="Arial"/>
                <w:sz w:val="20"/>
                <w:szCs w:val="20"/>
              </w:rPr>
              <w:t>Irska</w:t>
            </w:r>
          </w:p>
          <w:p w14:paraId="69A8C972" w14:textId="42FA2148" w:rsidR="00D403DC" w:rsidRPr="00D403DC" w:rsidRDefault="00D403DC" w:rsidP="00D403D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D403DC">
              <w:rPr>
                <w:rFonts w:ascii="Arial" w:eastAsia="Calibri" w:hAnsi="Arial" w:cs="Arial"/>
                <w:sz w:val="20"/>
                <w:szCs w:val="20"/>
              </w:rPr>
              <w:t>Dividende, ki jih posamezniki rezidenti Irske prejmejo od družb rezidentov Irske, so na splošno obdavčljive z davčnim odtegljajem</w:t>
            </w:r>
            <w:r>
              <w:rPr>
                <w:rFonts w:ascii="Arial" w:eastAsia="Calibri" w:hAnsi="Arial" w:cs="Arial"/>
                <w:sz w:val="20"/>
                <w:szCs w:val="20"/>
              </w:rPr>
              <w:t xml:space="preserve">. </w:t>
            </w:r>
            <w:r w:rsidRPr="00D403DC">
              <w:rPr>
                <w:rFonts w:ascii="Arial" w:eastAsia="Calibri" w:hAnsi="Arial" w:cs="Arial"/>
                <w:sz w:val="20"/>
                <w:szCs w:val="20"/>
              </w:rPr>
              <w:t>Splošne zakonske ali davčne opredelitve dividend</w:t>
            </w:r>
            <w:r>
              <w:rPr>
                <w:rFonts w:ascii="Arial" w:eastAsia="Calibri" w:hAnsi="Arial" w:cs="Arial"/>
                <w:sz w:val="20"/>
                <w:szCs w:val="20"/>
              </w:rPr>
              <w:t xml:space="preserve"> </w:t>
            </w:r>
            <w:r w:rsidRPr="00D403DC">
              <w:rPr>
                <w:rFonts w:ascii="Arial" w:eastAsia="Calibri" w:hAnsi="Arial" w:cs="Arial"/>
                <w:sz w:val="20"/>
                <w:szCs w:val="20"/>
              </w:rPr>
              <w:t>ni, vendar se na splošno razume kot pravilno odobren</w:t>
            </w:r>
            <w:r>
              <w:rPr>
                <w:rFonts w:ascii="Arial" w:eastAsia="Calibri" w:hAnsi="Arial" w:cs="Arial"/>
                <w:sz w:val="20"/>
                <w:szCs w:val="20"/>
              </w:rPr>
              <w:t>e</w:t>
            </w:r>
            <w:r w:rsidRPr="00D403DC">
              <w:rPr>
                <w:rFonts w:ascii="Arial" w:eastAsia="Calibri" w:hAnsi="Arial" w:cs="Arial"/>
                <w:sz w:val="20"/>
                <w:szCs w:val="20"/>
              </w:rPr>
              <w:t xml:space="preserve"> razdelitv</w:t>
            </w:r>
            <w:r>
              <w:rPr>
                <w:rFonts w:ascii="Arial" w:eastAsia="Calibri" w:hAnsi="Arial" w:cs="Arial"/>
                <w:sz w:val="20"/>
                <w:szCs w:val="20"/>
              </w:rPr>
              <w:t>e</w:t>
            </w:r>
            <w:r w:rsidRPr="00D403DC">
              <w:rPr>
                <w:rFonts w:ascii="Arial" w:eastAsia="Calibri" w:hAnsi="Arial" w:cs="Arial"/>
                <w:sz w:val="20"/>
                <w:szCs w:val="20"/>
              </w:rPr>
              <w:t xml:space="preserve"> realiziranega dobička družbe svojim delničarjem</w:t>
            </w:r>
            <w:r>
              <w:rPr>
                <w:rFonts w:ascii="Arial" w:eastAsia="Calibri" w:hAnsi="Arial" w:cs="Arial"/>
                <w:sz w:val="20"/>
                <w:szCs w:val="20"/>
              </w:rPr>
              <w:t xml:space="preserve"> oz. družbenikom</w:t>
            </w:r>
            <w:r w:rsidRPr="00D403DC">
              <w:rPr>
                <w:rFonts w:ascii="Arial" w:eastAsia="Calibri" w:hAnsi="Arial" w:cs="Arial"/>
                <w:sz w:val="20"/>
                <w:szCs w:val="20"/>
              </w:rPr>
              <w:t>.</w:t>
            </w:r>
          </w:p>
          <w:p w14:paraId="0B45087D" w14:textId="77777777" w:rsidR="00D403DC" w:rsidRPr="00D403DC" w:rsidRDefault="00D403DC" w:rsidP="00D403D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7263505D" w14:textId="5819594E" w:rsidR="00D403DC" w:rsidRPr="00D403DC" w:rsidRDefault="00D403DC" w:rsidP="00D403D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D403DC">
              <w:rPr>
                <w:rFonts w:ascii="Arial" w:eastAsia="Calibri" w:hAnsi="Arial" w:cs="Arial"/>
                <w:sz w:val="20"/>
                <w:szCs w:val="20"/>
              </w:rPr>
              <w:t xml:space="preserve">V primeru rezidenčne tesno nadzorovane družbe (na splošno družba, ki jo obvladuje pet ali manj oseb, vključno z njihovimi </w:t>
            </w:r>
            <w:r w:rsidR="00891F8A">
              <w:rPr>
                <w:rFonts w:ascii="Arial" w:eastAsia="Calibri" w:hAnsi="Arial" w:cs="Arial"/>
                <w:sz w:val="20"/>
                <w:szCs w:val="20"/>
              </w:rPr>
              <w:t>povezanimi osebami</w:t>
            </w:r>
            <w:r w:rsidRPr="00D403DC">
              <w:rPr>
                <w:rFonts w:ascii="Arial" w:eastAsia="Calibri" w:hAnsi="Arial" w:cs="Arial"/>
                <w:sz w:val="20"/>
                <w:szCs w:val="20"/>
              </w:rPr>
              <w:t>)</w:t>
            </w:r>
            <w:r w:rsidR="00A92488">
              <w:rPr>
                <w:rFonts w:ascii="Arial" w:eastAsia="Calibri" w:hAnsi="Arial" w:cs="Arial"/>
                <w:sz w:val="20"/>
                <w:szCs w:val="20"/>
              </w:rPr>
              <w:t xml:space="preserve"> se</w:t>
            </w:r>
            <w:r w:rsidRPr="00D403DC">
              <w:rPr>
                <w:rFonts w:ascii="Arial" w:eastAsia="Calibri" w:hAnsi="Arial" w:cs="Arial"/>
                <w:sz w:val="20"/>
                <w:szCs w:val="20"/>
              </w:rPr>
              <w:t xml:space="preserve"> ugodnosti za delničarje, ki niso obdavčen</w:t>
            </w:r>
            <w:r w:rsidR="00891F8A">
              <w:rPr>
                <w:rFonts w:ascii="Arial" w:eastAsia="Calibri" w:hAnsi="Arial" w:cs="Arial"/>
                <w:sz w:val="20"/>
                <w:szCs w:val="20"/>
              </w:rPr>
              <w:t>e</w:t>
            </w:r>
            <w:r w:rsidRPr="00D403DC">
              <w:rPr>
                <w:rFonts w:ascii="Arial" w:eastAsia="Calibri" w:hAnsi="Arial" w:cs="Arial"/>
                <w:sz w:val="20"/>
                <w:szCs w:val="20"/>
              </w:rPr>
              <w:t xml:space="preserve"> kot dohodek iz zaposlitve</w:t>
            </w:r>
            <w:r w:rsidR="00971B75">
              <w:rPr>
                <w:rFonts w:ascii="Arial" w:eastAsia="Calibri" w:hAnsi="Arial" w:cs="Arial"/>
                <w:sz w:val="20"/>
                <w:szCs w:val="20"/>
              </w:rPr>
              <w:t>,</w:t>
            </w:r>
            <w:r w:rsidRPr="00D403DC">
              <w:rPr>
                <w:rFonts w:ascii="Arial" w:eastAsia="Calibri" w:hAnsi="Arial" w:cs="Arial"/>
                <w:sz w:val="20"/>
                <w:szCs w:val="20"/>
              </w:rPr>
              <w:t xml:space="preserve"> in presežna plačila</w:t>
            </w:r>
            <w:r w:rsidR="00891F8A">
              <w:rPr>
                <w:rFonts w:ascii="Arial" w:eastAsia="Calibri" w:hAnsi="Arial" w:cs="Arial"/>
                <w:sz w:val="20"/>
                <w:szCs w:val="20"/>
              </w:rPr>
              <w:t xml:space="preserve"> </w:t>
            </w:r>
            <w:r w:rsidRPr="00D403DC">
              <w:rPr>
                <w:rFonts w:ascii="Arial" w:eastAsia="Calibri" w:hAnsi="Arial" w:cs="Arial"/>
                <w:sz w:val="20"/>
                <w:szCs w:val="20"/>
              </w:rPr>
              <w:t>obresti</w:t>
            </w:r>
            <w:r w:rsidR="00891F8A">
              <w:rPr>
                <w:rFonts w:ascii="Arial" w:eastAsia="Calibri" w:hAnsi="Arial" w:cs="Arial"/>
                <w:sz w:val="20"/>
                <w:szCs w:val="20"/>
              </w:rPr>
              <w:t xml:space="preserve"> nad</w:t>
            </w:r>
            <w:r w:rsidRPr="00D403DC">
              <w:rPr>
                <w:rFonts w:ascii="Arial" w:eastAsia="Calibri" w:hAnsi="Arial" w:cs="Arial"/>
                <w:sz w:val="20"/>
                <w:szCs w:val="20"/>
              </w:rPr>
              <w:t xml:space="preserve"> predpisani</w:t>
            </w:r>
            <w:r w:rsidR="00891F8A">
              <w:rPr>
                <w:rFonts w:ascii="Arial" w:eastAsia="Calibri" w:hAnsi="Arial" w:cs="Arial"/>
                <w:sz w:val="20"/>
                <w:szCs w:val="20"/>
              </w:rPr>
              <w:t>mi</w:t>
            </w:r>
            <w:r w:rsidRPr="00D403DC">
              <w:rPr>
                <w:rFonts w:ascii="Arial" w:eastAsia="Calibri" w:hAnsi="Arial" w:cs="Arial"/>
                <w:sz w:val="20"/>
                <w:szCs w:val="20"/>
              </w:rPr>
              <w:t xml:space="preserve"> omejitv</w:t>
            </w:r>
            <w:r w:rsidR="00891F8A">
              <w:rPr>
                <w:rFonts w:ascii="Arial" w:eastAsia="Calibri" w:hAnsi="Arial" w:cs="Arial"/>
                <w:sz w:val="20"/>
                <w:szCs w:val="20"/>
              </w:rPr>
              <w:t>ami</w:t>
            </w:r>
            <w:r w:rsidRPr="00D403DC">
              <w:rPr>
                <w:rFonts w:ascii="Arial" w:eastAsia="Calibri" w:hAnsi="Arial" w:cs="Arial"/>
                <w:sz w:val="20"/>
                <w:szCs w:val="20"/>
              </w:rPr>
              <w:t xml:space="preserve"> določenim delničarjem</w:t>
            </w:r>
            <w:r w:rsidR="00891F8A">
              <w:rPr>
                <w:rFonts w:ascii="Arial" w:eastAsia="Calibri" w:hAnsi="Arial" w:cs="Arial"/>
                <w:sz w:val="20"/>
                <w:szCs w:val="20"/>
              </w:rPr>
              <w:t xml:space="preserve"> oz</w:t>
            </w:r>
            <w:r w:rsidR="00A92488">
              <w:rPr>
                <w:rFonts w:ascii="Arial" w:eastAsia="Calibri" w:hAnsi="Arial" w:cs="Arial"/>
                <w:sz w:val="20"/>
                <w:szCs w:val="20"/>
              </w:rPr>
              <w:t>iroma</w:t>
            </w:r>
            <w:r w:rsidR="00891F8A">
              <w:rPr>
                <w:rFonts w:ascii="Arial" w:eastAsia="Calibri" w:hAnsi="Arial" w:cs="Arial"/>
                <w:sz w:val="20"/>
                <w:szCs w:val="20"/>
              </w:rPr>
              <w:t xml:space="preserve"> družbenikom</w:t>
            </w:r>
            <w:r w:rsidRPr="00D403DC">
              <w:rPr>
                <w:rFonts w:ascii="Arial" w:eastAsia="Calibri" w:hAnsi="Arial" w:cs="Arial"/>
                <w:sz w:val="20"/>
                <w:szCs w:val="20"/>
              </w:rPr>
              <w:t>/direktorjem prav tako obravnavajo kot dividende.</w:t>
            </w:r>
          </w:p>
          <w:p w14:paraId="670EFF63" w14:textId="77777777" w:rsidR="00D403DC" w:rsidRPr="00D403DC" w:rsidRDefault="00D403DC" w:rsidP="00D403D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45685FB1" w14:textId="20C55667" w:rsidR="00D403DC" w:rsidRPr="00D403DC" w:rsidRDefault="00D403DC" w:rsidP="00D403D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D403DC">
              <w:rPr>
                <w:rFonts w:ascii="Arial" w:eastAsia="Calibri" w:hAnsi="Arial" w:cs="Arial"/>
                <w:sz w:val="20"/>
                <w:szCs w:val="20"/>
              </w:rPr>
              <w:t xml:space="preserve">Nekatere druge transakcije z osnovnim kapitalom rezidenčne družbe v tesni lasti (na splošno družbe, ki jo obvladuje pet ali manj oseb in </w:t>
            </w:r>
            <w:r w:rsidR="00891F8A">
              <w:rPr>
                <w:rFonts w:ascii="Arial" w:eastAsia="Calibri" w:hAnsi="Arial" w:cs="Arial"/>
                <w:sz w:val="20"/>
                <w:szCs w:val="20"/>
              </w:rPr>
              <w:t>povezanih oseb</w:t>
            </w:r>
            <w:r w:rsidRPr="00D403DC">
              <w:rPr>
                <w:rFonts w:ascii="Arial" w:eastAsia="Calibri" w:hAnsi="Arial" w:cs="Arial"/>
                <w:sz w:val="20"/>
                <w:szCs w:val="20"/>
              </w:rPr>
              <w:t xml:space="preserve">), zaradi katerih (na splošno) davčni zavezanec neposredno ali posredno pridobi presežek iz </w:t>
            </w:r>
            <w:r w:rsidR="00891F8A">
              <w:rPr>
                <w:rFonts w:ascii="Arial" w:eastAsia="Calibri" w:hAnsi="Arial" w:cs="Arial"/>
                <w:sz w:val="20"/>
                <w:szCs w:val="20"/>
              </w:rPr>
              <w:t>sredstev</w:t>
            </w:r>
            <w:r w:rsidRPr="00D403DC">
              <w:rPr>
                <w:rFonts w:ascii="Arial" w:eastAsia="Calibri" w:hAnsi="Arial" w:cs="Arial"/>
                <w:sz w:val="20"/>
                <w:szCs w:val="20"/>
              </w:rPr>
              <w:t xml:space="preserve"> družbe, </w:t>
            </w:r>
            <w:r w:rsidR="00891F8A">
              <w:rPr>
                <w:rFonts w:ascii="Arial" w:eastAsia="Calibri" w:hAnsi="Arial" w:cs="Arial"/>
                <w:sz w:val="20"/>
                <w:szCs w:val="20"/>
              </w:rPr>
              <w:t xml:space="preserve">se obravnavajo </w:t>
            </w:r>
            <w:r w:rsidRPr="00D403DC">
              <w:rPr>
                <w:rFonts w:ascii="Arial" w:eastAsia="Calibri" w:hAnsi="Arial" w:cs="Arial"/>
                <w:sz w:val="20"/>
                <w:szCs w:val="20"/>
              </w:rPr>
              <w:t xml:space="preserve">kot vir dividend. Izjema </w:t>
            </w:r>
            <w:r w:rsidR="00891F8A">
              <w:rPr>
                <w:rFonts w:ascii="Arial" w:eastAsia="Calibri" w:hAnsi="Arial" w:cs="Arial"/>
                <w:sz w:val="20"/>
                <w:szCs w:val="20"/>
              </w:rPr>
              <w:t>velja</w:t>
            </w:r>
            <w:r w:rsidRPr="00D403DC">
              <w:rPr>
                <w:rFonts w:ascii="Arial" w:eastAsia="Calibri" w:hAnsi="Arial" w:cs="Arial"/>
                <w:sz w:val="20"/>
                <w:szCs w:val="20"/>
              </w:rPr>
              <w:t xml:space="preserve">, če se delnice z dobičkom prodajo </w:t>
            </w:r>
            <w:r w:rsidR="00891F8A">
              <w:rPr>
                <w:rFonts w:ascii="Arial" w:eastAsia="Calibri" w:hAnsi="Arial" w:cs="Arial"/>
                <w:sz w:val="20"/>
                <w:szCs w:val="20"/>
              </w:rPr>
              <w:t>družbi</w:t>
            </w:r>
            <w:r w:rsidRPr="00D403DC">
              <w:rPr>
                <w:rFonts w:ascii="Arial" w:eastAsia="Calibri" w:hAnsi="Arial" w:cs="Arial"/>
                <w:sz w:val="20"/>
                <w:szCs w:val="20"/>
              </w:rPr>
              <w:t xml:space="preserve"> izdajatelj</w:t>
            </w:r>
            <w:r w:rsidR="00891F8A">
              <w:rPr>
                <w:rFonts w:ascii="Arial" w:eastAsia="Calibri" w:hAnsi="Arial" w:cs="Arial"/>
                <w:sz w:val="20"/>
                <w:szCs w:val="20"/>
              </w:rPr>
              <w:t>ici</w:t>
            </w:r>
            <w:r w:rsidRPr="00D403DC">
              <w:rPr>
                <w:rFonts w:ascii="Arial" w:eastAsia="Calibri" w:hAnsi="Arial" w:cs="Arial"/>
                <w:sz w:val="20"/>
                <w:szCs w:val="20"/>
              </w:rPr>
              <w:t xml:space="preserve"> in so izpolnjeni določeni pogoji ali če </w:t>
            </w:r>
            <w:r w:rsidR="00891F8A">
              <w:rPr>
                <w:rFonts w:ascii="Arial" w:eastAsia="Calibri" w:hAnsi="Arial" w:cs="Arial"/>
                <w:sz w:val="20"/>
                <w:szCs w:val="20"/>
              </w:rPr>
              <w:t xml:space="preserve">družba </w:t>
            </w:r>
            <w:r w:rsidRPr="00D403DC">
              <w:rPr>
                <w:rFonts w:ascii="Arial" w:eastAsia="Calibri" w:hAnsi="Arial" w:cs="Arial"/>
                <w:sz w:val="20"/>
                <w:szCs w:val="20"/>
              </w:rPr>
              <w:t xml:space="preserve">kotira na borzi in prodaja ni del </w:t>
            </w:r>
            <w:r w:rsidR="00891F8A">
              <w:rPr>
                <w:rFonts w:ascii="Arial" w:eastAsia="Calibri" w:hAnsi="Arial" w:cs="Arial"/>
                <w:sz w:val="20"/>
                <w:szCs w:val="20"/>
              </w:rPr>
              <w:t>sheme izogibanja</w:t>
            </w:r>
            <w:r w:rsidRPr="00D403DC">
              <w:rPr>
                <w:rFonts w:ascii="Arial" w:eastAsia="Calibri" w:hAnsi="Arial" w:cs="Arial"/>
                <w:sz w:val="20"/>
                <w:szCs w:val="20"/>
              </w:rPr>
              <w:t xml:space="preserve"> davkom. Delnice, izdane namesto denarnih dividend, so obdavčene kot dohodek (oddelki 130–135, 173–186, 816 in 817 TCA 1997).</w:t>
            </w:r>
          </w:p>
          <w:p w14:paraId="03472FA2" w14:textId="5CFB13C5" w:rsidR="00042F08" w:rsidRDefault="00042F08" w:rsidP="00D403D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54CF87FA" w14:textId="6108E2BC" w:rsidR="00042F08" w:rsidRPr="008806A6" w:rsidRDefault="003B53AF" w:rsidP="00D403DC">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8806A6">
              <w:rPr>
                <w:rFonts w:ascii="Arial" w:eastAsia="Calibri" w:hAnsi="Arial" w:cs="Arial"/>
                <w:sz w:val="20"/>
                <w:szCs w:val="20"/>
              </w:rPr>
              <w:t>5.</w:t>
            </w:r>
            <w:r w:rsidR="00F7435C">
              <w:rPr>
                <w:rFonts w:ascii="Arial" w:eastAsia="Calibri" w:hAnsi="Arial" w:cs="Arial"/>
                <w:sz w:val="20"/>
                <w:szCs w:val="20"/>
              </w:rPr>
              <w:t>4</w:t>
            </w:r>
            <w:r w:rsidRPr="008806A6">
              <w:rPr>
                <w:rFonts w:ascii="Arial" w:eastAsia="Calibri" w:hAnsi="Arial" w:cs="Arial"/>
                <w:sz w:val="20"/>
                <w:szCs w:val="20"/>
              </w:rPr>
              <w:t xml:space="preserve">.3 </w:t>
            </w:r>
            <w:r w:rsidR="0001425E" w:rsidRPr="008806A6">
              <w:rPr>
                <w:rFonts w:ascii="Arial" w:eastAsia="Calibri" w:hAnsi="Arial" w:cs="Arial"/>
                <w:sz w:val="20"/>
                <w:szCs w:val="20"/>
              </w:rPr>
              <w:t>Italija</w:t>
            </w:r>
          </w:p>
          <w:p w14:paraId="43A5686E" w14:textId="3775F36E" w:rsidR="003B53AF" w:rsidRPr="003B53AF" w:rsidRDefault="003B53AF" w:rsidP="003B53AF">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3B53AF">
              <w:rPr>
                <w:rFonts w:ascii="Arial" w:eastAsia="Calibri" w:hAnsi="Arial" w:cs="Arial"/>
                <w:sz w:val="20"/>
                <w:szCs w:val="20"/>
              </w:rPr>
              <w:t>Zneski, ki jih prejmejo delničarji</w:t>
            </w:r>
            <w:r>
              <w:rPr>
                <w:rFonts w:ascii="Arial" w:eastAsia="Calibri" w:hAnsi="Arial" w:cs="Arial"/>
                <w:sz w:val="20"/>
                <w:szCs w:val="20"/>
              </w:rPr>
              <w:t xml:space="preserve"> oz</w:t>
            </w:r>
            <w:r w:rsidR="00A92488">
              <w:rPr>
                <w:rFonts w:ascii="Arial" w:eastAsia="Calibri" w:hAnsi="Arial" w:cs="Arial"/>
                <w:sz w:val="20"/>
                <w:szCs w:val="20"/>
              </w:rPr>
              <w:t>iroma</w:t>
            </w:r>
            <w:r>
              <w:rPr>
                <w:rFonts w:ascii="Arial" w:eastAsia="Calibri" w:hAnsi="Arial" w:cs="Arial"/>
                <w:sz w:val="20"/>
                <w:szCs w:val="20"/>
              </w:rPr>
              <w:t xml:space="preserve"> družbeniki</w:t>
            </w:r>
            <w:r w:rsidRPr="003B53AF">
              <w:rPr>
                <w:rFonts w:ascii="Arial" w:eastAsia="Calibri" w:hAnsi="Arial" w:cs="Arial"/>
                <w:sz w:val="20"/>
                <w:szCs w:val="20"/>
              </w:rPr>
              <w:t xml:space="preserve"> kot razdelitev rezerv ali drugih </w:t>
            </w:r>
            <w:r>
              <w:rPr>
                <w:rFonts w:ascii="Arial" w:eastAsia="Calibri" w:hAnsi="Arial" w:cs="Arial"/>
                <w:sz w:val="20"/>
                <w:szCs w:val="20"/>
              </w:rPr>
              <w:t>postavk</w:t>
            </w:r>
            <w:r w:rsidRPr="003B53AF">
              <w:rPr>
                <w:rFonts w:ascii="Arial" w:eastAsia="Calibri" w:hAnsi="Arial" w:cs="Arial"/>
                <w:sz w:val="20"/>
                <w:szCs w:val="20"/>
              </w:rPr>
              <w:t xml:space="preserve">, ustvarjenih s presežnim kapitalom, vplačanim ob izdaji novih delnic </w:t>
            </w:r>
            <w:r>
              <w:rPr>
                <w:rFonts w:ascii="Arial" w:eastAsia="Calibri" w:hAnsi="Arial" w:cs="Arial"/>
                <w:sz w:val="20"/>
                <w:szCs w:val="20"/>
              </w:rPr>
              <w:t>oz</w:t>
            </w:r>
            <w:r w:rsidR="00A92488">
              <w:rPr>
                <w:rFonts w:ascii="Arial" w:eastAsia="Calibri" w:hAnsi="Arial" w:cs="Arial"/>
                <w:sz w:val="20"/>
                <w:szCs w:val="20"/>
              </w:rPr>
              <w:t>iroma</w:t>
            </w:r>
            <w:r>
              <w:rPr>
                <w:rFonts w:ascii="Arial" w:eastAsia="Calibri" w:hAnsi="Arial" w:cs="Arial"/>
                <w:sz w:val="20"/>
                <w:szCs w:val="20"/>
              </w:rPr>
              <w:t xml:space="preserve"> deležev </w:t>
            </w:r>
            <w:r w:rsidRPr="003B53AF">
              <w:rPr>
                <w:rFonts w:ascii="Arial" w:eastAsia="Calibri" w:hAnsi="Arial" w:cs="Arial"/>
                <w:sz w:val="20"/>
                <w:szCs w:val="20"/>
              </w:rPr>
              <w:t xml:space="preserve">ali kvot, z izravnalnimi obrestmi, ki jih plačajo </w:t>
            </w:r>
            <w:r>
              <w:rPr>
                <w:rFonts w:ascii="Arial" w:eastAsia="Calibri" w:hAnsi="Arial" w:cs="Arial"/>
                <w:sz w:val="20"/>
                <w:szCs w:val="20"/>
              </w:rPr>
              <w:t>pridobitelj</w:t>
            </w:r>
            <w:r w:rsidRPr="003B53AF">
              <w:rPr>
                <w:rFonts w:ascii="Arial" w:eastAsia="Calibri" w:hAnsi="Arial" w:cs="Arial"/>
                <w:sz w:val="20"/>
                <w:szCs w:val="20"/>
              </w:rPr>
              <w:t>i novih delnic</w:t>
            </w:r>
            <w:r>
              <w:rPr>
                <w:rFonts w:ascii="Arial" w:eastAsia="Calibri" w:hAnsi="Arial" w:cs="Arial"/>
                <w:sz w:val="20"/>
                <w:szCs w:val="20"/>
              </w:rPr>
              <w:t xml:space="preserve"> oziroma deležev</w:t>
            </w:r>
            <w:r w:rsidRPr="003B53AF">
              <w:rPr>
                <w:rFonts w:ascii="Arial" w:eastAsia="Calibri" w:hAnsi="Arial" w:cs="Arial"/>
                <w:sz w:val="20"/>
                <w:szCs w:val="20"/>
              </w:rPr>
              <w:t xml:space="preserve"> ali kvot, s sredstvi, ki jih nepovratno vplačajo delničarji</w:t>
            </w:r>
            <w:r>
              <w:rPr>
                <w:rFonts w:ascii="Arial" w:eastAsia="Calibri" w:hAnsi="Arial" w:cs="Arial"/>
                <w:sz w:val="20"/>
                <w:szCs w:val="20"/>
              </w:rPr>
              <w:t xml:space="preserve"> oz</w:t>
            </w:r>
            <w:r w:rsidR="00A92488">
              <w:rPr>
                <w:rFonts w:ascii="Arial" w:eastAsia="Calibri" w:hAnsi="Arial" w:cs="Arial"/>
                <w:sz w:val="20"/>
                <w:szCs w:val="20"/>
              </w:rPr>
              <w:t>iroma</w:t>
            </w:r>
            <w:r>
              <w:rPr>
                <w:rFonts w:ascii="Arial" w:eastAsia="Calibri" w:hAnsi="Arial" w:cs="Arial"/>
                <w:sz w:val="20"/>
                <w:szCs w:val="20"/>
              </w:rPr>
              <w:t xml:space="preserve"> družbeniki,</w:t>
            </w:r>
            <w:r w:rsidRPr="003B53AF">
              <w:rPr>
                <w:rFonts w:ascii="Arial" w:eastAsia="Calibri" w:hAnsi="Arial" w:cs="Arial"/>
                <w:sz w:val="20"/>
                <w:szCs w:val="20"/>
              </w:rPr>
              <w:t xml:space="preserve"> ali z davk</w:t>
            </w:r>
            <w:r>
              <w:rPr>
                <w:rFonts w:ascii="Arial" w:eastAsia="Calibri" w:hAnsi="Arial" w:cs="Arial"/>
                <w:sz w:val="20"/>
                <w:szCs w:val="20"/>
              </w:rPr>
              <w:t>a</w:t>
            </w:r>
            <w:r w:rsidRPr="003B53AF">
              <w:rPr>
                <w:rFonts w:ascii="Arial" w:eastAsia="Calibri" w:hAnsi="Arial" w:cs="Arial"/>
                <w:sz w:val="20"/>
                <w:szCs w:val="20"/>
              </w:rPr>
              <w:t xml:space="preserve"> oproščenimi denarnimi </w:t>
            </w:r>
            <w:proofErr w:type="spellStart"/>
            <w:r w:rsidRPr="003B53AF">
              <w:rPr>
                <w:rFonts w:ascii="Arial" w:eastAsia="Calibri" w:hAnsi="Arial" w:cs="Arial"/>
                <w:sz w:val="20"/>
                <w:szCs w:val="20"/>
              </w:rPr>
              <w:t>prevrednot</w:t>
            </w:r>
            <w:r w:rsidR="0001425E">
              <w:rPr>
                <w:rFonts w:ascii="Arial" w:eastAsia="Calibri" w:hAnsi="Arial" w:cs="Arial"/>
                <w:sz w:val="20"/>
                <w:szCs w:val="20"/>
              </w:rPr>
              <w:t>e</w:t>
            </w:r>
            <w:r w:rsidRPr="003B53AF">
              <w:rPr>
                <w:rFonts w:ascii="Arial" w:eastAsia="Calibri" w:hAnsi="Arial" w:cs="Arial"/>
                <w:sz w:val="20"/>
                <w:szCs w:val="20"/>
              </w:rPr>
              <w:t>valnimi</w:t>
            </w:r>
            <w:proofErr w:type="spellEnd"/>
            <w:r w:rsidRPr="003B53AF">
              <w:rPr>
                <w:rFonts w:ascii="Arial" w:eastAsia="Calibri" w:hAnsi="Arial" w:cs="Arial"/>
                <w:sz w:val="20"/>
                <w:szCs w:val="20"/>
              </w:rPr>
              <w:t xml:space="preserve"> rezervami</w:t>
            </w:r>
            <w:r>
              <w:rPr>
                <w:rFonts w:ascii="Arial" w:eastAsia="Calibri" w:hAnsi="Arial" w:cs="Arial"/>
                <w:sz w:val="20"/>
                <w:szCs w:val="20"/>
              </w:rPr>
              <w:t>,</w:t>
            </w:r>
            <w:r w:rsidRPr="003B53AF">
              <w:rPr>
                <w:rFonts w:ascii="Arial" w:eastAsia="Calibri" w:hAnsi="Arial" w:cs="Arial"/>
                <w:sz w:val="20"/>
                <w:szCs w:val="20"/>
              </w:rPr>
              <w:t xml:space="preserve"> se ne obravnavajo kot </w:t>
            </w:r>
            <w:r>
              <w:rPr>
                <w:rFonts w:ascii="Arial" w:eastAsia="Calibri" w:hAnsi="Arial" w:cs="Arial"/>
                <w:sz w:val="20"/>
                <w:szCs w:val="20"/>
              </w:rPr>
              <w:t>dohodek</w:t>
            </w:r>
            <w:r w:rsidRPr="003B53AF">
              <w:rPr>
                <w:rFonts w:ascii="Arial" w:eastAsia="Calibri" w:hAnsi="Arial" w:cs="Arial"/>
                <w:sz w:val="20"/>
                <w:szCs w:val="20"/>
              </w:rPr>
              <w:t>. Podobno se dodatne</w:t>
            </w:r>
            <w:r>
              <w:rPr>
                <w:rFonts w:ascii="Arial" w:eastAsia="Calibri" w:hAnsi="Arial" w:cs="Arial"/>
                <w:sz w:val="20"/>
                <w:szCs w:val="20"/>
              </w:rPr>
              <w:t xml:space="preserve"> (bonus)</w:t>
            </w:r>
            <w:r w:rsidRPr="003B53AF">
              <w:rPr>
                <w:rFonts w:ascii="Arial" w:eastAsia="Calibri" w:hAnsi="Arial" w:cs="Arial"/>
                <w:sz w:val="20"/>
                <w:szCs w:val="20"/>
              </w:rPr>
              <w:t xml:space="preserve"> delnice ali povečanja nominalne vrednosti že izdanih delnic ali kvot ne šteje</w:t>
            </w:r>
            <w:r>
              <w:rPr>
                <w:rFonts w:ascii="Arial" w:eastAsia="Calibri" w:hAnsi="Arial" w:cs="Arial"/>
                <w:sz w:val="20"/>
                <w:szCs w:val="20"/>
              </w:rPr>
              <w:t>jo</w:t>
            </w:r>
            <w:r w:rsidRPr="003B53AF">
              <w:rPr>
                <w:rFonts w:ascii="Arial" w:eastAsia="Calibri" w:hAnsi="Arial" w:cs="Arial"/>
                <w:sz w:val="20"/>
                <w:szCs w:val="20"/>
              </w:rPr>
              <w:t xml:space="preserve"> za razdelitev dobička. Če zneski, prejeti kot razdelitve zgoraj navedenih rezerv ali </w:t>
            </w:r>
            <w:r>
              <w:rPr>
                <w:rFonts w:ascii="Arial" w:eastAsia="Calibri" w:hAnsi="Arial" w:cs="Arial"/>
                <w:sz w:val="20"/>
                <w:szCs w:val="20"/>
              </w:rPr>
              <w:t>postavk,</w:t>
            </w:r>
            <w:r w:rsidRPr="003B53AF">
              <w:rPr>
                <w:rFonts w:ascii="Arial" w:eastAsia="Calibri" w:hAnsi="Arial" w:cs="Arial"/>
                <w:sz w:val="20"/>
                <w:szCs w:val="20"/>
              </w:rPr>
              <w:t xml:space="preserve"> presegajo davčno osnovo deleža posameznega davčnega zavezanca, se presežek šteje za dividendo in ustrezno obdavč</w:t>
            </w:r>
            <w:r>
              <w:rPr>
                <w:rFonts w:ascii="Arial" w:eastAsia="Calibri" w:hAnsi="Arial" w:cs="Arial"/>
                <w:sz w:val="20"/>
                <w:szCs w:val="20"/>
              </w:rPr>
              <w:t>i</w:t>
            </w:r>
            <w:r w:rsidRPr="003B53AF">
              <w:rPr>
                <w:rFonts w:ascii="Arial" w:eastAsia="Calibri" w:hAnsi="Arial" w:cs="Arial"/>
                <w:sz w:val="20"/>
                <w:szCs w:val="20"/>
              </w:rPr>
              <w:t>.</w:t>
            </w:r>
          </w:p>
          <w:p w14:paraId="3BA4297D" w14:textId="77777777" w:rsidR="003B53AF" w:rsidRPr="003B53AF" w:rsidRDefault="003B53AF" w:rsidP="003B53AF">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23D87EF9" w14:textId="77224F8F" w:rsidR="003B53AF" w:rsidRPr="003B53AF" w:rsidRDefault="003B53AF" w:rsidP="003B53AF">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3B53AF">
              <w:rPr>
                <w:rFonts w:ascii="Arial" w:eastAsia="Calibri" w:hAnsi="Arial" w:cs="Arial"/>
                <w:sz w:val="20"/>
                <w:szCs w:val="20"/>
              </w:rPr>
              <w:t xml:space="preserve">Ne glede na namen </w:t>
            </w:r>
            <w:r>
              <w:rPr>
                <w:rFonts w:ascii="Arial" w:eastAsia="Calibri" w:hAnsi="Arial" w:cs="Arial"/>
                <w:sz w:val="20"/>
                <w:szCs w:val="20"/>
              </w:rPr>
              <w:t>druž</w:t>
            </w:r>
            <w:r w:rsidR="0001425E">
              <w:rPr>
                <w:rFonts w:ascii="Arial" w:eastAsia="Calibri" w:hAnsi="Arial" w:cs="Arial"/>
                <w:sz w:val="20"/>
                <w:szCs w:val="20"/>
              </w:rPr>
              <w:t>be, ki deli dohodek,</w:t>
            </w:r>
            <w:r w:rsidRPr="003B53AF">
              <w:rPr>
                <w:rFonts w:ascii="Arial" w:eastAsia="Calibri" w:hAnsi="Arial" w:cs="Arial"/>
                <w:sz w:val="20"/>
                <w:szCs w:val="20"/>
              </w:rPr>
              <w:t xml:space="preserve"> se rezerve iz dobička</w:t>
            </w:r>
            <w:r w:rsidR="0001425E">
              <w:rPr>
                <w:rFonts w:ascii="Arial" w:eastAsia="Calibri" w:hAnsi="Arial" w:cs="Arial"/>
                <w:sz w:val="20"/>
                <w:szCs w:val="20"/>
              </w:rPr>
              <w:t xml:space="preserve"> vedno obravnavajo, kot prvo razdeljene.</w:t>
            </w:r>
          </w:p>
          <w:p w14:paraId="438BD2C6" w14:textId="77777777" w:rsidR="003B53AF" w:rsidRPr="003B53AF" w:rsidRDefault="003B53AF" w:rsidP="003B53AF">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497089E3" w14:textId="5DB04411" w:rsidR="0099305F" w:rsidRPr="00167E65" w:rsidRDefault="003B53AF"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3B53AF">
              <w:rPr>
                <w:rFonts w:ascii="Arial" w:eastAsia="Calibri" w:hAnsi="Arial" w:cs="Arial"/>
                <w:sz w:val="20"/>
                <w:szCs w:val="20"/>
              </w:rPr>
              <w:t xml:space="preserve">Zneski oziroma tržna vrednost premoženja, ki ga posamezni delničarji </w:t>
            </w:r>
            <w:r w:rsidR="0001425E">
              <w:rPr>
                <w:rFonts w:ascii="Arial" w:eastAsia="Calibri" w:hAnsi="Arial" w:cs="Arial"/>
                <w:sz w:val="20"/>
                <w:szCs w:val="20"/>
              </w:rPr>
              <w:t>oz</w:t>
            </w:r>
            <w:r w:rsidR="00A92488">
              <w:rPr>
                <w:rFonts w:ascii="Arial" w:eastAsia="Calibri" w:hAnsi="Arial" w:cs="Arial"/>
                <w:sz w:val="20"/>
                <w:szCs w:val="20"/>
              </w:rPr>
              <w:t>iroma</w:t>
            </w:r>
            <w:r w:rsidR="0001425E">
              <w:rPr>
                <w:rFonts w:ascii="Arial" w:eastAsia="Calibri" w:hAnsi="Arial" w:cs="Arial"/>
                <w:sz w:val="20"/>
                <w:szCs w:val="20"/>
              </w:rPr>
              <w:t xml:space="preserve"> družbeniki </w:t>
            </w:r>
            <w:r w:rsidRPr="003B53AF">
              <w:rPr>
                <w:rFonts w:ascii="Arial" w:eastAsia="Calibri" w:hAnsi="Arial" w:cs="Arial"/>
                <w:sz w:val="20"/>
                <w:szCs w:val="20"/>
              </w:rPr>
              <w:t>prejmejo v primeru izstopa, zmanjšanja presežnega kapitala ali likvidacije družbe, predstavljajo dividende, če presegajo davčno osnovo deleža posameznega delničarja (47.</w:t>
            </w:r>
            <w:r w:rsidR="00A92488">
              <w:rPr>
                <w:rFonts w:ascii="Arial" w:eastAsia="Calibri" w:hAnsi="Arial" w:cs="Arial"/>
                <w:sz w:val="20"/>
                <w:szCs w:val="20"/>
              </w:rPr>
              <w:t> </w:t>
            </w:r>
            <w:r w:rsidRPr="003B53AF">
              <w:rPr>
                <w:rFonts w:ascii="Arial" w:eastAsia="Calibri" w:hAnsi="Arial" w:cs="Arial"/>
                <w:sz w:val="20"/>
                <w:szCs w:val="20"/>
              </w:rPr>
              <w:t>člen TUIR).</w:t>
            </w:r>
          </w:p>
          <w:p w14:paraId="4CA0E8B2" w14:textId="77777777" w:rsidR="00F556C4" w:rsidRDefault="00F556C4"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u w:val="single"/>
              </w:rPr>
            </w:pPr>
          </w:p>
          <w:p w14:paraId="369CAD2C" w14:textId="6E881B2D" w:rsidR="0099305F" w:rsidRPr="008806A6" w:rsidRDefault="002B251F"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8806A6">
              <w:rPr>
                <w:rFonts w:ascii="Arial" w:eastAsia="Calibri" w:hAnsi="Arial" w:cs="Arial"/>
                <w:sz w:val="20"/>
                <w:szCs w:val="20"/>
              </w:rPr>
              <w:t>5.</w:t>
            </w:r>
            <w:r w:rsidR="00F7435C">
              <w:rPr>
                <w:rFonts w:ascii="Arial" w:eastAsia="Calibri" w:hAnsi="Arial" w:cs="Arial"/>
                <w:sz w:val="20"/>
                <w:szCs w:val="20"/>
              </w:rPr>
              <w:t>4</w:t>
            </w:r>
            <w:r w:rsidRPr="008806A6">
              <w:rPr>
                <w:rFonts w:ascii="Arial" w:eastAsia="Calibri" w:hAnsi="Arial" w:cs="Arial"/>
                <w:sz w:val="20"/>
                <w:szCs w:val="20"/>
              </w:rPr>
              <w:t>.4 Francija</w:t>
            </w:r>
          </w:p>
          <w:p w14:paraId="08291E0A" w14:textId="2A930CE3" w:rsidR="002B251F" w:rsidRPr="002B251F" w:rsidRDefault="002B251F" w:rsidP="002B251F">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Pr>
                <w:rFonts w:ascii="Arial" w:eastAsia="Calibri" w:hAnsi="Arial" w:cs="Arial"/>
                <w:sz w:val="20"/>
                <w:szCs w:val="20"/>
              </w:rPr>
              <w:t>Dohodek v obliki dividend</w:t>
            </w:r>
            <w:r w:rsidRPr="002B251F">
              <w:rPr>
                <w:rFonts w:ascii="Arial" w:eastAsia="Calibri" w:hAnsi="Arial" w:cs="Arial"/>
                <w:sz w:val="20"/>
                <w:szCs w:val="20"/>
              </w:rPr>
              <w:t xml:space="preserve"> zajema izključno razdelitve, ki jih opravijo subjekti, ki so zavezanci </w:t>
            </w:r>
            <w:r>
              <w:rPr>
                <w:rFonts w:ascii="Arial" w:eastAsia="Calibri" w:hAnsi="Arial" w:cs="Arial"/>
                <w:sz w:val="20"/>
                <w:szCs w:val="20"/>
              </w:rPr>
              <w:t>za davek</w:t>
            </w:r>
            <w:r w:rsidRPr="002B251F">
              <w:rPr>
                <w:rFonts w:ascii="Arial" w:eastAsia="Calibri" w:hAnsi="Arial" w:cs="Arial"/>
                <w:sz w:val="20"/>
                <w:szCs w:val="20"/>
              </w:rPr>
              <w:t xml:space="preserve"> od dohodkov pravnih oseb bodisi po zakonu (SA, SAS, SARL) bodisi </w:t>
            </w:r>
            <w:r>
              <w:rPr>
                <w:rFonts w:ascii="Arial" w:eastAsia="Calibri" w:hAnsi="Arial" w:cs="Arial"/>
                <w:sz w:val="20"/>
                <w:szCs w:val="20"/>
              </w:rPr>
              <w:t>po izbiri</w:t>
            </w:r>
            <w:r w:rsidRPr="002B251F">
              <w:rPr>
                <w:rFonts w:ascii="Arial" w:eastAsia="Calibri" w:hAnsi="Arial" w:cs="Arial"/>
                <w:sz w:val="20"/>
                <w:szCs w:val="20"/>
              </w:rPr>
              <w:t xml:space="preserve"> (SNC, SC itd.) (člen</w:t>
            </w:r>
            <w:r w:rsidR="00A92488">
              <w:rPr>
                <w:rFonts w:ascii="Arial" w:eastAsia="Calibri" w:hAnsi="Arial" w:cs="Arial"/>
                <w:sz w:val="20"/>
                <w:szCs w:val="20"/>
              </w:rPr>
              <w:t> </w:t>
            </w:r>
            <w:r>
              <w:rPr>
                <w:rFonts w:ascii="Arial" w:eastAsia="Calibri" w:hAnsi="Arial" w:cs="Arial"/>
                <w:sz w:val="20"/>
                <w:szCs w:val="20"/>
              </w:rPr>
              <w:t xml:space="preserve">108 </w:t>
            </w:r>
            <w:r w:rsidRPr="002B251F">
              <w:rPr>
                <w:rFonts w:ascii="Arial" w:eastAsia="Calibri" w:hAnsi="Arial" w:cs="Arial"/>
                <w:sz w:val="20"/>
                <w:szCs w:val="20"/>
              </w:rPr>
              <w:t>CGI). Dobički</w:t>
            </w:r>
            <w:r>
              <w:rPr>
                <w:rFonts w:ascii="Arial" w:eastAsia="Calibri" w:hAnsi="Arial" w:cs="Arial"/>
                <w:sz w:val="20"/>
                <w:szCs w:val="20"/>
              </w:rPr>
              <w:t xml:space="preserve"> drugih </w:t>
            </w:r>
            <w:r w:rsidRPr="002B251F">
              <w:rPr>
                <w:rFonts w:ascii="Arial" w:eastAsia="Calibri" w:hAnsi="Arial" w:cs="Arial"/>
                <w:sz w:val="20"/>
                <w:szCs w:val="20"/>
              </w:rPr>
              <w:t>subjekt</w:t>
            </w:r>
            <w:r>
              <w:rPr>
                <w:rFonts w:ascii="Arial" w:eastAsia="Calibri" w:hAnsi="Arial" w:cs="Arial"/>
                <w:sz w:val="20"/>
                <w:szCs w:val="20"/>
              </w:rPr>
              <w:t>ov</w:t>
            </w:r>
            <w:r w:rsidRPr="002B251F">
              <w:rPr>
                <w:rFonts w:ascii="Arial" w:eastAsia="Calibri" w:hAnsi="Arial" w:cs="Arial"/>
                <w:sz w:val="20"/>
                <w:szCs w:val="20"/>
              </w:rPr>
              <w:t xml:space="preserve"> so obdavčeni neposredno v rokah njihovih posameznih </w:t>
            </w:r>
            <w:r>
              <w:rPr>
                <w:rFonts w:ascii="Arial" w:eastAsia="Calibri" w:hAnsi="Arial" w:cs="Arial"/>
                <w:sz w:val="20"/>
                <w:szCs w:val="20"/>
              </w:rPr>
              <w:t>družben</w:t>
            </w:r>
            <w:r w:rsidR="00BC6CA6">
              <w:rPr>
                <w:rFonts w:ascii="Arial" w:eastAsia="Calibri" w:hAnsi="Arial" w:cs="Arial"/>
                <w:sz w:val="20"/>
                <w:szCs w:val="20"/>
              </w:rPr>
              <w:t>i</w:t>
            </w:r>
            <w:r>
              <w:rPr>
                <w:rFonts w:ascii="Arial" w:eastAsia="Calibri" w:hAnsi="Arial" w:cs="Arial"/>
                <w:sz w:val="20"/>
                <w:szCs w:val="20"/>
              </w:rPr>
              <w:t>kov</w:t>
            </w:r>
            <w:r w:rsidRPr="002B251F">
              <w:rPr>
                <w:rFonts w:ascii="Arial" w:eastAsia="Calibri" w:hAnsi="Arial" w:cs="Arial"/>
                <w:sz w:val="20"/>
                <w:szCs w:val="20"/>
              </w:rPr>
              <w:t xml:space="preserve"> v kategoriji, ki ustreza dejavnosti subjektov (sorazmerno z deležem člana ne glede na to, ali so dobički dejansko izplačani ali ne</w:t>
            </w:r>
            <w:r w:rsidR="00A92488">
              <w:rPr>
                <w:rFonts w:ascii="Arial" w:eastAsia="Calibri" w:hAnsi="Arial" w:cs="Arial"/>
                <w:sz w:val="20"/>
                <w:szCs w:val="20"/>
              </w:rPr>
              <w:t>)</w:t>
            </w:r>
            <w:r w:rsidRPr="002B251F">
              <w:rPr>
                <w:rFonts w:ascii="Arial" w:eastAsia="Calibri" w:hAnsi="Arial" w:cs="Arial"/>
                <w:sz w:val="20"/>
                <w:szCs w:val="20"/>
              </w:rPr>
              <w:t xml:space="preserve"> (člena 109 in 111 CGI)</w:t>
            </w:r>
            <w:r>
              <w:rPr>
                <w:rFonts w:ascii="Arial" w:eastAsia="Calibri" w:hAnsi="Arial" w:cs="Arial"/>
                <w:sz w:val="20"/>
                <w:szCs w:val="20"/>
              </w:rPr>
              <w:t>.</w:t>
            </w:r>
          </w:p>
          <w:p w14:paraId="2C720E18" w14:textId="77777777" w:rsidR="002B251F" w:rsidRPr="002B251F" w:rsidRDefault="002B251F" w:rsidP="002B251F">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03F1FA4B" w14:textId="6662373B" w:rsidR="002B251F" w:rsidRPr="005259F1" w:rsidRDefault="002B251F" w:rsidP="002B251F">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2B251F">
              <w:rPr>
                <w:rFonts w:ascii="Arial" w:eastAsia="Calibri" w:hAnsi="Arial" w:cs="Arial"/>
                <w:sz w:val="20"/>
                <w:szCs w:val="20"/>
              </w:rPr>
              <w:t>Razdelitve vključujejo redne dividende (tj.</w:t>
            </w:r>
            <w:r w:rsidR="00A92488">
              <w:rPr>
                <w:rFonts w:ascii="Arial" w:eastAsia="Calibri" w:hAnsi="Arial" w:cs="Arial"/>
                <w:sz w:val="20"/>
                <w:szCs w:val="20"/>
              </w:rPr>
              <w:t> </w:t>
            </w:r>
            <w:r w:rsidRPr="002B251F">
              <w:rPr>
                <w:rFonts w:ascii="Arial" w:eastAsia="Calibri" w:hAnsi="Arial" w:cs="Arial"/>
                <w:sz w:val="20"/>
                <w:szCs w:val="20"/>
              </w:rPr>
              <w:t xml:space="preserve">zneske, izplačane iz evidentiranega dobička ali rezerv družbe, kot je določeno s sklepom </w:t>
            </w:r>
            <w:r>
              <w:rPr>
                <w:rFonts w:ascii="Arial" w:eastAsia="Calibri" w:hAnsi="Arial" w:cs="Arial"/>
                <w:sz w:val="20"/>
                <w:szCs w:val="20"/>
              </w:rPr>
              <w:t>družbenikov</w:t>
            </w:r>
            <w:r w:rsidRPr="002B251F">
              <w:rPr>
                <w:rFonts w:ascii="Arial" w:eastAsia="Calibri" w:hAnsi="Arial" w:cs="Arial"/>
                <w:sz w:val="20"/>
                <w:szCs w:val="20"/>
              </w:rPr>
              <w:t xml:space="preserve">) ter obdavčljive </w:t>
            </w:r>
            <w:r>
              <w:rPr>
                <w:rFonts w:ascii="Arial" w:eastAsia="Calibri" w:hAnsi="Arial" w:cs="Arial"/>
                <w:sz w:val="20"/>
                <w:szCs w:val="20"/>
              </w:rPr>
              <w:t xml:space="preserve">domnevne </w:t>
            </w:r>
            <w:r w:rsidRPr="002B251F">
              <w:rPr>
                <w:rFonts w:ascii="Arial" w:eastAsia="Calibri" w:hAnsi="Arial" w:cs="Arial"/>
                <w:sz w:val="20"/>
                <w:szCs w:val="20"/>
              </w:rPr>
              <w:t xml:space="preserve">razdelitve, kot so </w:t>
            </w:r>
            <w:r>
              <w:rPr>
                <w:rFonts w:ascii="Arial" w:eastAsia="Calibri" w:hAnsi="Arial" w:cs="Arial"/>
                <w:sz w:val="20"/>
                <w:szCs w:val="20"/>
              </w:rPr>
              <w:t>prihodki</w:t>
            </w:r>
            <w:r w:rsidRPr="002B251F">
              <w:rPr>
                <w:rFonts w:ascii="Arial" w:eastAsia="Calibri" w:hAnsi="Arial" w:cs="Arial"/>
                <w:sz w:val="20"/>
                <w:szCs w:val="20"/>
              </w:rPr>
              <w:t xml:space="preserve">, ki niso </w:t>
            </w:r>
            <w:r>
              <w:rPr>
                <w:rFonts w:ascii="Arial" w:eastAsia="Calibri" w:hAnsi="Arial" w:cs="Arial"/>
                <w:sz w:val="20"/>
                <w:szCs w:val="20"/>
              </w:rPr>
              <w:t>umeščeni</w:t>
            </w:r>
            <w:r w:rsidRPr="002B251F">
              <w:rPr>
                <w:rFonts w:ascii="Arial" w:eastAsia="Calibri" w:hAnsi="Arial" w:cs="Arial"/>
                <w:sz w:val="20"/>
                <w:szCs w:val="20"/>
              </w:rPr>
              <w:t xml:space="preserve"> na rezervni račun ali </w:t>
            </w:r>
            <w:r>
              <w:rPr>
                <w:rFonts w:ascii="Arial" w:eastAsia="Calibri" w:hAnsi="Arial" w:cs="Arial"/>
                <w:sz w:val="20"/>
                <w:szCs w:val="20"/>
              </w:rPr>
              <w:t xml:space="preserve">niso </w:t>
            </w:r>
            <w:r w:rsidRPr="002B251F">
              <w:rPr>
                <w:rFonts w:ascii="Arial" w:eastAsia="Calibri" w:hAnsi="Arial" w:cs="Arial"/>
                <w:sz w:val="20"/>
                <w:szCs w:val="20"/>
              </w:rPr>
              <w:t xml:space="preserve">vključeni v delniški kapital družbe, ali sredstva, ki so dana na razpolago </w:t>
            </w:r>
            <w:r>
              <w:rPr>
                <w:rFonts w:ascii="Arial" w:eastAsia="Calibri" w:hAnsi="Arial" w:cs="Arial"/>
                <w:sz w:val="20"/>
                <w:szCs w:val="20"/>
              </w:rPr>
              <w:t>družbenikom i</w:t>
            </w:r>
            <w:r w:rsidRPr="002B251F">
              <w:rPr>
                <w:rFonts w:ascii="Arial" w:eastAsia="Calibri" w:hAnsi="Arial" w:cs="Arial"/>
                <w:sz w:val="20"/>
                <w:szCs w:val="20"/>
              </w:rPr>
              <w:t xml:space="preserve">n niso izplačana iz </w:t>
            </w:r>
            <w:r>
              <w:rPr>
                <w:rFonts w:ascii="Arial" w:eastAsia="Calibri" w:hAnsi="Arial" w:cs="Arial"/>
                <w:sz w:val="20"/>
                <w:szCs w:val="20"/>
              </w:rPr>
              <w:t>prihodkov</w:t>
            </w:r>
            <w:r w:rsidRPr="002B251F">
              <w:rPr>
                <w:rFonts w:ascii="Arial" w:eastAsia="Calibri" w:hAnsi="Arial" w:cs="Arial"/>
                <w:sz w:val="20"/>
                <w:szCs w:val="20"/>
              </w:rPr>
              <w:t>.</w:t>
            </w:r>
          </w:p>
          <w:p w14:paraId="2AD13881" w14:textId="3771770B" w:rsidR="003F3B10" w:rsidRPr="00167E65" w:rsidRDefault="003F3B10"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20F1588F" w14:textId="00379587" w:rsidR="00A32737" w:rsidRPr="00A32737" w:rsidRDefault="003F3B10" w:rsidP="00A32737">
            <w:pPr>
              <w:spacing w:after="0" w:line="276" w:lineRule="auto"/>
              <w:contextualSpacing/>
              <w:jc w:val="both"/>
              <w:rPr>
                <w:rFonts w:ascii="Arial" w:eastAsia="Times New Roman" w:hAnsi="Arial" w:cs="Arial"/>
                <w:sz w:val="20"/>
                <w:szCs w:val="20"/>
                <w:lang w:eastAsia="sl-SI"/>
              </w:rPr>
            </w:pPr>
            <w:r w:rsidRPr="00A32737" w:rsidDel="004A1F87">
              <w:rPr>
                <w:rFonts w:ascii="Arial" w:eastAsia="Times New Roman" w:hAnsi="Arial" w:cs="Arial"/>
                <w:sz w:val="20"/>
                <w:szCs w:val="20"/>
                <w:lang w:eastAsia="sl-SI"/>
              </w:rPr>
              <w:t>5.</w:t>
            </w:r>
            <w:r w:rsidR="00F7435C" w:rsidDel="004A1F87">
              <w:rPr>
                <w:rFonts w:ascii="Arial" w:eastAsia="Times New Roman" w:hAnsi="Arial" w:cs="Arial"/>
                <w:sz w:val="20"/>
                <w:szCs w:val="20"/>
                <w:lang w:eastAsia="sl-SI"/>
              </w:rPr>
              <w:t>5</w:t>
            </w:r>
            <w:r w:rsidRPr="00A32737" w:rsidDel="004A1F87">
              <w:rPr>
                <w:rFonts w:ascii="Arial" w:eastAsia="Times New Roman" w:hAnsi="Arial" w:cs="Arial"/>
                <w:sz w:val="20"/>
                <w:szCs w:val="20"/>
                <w:lang w:eastAsia="sl-SI"/>
              </w:rPr>
              <w:t xml:space="preserve"> Prikaz ureditve </w:t>
            </w:r>
            <w:r w:rsidR="00A32737" w:rsidRPr="00A32737">
              <w:rPr>
                <w:rFonts w:ascii="Arial" w:eastAsia="Times New Roman" w:hAnsi="Arial" w:cs="Arial"/>
                <w:sz w:val="20"/>
                <w:szCs w:val="20"/>
                <w:lang w:eastAsia="sl-SI"/>
              </w:rPr>
              <w:t>obdavčevanja fizičnih oseb, ki opravljajo dejavnost in ugotavljajo svojo davčno osnovo na podlagi normiranih odhodkov v drugih pravnih sistemih</w:t>
            </w:r>
          </w:p>
          <w:p w14:paraId="65DF1DC5" w14:textId="77777777" w:rsidR="00A32737" w:rsidRPr="00A32737" w:rsidRDefault="00A32737" w:rsidP="00A32737">
            <w:pPr>
              <w:spacing w:after="0" w:line="276" w:lineRule="auto"/>
              <w:contextualSpacing/>
              <w:jc w:val="both"/>
              <w:rPr>
                <w:rFonts w:ascii="Arial" w:eastAsia="Times New Roman" w:hAnsi="Arial" w:cs="Arial"/>
                <w:sz w:val="20"/>
                <w:szCs w:val="20"/>
                <w:lang w:eastAsia="sl-SI"/>
              </w:rPr>
            </w:pPr>
          </w:p>
          <w:p w14:paraId="3B85F4C5" w14:textId="0501DFB1" w:rsidR="00A32737" w:rsidRPr="00A32737" w:rsidRDefault="00A32737" w:rsidP="00A32737">
            <w:pPr>
              <w:spacing w:after="0" w:line="276"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5.</w:t>
            </w:r>
            <w:r w:rsidR="004A1F87">
              <w:rPr>
                <w:rFonts w:ascii="Arial" w:eastAsia="Times New Roman" w:hAnsi="Arial" w:cs="Arial"/>
                <w:sz w:val="20"/>
                <w:szCs w:val="20"/>
                <w:lang w:eastAsia="sl-SI"/>
              </w:rPr>
              <w:t>5</w:t>
            </w:r>
            <w:r>
              <w:rPr>
                <w:rFonts w:ascii="Arial" w:eastAsia="Times New Roman" w:hAnsi="Arial" w:cs="Arial"/>
                <w:sz w:val="20"/>
                <w:szCs w:val="20"/>
                <w:lang w:eastAsia="sl-SI"/>
              </w:rPr>
              <w:t xml:space="preserve">.1 </w:t>
            </w:r>
            <w:r w:rsidRPr="00A32737">
              <w:rPr>
                <w:rFonts w:ascii="Arial" w:eastAsia="Times New Roman" w:hAnsi="Arial" w:cs="Arial"/>
                <w:sz w:val="20"/>
                <w:szCs w:val="20"/>
                <w:lang w:eastAsia="sl-SI"/>
              </w:rPr>
              <w:t>Avstrija</w:t>
            </w:r>
          </w:p>
          <w:p w14:paraId="6F870E7D" w14:textId="26C683E7" w:rsidR="00A32737" w:rsidRPr="00A32737" w:rsidRDefault="00A32737" w:rsidP="00A32737">
            <w:pPr>
              <w:spacing w:after="0" w:line="276" w:lineRule="auto"/>
              <w:contextualSpacing/>
              <w:jc w:val="both"/>
              <w:rPr>
                <w:rFonts w:ascii="Arial" w:eastAsia="Times New Roman" w:hAnsi="Arial" w:cs="Arial"/>
                <w:sz w:val="20"/>
                <w:szCs w:val="20"/>
                <w:lang w:eastAsia="sl-SI"/>
              </w:rPr>
            </w:pPr>
            <w:r w:rsidRPr="00A32737">
              <w:rPr>
                <w:rFonts w:ascii="Arial" w:eastAsia="Times New Roman" w:hAnsi="Arial" w:cs="Arial"/>
                <w:sz w:val="20"/>
                <w:szCs w:val="20"/>
                <w:lang w:eastAsia="sl-SI"/>
              </w:rPr>
              <w:t xml:space="preserve">Avstrija ima možnost uveljavljanja </w:t>
            </w:r>
            <w:r w:rsidR="00C76A7F">
              <w:rPr>
                <w:rFonts w:ascii="Arial" w:eastAsia="Times New Roman" w:hAnsi="Arial" w:cs="Arial"/>
                <w:sz w:val="20"/>
                <w:szCs w:val="20"/>
                <w:lang w:eastAsia="sl-SI"/>
              </w:rPr>
              <w:t>normiranih</w:t>
            </w:r>
            <w:r w:rsidRPr="00A32737">
              <w:rPr>
                <w:rFonts w:ascii="Arial" w:eastAsia="Times New Roman" w:hAnsi="Arial" w:cs="Arial"/>
                <w:sz w:val="20"/>
                <w:szCs w:val="20"/>
                <w:lang w:eastAsia="sl-SI"/>
              </w:rPr>
              <w:t xml:space="preserve"> odhodkov.</w:t>
            </w:r>
          </w:p>
          <w:p w14:paraId="2B43B717" w14:textId="77777777" w:rsidR="00A32737" w:rsidRPr="00A32737" w:rsidRDefault="00A32737" w:rsidP="00A32737">
            <w:pPr>
              <w:spacing w:after="0" w:line="276" w:lineRule="auto"/>
              <w:contextualSpacing/>
              <w:jc w:val="both"/>
              <w:rPr>
                <w:rFonts w:ascii="Arial" w:eastAsia="Times New Roman" w:hAnsi="Arial" w:cs="Arial"/>
                <w:sz w:val="20"/>
                <w:szCs w:val="20"/>
                <w:lang w:eastAsia="sl-SI"/>
              </w:rPr>
            </w:pPr>
          </w:p>
          <w:p w14:paraId="5FD3B390" w14:textId="77777777" w:rsidR="00A32737" w:rsidRPr="00A32737" w:rsidRDefault="00A32737" w:rsidP="00A32737">
            <w:pPr>
              <w:spacing w:after="0" w:line="276" w:lineRule="auto"/>
              <w:contextualSpacing/>
              <w:jc w:val="both"/>
              <w:rPr>
                <w:rFonts w:ascii="Arial" w:eastAsia="Times New Roman" w:hAnsi="Arial" w:cs="Arial"/>
                <w:sz w:val="20"/>
                <w:szCs w:val="20"/>
                <w:lang w:eastAsia="sl-SI"/>
              </w:rPr>
            </w:pPr>
            <w:r w:rsidRPr="00A32737">
              <w:rPr>
                <w:rFonts w:ascii="Arial" w:eastAsia="Times New Roman" w:hAnsi="Arial" w:cs="Arial"/>
                <w:sz w:val="20"/>
                <w:szCs w:val="20"/>
                <w:lang w:eastAsia="sl-SI"/>
              </w:rPr>
              <w:t>V dohodek iz dejavnosti se vključujeta dohodek iz poklicnih in drugih neodvisnih storitev ter dohodek iz trgovanja in poslovanja. Stroški, ki nastanejo v zvezi s pridobivanjem, zagotavljanjem in ohranjanjem obdavčljivega dohodka, se na splošno priznajo kot odbitek pri ugotavljanju davčne osnove.</w:t>
            </w:r>
          </w:p>
          <w:p w14:paraId="579C7CB8" w14:textId="77777777" w:rsidR="00A32737" w:rsidRPr="00A32737" w:rsidRDefault="00A32737" w:rsidP="00A32737">
            <w:pPr>
              <w:spacing w:after="0" w:line="276" w:lineRule="auto"/>
              <w:contextualSpacing/>
              <w:jc w:val="both"/>
              <w:rPr>
                <w:rFonts w:ascii="Arial" w:eastAsia="Times New Roman" w:hAnsi="Arial" w:cs="Arial"/>
                <w:sz w:val="20"/>
                <w:szCs w:val="20"/>
                <w:lang w:eastAsia="sl-SI"/>
              </w:rPr>
            </w:pPr>
          </w:p>
          <w:p w14:paraId="29697DC8" w14:textId="60EDB94F" w:rsidR="00A32737" w:rsidRPr="00A32737" w:rsidRDefault="00A32737" w:rsidP="00A32737">
            <w:pPr>
              <w:spacing w:after="0" w:line="276" w:lineRule="auto"/>
              <w:contextualSpacing/>
              <w:jc w:val="both"/>
              <w:rPr>
                <w:rFonts w:ascii="Arial" w:eastAsia="Times New Roman" w:hAnsi="Arial" w:cs="Arial"/>
                <w:sz w:val="20"/>
                <w:szCs w:val="20"/>
                <w:lang w:eastAsia="sl-SI"/>
              </w:rPr>
            </w:pPr>
            <w:r w:rsidRPr="00A32737">
              <w:rPr>
                <w:rFonts w:ascii="Arial" w:eastAsia="Times New Roman" w:hAnsi="Arial" w:cs="Arial"/>
                <w:sz w:val="20"/>
                <w:szCs w:val="20"/>
                <w:lang w:eastAsia="sl-SI"/>
              </w:rPr>
              <w:t>Poslovni dobiček se lahko izračunava po dveh metodah – po metodi plačane realizacije ali po metodi nastanka poslovnega dogodka. Dobiček se izračunava za obdobje koledarskega leta, davčni zavezanec lahko zaprosi za spremembo davčnega obdobja, ki je različno od koledarskega leta.</w:t>
            </w:r>
          </w:p>
          <w:p w14:paraId="4F0B1A74" w14:textId="77777777" w:rsidR="00A32737" w:rsidRPr="00A32737" w:rsidRDefault="00A32737" w:rsidP="00A32737">
            <w:pPr>
              <w:spacing w:after="0" w:line="276" w:lineRule="auto"/>
              <w:contextualSpacing/>
              <w:jc w:val="both"/>
              <w:rPr>
                <w:rFonts w:ascii="Arial" w:eastAsia="Times New Roman" w:hAnsi="Arial" w:cs="Arial"/>
                <w:sz w:val="20"/>
                <w:szCs w:val="20"/>
                <w:lang w:eastAsia="sl-SI"/>
              </w:rPr>
            </w:pPr>
          </w:p>
          <w:p w14:paraId="7802A1D7" w14:textId="7186DBA8" w:rsidR="00A32737" w:rsidRPr="00A32737" w:rsidRDefault="00A32737" w:rsidP="00A32737">
            <w:pPr>
              <w:spacing w:after="0" w:line="276" w:lineRule="auto"/>
              <w:contextualSpacing/>
              <w:jc w:val="both"/>
              <w:rPr>
                <w:rFonts w:ascii="Arial" w:eastAsia="Times New Roman" w:hAnsi="Arial" w:cs="Arial"/>
                <w:sz w:val="20"/>
                <w:szCs w:val="20"/>
                <w:lang w:eastAsia="sl-SI"/>
              </w:rPr>
            </w:pPr>
            <w:r w:rsidRPr="00A32737">
              <w:rPr>
                <w:rFonts w:ascii="Arial" w:eastAsia="Times New Roman" w:hAnsi="Arial" w:cs="Arial"/>
                <w:sz w:val="20"/>
                <w:szCs w:val="20"/>
                <w:lang w:eastAsia="sl-SI"/>
              </w:rPr>
              <w:t xml:space="preserve">Davčni zavezanci se lahko odločijo za uporabo poenostavljene metode plačane realizacije, če izpolnjujejo določene pogoje. Davčni zavezanci, ki jim ni treba voditi poslovnih knjig in jih ne vodijo prostovoljno in </w:t>
            </w:r>
            <w:r w:rsidRPr="00A32737">
              <w:rPr>
                <w:rFonts w:ascii="Arial" w:eastAsia="Times New Roman" w:hAnsi="Arial" w:cs="Arial"/>
                <w:sz w:val="20"/>
                <w:szCs w:val="20"/>
                <w:lang w:eastAsia="sl-SI"/>
              </w:rPr>
              <w:lastRenderedPageBreak/>
              <w:t>katerih prihodki prejšnjega leta ne presegajo 220.000</w:t>
            </w:r>
            <w:r w:rsidR="00A92488">
              <w:rPr>
                <w:rFonts w:ascii="Arial" w:eastAsia="Times New Roman" w:hAnsi="Arial" w:cs="Arial"/>
                <w:sz w:val="20"/>
                <w:szCs w:val="20"/>
                <w:lang w:eastAsia="sl-SI"/>
              </w:rPr>
              <w:t> </w:t>
            </w:r>
            <w:r w:rsidR="00C76A7F">
              <w:rPr>
                <w:rFonts w:ascii="Arial" w:eastAsia="Times New Roman" w:hAnsi="Arial" w:cs="Arial"/>
                <w:sz w:val="20"/>
                <w:szCs w:val="20"/>
                <w:lang w:eastAsia="sl-SI"/>
              </w:rPr>
              <w:t xml:space="preserve">EUR </w:t>
            </w:r>
            <w:r w:rsidRPr="00A32737">
              <w:rPr>
                <w:rFonts w:ascii="Arial" w:eastAsia="Times New Roman" w:hAnsi="Arial" w:cs="Arial"/>
                <w:sz w:val="20"/>
                <w:szCs w:val="20"/>
                <w:lang w:eastAsia="sl-SI"/>
              </w:rPr>
              <w:t xml:space="preserve">ter ki pridobivajo prihodke izključno iz trgovanja, poslovanja ali iz poklicnih storitev, lahko ugotavljajo svoje dohodke na podlagi normiranih </w:t>
            </w:r>
            <w:r w:rsidR="00C76A7F">
              <w:rPr>
                <w:rFonts w:ascii="Arial" w:eastAsia="Times New Roman" w:hAnsi="Arial" w:cs="Arial"/>
                <w:sz w:val="20"/>
                <w:szCs w:val="20"/>
                <w:lang w:eastAsia="sl-SI"/>
              </w:rPr>
              <w:t>odhodkov</w:t>
            </w:r>
            <w:r w:rsidRPr="00A32737">
              <w:rPr>
                <w:rFonts w:ascii="Arial" w:eastAsia="Times New Roman" w:hAnsi="Arial" w:cs="Arial"/>
                <w:sz w:val="20"/>
                <w:szCs w:val="20"/>
                <w:lang w:eastAsia="sl-SI"/>
              </w:rPr>
              <w:t xml:space="preserve">, namesto da bi odšteli dejanske </w:t>
            </w:r>
            <w:r w:rsidR="00C76A7F">
              <w:rPr>
                <w:rFonts w:ascii="Arial" w:eastAsia="Times New Roman" w:hAnsi="Arial" w:cs="Arial"/>
                <w:sz w:val="20"/>
                <w:szCs w:val="20"/>
                <w:lang w:eastAsia="sl-SI"/>
              </w:rPr>
              <w:t>odhodke</w:t>
            </w:r>
            <w:r w:rsidRPr="00A32737">
              <w:rPr>
                <w:rFonts w:ascii="Arial" w:eastAsia="Times New Roman" w:hAnsi="Arial" w:cs="Arial"/>
                <w:sz w:val="20"/>
                <w:szCs w:val="20"/>
                <w:lang w:eastAsia="sl-SI"/>
              </w:rPr>
              <w:t xml:space="preserve">. Taki </w:t>
            </w:r>
            <w:r w:rsidR="00C76A7F">
              <w:rPr>
                <w:rFonts w:ascii="Arial" w:eastAsia="Times New Roman" w:hAnsi="Arial" w:cs="Arial"/>
                <w:sz w:val="20"/>
                <w:szCs w:val="20"/>
                <w:lang w:eastAsia="sl-SI"/>
              </w:rPr>
              <w:t xml:space="preserve">odhodki </w:t>
            </w:r>
            <w:r w:rsidRPr="00A32737">
              <w:rPr>
                <w:rFonts w:ascii="Arial" w:eastAsia="Times New Roman" w:hAnsi="Arial" w:cs="Arial"/>
                <w:sz w:val="20"/>
                <w:szCs w:val="20"/>
                <w:lang w:eastAsia="sl-SI"/>
              </w:rPr>
              <w:t xml:space="preserve">se izračunajo kot odstotek od bruto </w:t>
            </w:r>
            <w:r w:rsidR="00C76A7F">
              <w:rPr>
                <w:rFonts w:ascii="Arial" w:eastAsia="Times New Roman" w:hAnsi="Arial" w:cs="Arial"/>
                <w:sz w:val="20"/>
                <w:szCs w:val="20"/>
                <w:lang w:eastAsia="sl-SI"/>
              </w:rPr>
              <w:t>prihodka</w:t>
            </w:r>
            <w:r w:rsidRPr="00A32737">
              <w:rPr>
                <w:rFonts w:ascii="Arial" w:eastAsia="Times New Roman" w:hAnsi="Arial" w:cs="Arial"/>
                <w:sz w:val="20"/>
                <w:szCs w:val="20"/>
                <w:lang w:eastAsia="sl-SI"/>
              </w:rPr>
              <w:t xml:space="preserve"> in se na splošno gibljejo od 6</w:t>
            </w:r>
            <w:r w:rsidR="00A92488">
              <w:rPr>
                <w:rFonts w:ascii="Arial" w:eastAsia="Times New Roman" w:hAnsi="Arial" w:cs="Arial"/>
                <w:sz w:val="20"/>
                <w:szCs w:val="20"/>
                <w:lang w:eastAsia="sl-SI"/>
              </w:rPr>
              <w:t> </w:t>
            </w:r>
            <w:r w:rsidRPr="00A32737">
              <w:rPr>
                <w:rFonts w:ascii="Arial" w:eastAsia="Times New Roman" w:hAnsi="Arial" w:cs="Arial"/>
                <w:sz w:val="20"/>
                <w:szCs w:val="20"/>
                <w:lang w:eastAsia="sl-SI"/>
              </w:rPr>
              <w:t>% (za dejavnost poučevanja in znanstveno dejavnost) do 12</w:t>
            </w:r>
            <w:r w:rsidR="00A92488">
              <w:rPr>
                <w:rFonts w:ascii="Arial" w:eastAsia="Times New Roman" w:hAnsi="Arial" w:cs="Arial"/>
                <w:sz w:val="20"/>
                <w:szCs w:val="20"/>
                <w:lang w:eastAsia="sl-SI"/>
              </w:rPr>
              <w:t> </w:t>
            </w:r>
            <w:r w:rsidRPr="00A32737">
              <w:rPr>
                <w:rFonts w:ascii="Arial" w:eastAsia="Times New Roman" w:hAnsi="Arial" w:cs="Arial"/>
                <w:sz w:val="20"/>
                <w:szCs w:val="20"/>
                <w:lang w:eastAsia="sl-SI"/>
              </w:rPr>
              <w:t xml:space="preserve">% (za dohodek iz dejavnosti na splošno), največ </w:t>
            </w:r>
            <w:r w:rsidR="00A92488">
              <w:rPr>
                <w:rFonts w:ascii="Arial" w:eastAsia="Times New Roman" w:hAnsi="Arial" w:cs="Arial"/>
                <w:sz w:val="20"/>
                <w:szCs w:val="20"/>
                <w:lang w:eastAsia="sl-SI"/>
              </w:rPr>
              <w:t xml:space="preserve">pa </w:t>
            </w:r>
            <w:r w:rsidRPr="00A32737">
              <w:rPr>
                <w:rFonts w:ascii="Arial" w:eastAsia="Times New Roman" w:hAnsi="Arial" w:cs="Arial"/>
                <w:sz w:val="20"/>
                <w:szCs w:val="20"/>
                <w:lang w:eastAsia="sl-SI"/>
              </w:rPr>
              <w:t>za 12</w:t>
            </w:r>
            <w:r w:rsidR="00A92488">
              <w:rPr>
                <w:rFonts w:ascii="Arial" w:eastAsia="Times New Roman" w:hAnsi="Arial" w:cs="Arial"/>
                <w:sz w:val="20"/>
                <w:szCs w:val="20"/>
                <w:lang w:eastAsia="sl-SI"/>
              </w:rPr>
              <w:t> </w:t>
            </w:r>
            <w:r w:rsidRPr="00A32737">
              <w:rPr>
                <w:rFonts w:ascii="Arial" w:eastAsia="Times New Roman" w:hAnsi="Arial" w:cs="Arial"/>
                <w:sz w:val="20"/>
                <w:szCs w:val="20"/>
                <w:lang w:eastAsia="sl-SI"/>
              </w:rPr>
              <w:t>% ali 6</w:t>
            </w:r>
            <w:r w:rsidR="00A92488">
              <w:rPr>
                <w:rFonts w:ascii="Arial" w:eastAsia="Times New Roman" w:hAnsi="Arial" w:cs="Arial"/>
                <w:sz w:val="20"/>
                <w:szCs w:val="20"/>
                <w:lang w:eastAsia="sl-SI"/>
              </w:rPr>
              <w:t> </w:t>
            </w:r>
            <w:r w:rsidRPr="00A32737">
              <w:rPr>
                <w:rFonts w:ascii="Arial" w:eastAsia="Times New Roman" w:hAnsi="Arial" w:cs="Arial"/>
                <w:sz w:val="20"/>
                <w:szCs w:val="20"/>
                <w:lang w:eastAsia="sl-SI"/>
              </w:rPr>
              <w:t>% od 220.000</w:t>
            </w:r>
            <w:r w:rsidR="00A92488">
              <w:rPr>
                <w:rFonts w:ascii="Arial" w:eastAsia="Times New Roman" w:hAnsi="Arial" w:cs="Arial"/>
                <w:sz w:val="20"/>
                <w:szCs w:val="20"/>
                <w:lang w:eastAsia="sl-SI"/>
              </w:rPr>
              <w:t> </w:t>
            </w:r>
            <w:r w:rsidR="00C76A7F">
              <w:rPr>
                <w:rFonts w:ascii="Arial" w:eastAsia="Times New Roman" w:hAnsi="Arial" w:cs="Arial"/>
                <w:sz w:val="20"/>
                <w:szCs w:val="20"/>
                <w:lang w:eastAsia="sl-SI"/>
              </w:rPr>
              <w:t>EUR</w:t>
            </w:r>
            <w:r w:rsidRPr="00A32737">
              <w:rPr>
                <w:rFonts w:ascii="Arial" w:eastAsia="Times New Roman" w:hAnsi="Arial" w:cs="Arial"/>
                <w:sz w:val="20"/>
                <w:szCs w:val="20"/>
                <w:lang w:eastAsia="sl-SI"/>
              </w:rPr>
              <w:t>. Poleg normiranih odhodkov lahko upoštevajo tudi dejanske odhodke pri naslednjih kategorijah: stroški prodaje, surovine, stroški polproduktov, plače</w:t>
            </w:r>
            <w:r w:rsidR="00C76A7F">
              <w:rPr>
                <w:rFonts w:ascii="Arial" w:eastAsia="Times New Roman" w:hAnsi="Arial" w:cs="Arial"/>
                <w:sz w:val="20"/>
                <w:szCs w:val="20"/>
                <w:lang w:eastAsia="sl-SI"/>
              </w:rPr>
              <w:t>, stroški obveznih prispevkov za socialna zavarovanja</w:t>
            </w:r>
            <w:r w:rsidRPr="00A32737">
              <w:rPr>
                <w:rFonts w:ascii="Arial" w:eastAsia="Times New Roman" w:hAnsi="Arial" w:cs="Arial"/>
                <w:sz w:val="20"/>
                <w:szCs w:val="20"/>
                <w:lang w:eastAsia="sl-SI"/>
              </w:rPr>
              <w:t>.</w:t>
            </w:r>
          </w:p>
          <w:p w14:paraId="18079CCF" w14:textId="77777777" w:rsidR="00A32737" w:rsidRPr="00A32737" w:rsidRDefault="00A32737" w:rsidP="00A32737">
            <w:pPr>
              <w:spacing w:after="0" w:line="276" w:lineRule="auto"/>
              <w:contextualSpacing/>
              <w:jc w:val="both"/>
              <w:rPr>
                <w:rFonts w:ascii="Arial" w:eastAsia="Times New Roman" w:hAnsi="Arial" w:cs="Arial"/>
                <w:sz w:val="20"/>
                <w:szCs w:val="20"/>
                <w:lang w:eastAsia="sl-SI"/>
              </w:rPr>
            </w:pPr>
          </w:p>
          <w:p w14:paraId="771773A8" w14:textId="6F700553" w:rsidR="00A32737" w:rsidRDefault="00A32737" w:rsidP="00A32737">
            <w:pPr>
              <w:spacing w:after="0" w:line="276"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5.</w:t>
            </w:r>
            <w:r w:rsidR="004A1F87">
              <w:rPr>
                <w:rFonts w:ascii="Arial" w:eastAsia="Times New Roman" w:hAnsi="Arial" w:cs="Arial"/>
                <w:sz w:val="20"/>
                <w:szCs w:val="20"/>
                <w:lang w:eastAsia="sl-SI"/>
              </w:rPr>
              <w:t>5</w:t>
            </w:r>
            <w:r>
              <w:rPr>
                <w:rFonts w:ascii="Arial" w:eastAsia="Times New Roman" w:hAnsi="Arial" w:cs="Arial"/>
                <w:sz w:val="20"/>
                <w:szCs w:val="20"/>
                <w:lang w:eastAsia="sl-SI"/>
              </w:rPr>
              <w:t xml:space="preserve">.2 </w:t>
            </w:r>
            <w:r w:rsidR="00C76A7F">
              <w:rPr>
                <w:rFonts w:ascii="Arial" w:eastAsia="Times New Roman" w:hAnsi="Arial" w:cs="Arial"/>
                <w:sz w:val="20"/>
                <w:szCs w:val="20"/>
                <w:lang w:eastAsia="sl-SI"/>
              </w:rPr>
              <w:t>Italija</w:t>
            </w:r>
          </w:p>
          <w:p w14:paraId="7F0CBF4A" w14:textId="674B313D" w:rsidR="009F07AF" w:rsidRDefault="009F07AF" w:rsidP="00A32737">
            <w:pPr>
              <w:spacing w:after="0" w:line="276"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Italija </w:t>
            </w:r>
            <w:r w:rsidRPr="009F07AF">
              <w:rPr>
                <w:rFonts w:ascii="Arial" w:eastAsia="Times New Roman" w:hAnsi="Arial" w:cs="Arial"/>
                <w:sz w:val="20"/>
                <w:szCs w:val="20"/>
                <w:lang w:eastAsia="sl-SI"/>
              </w:rPr>
              <w:t>ima možnost uveljavljanja normiranih odhodkov.</w:t>
            </w:r>
          </w:p>
          <w:p w14:paraId="4AACE0CE" w14:textId="77777777" w:rsidR="009F07AF" w:rsidRDefault="009F07AF" w:rsidP="00A32737">
            <w:pPr>
              <w:spacing w:after="0" w:line="276" w:lineRule="auto"/>
              <w:contextualSpacing/>
              <w:jc w:val="both"/>
              <w:rPr>
                <w:rFonts w:ascii="Arial" w:eastAsia="Times New Roman" w:hAnsi="Arial" w:cs="Arial"/>
                <w:sz w:val="20"/>
                <w:szCs w:val="20"/>
                <w:lang w:eastAsia="sl-SI"/>
              </w:rPr>
            </w:pPr>
          </w:p>
          <w:p w14:paraId="6BA346DC" w14:textId="5DA5AD79" w:rsidR="009F07AF" w:rsidRDefault="009F07AF" w:rsidP="00A32737">
            <w:pPr>
              <w:spacing w:after="0" w:line="276" w:lineRule="auto"/>
              <w:contextualSpacing/>
              <w:jc w:val="both"/>
              <w:rPr>
                <w:rFonts w:ascii="Arial" w:eastAsia="Times New Roman" w:hAnsi="Arial" w:cs="Arial"/>
                <w:sz w:val="20"/>
                <w:szCs w:val="20"/>
                <w:lang w:eastAsia="sl-SI"/>
              </w:rPr>
            </w:pPr>
            <w:proofErr w:type="spellStart"/>
            <w:r w:rsidRPr="009F07AF">
              <w:rPr>
                <w:rFonts w:ascii="Arial" w:eastAsia="Times New Roman" w:hAnsi="Arial" w:cs="Arial"/>
                <w:sz w:val="20"/>
                <w:szCs w:val="20"/>
                <w:lang w:eastAsia="sl-SI"/>
              </w:rPr>
              <w:t>Mikro</w:t>
            </w:r>
            <w:proofErr w:type="spellEnd"/>
            <w:r w:rsidRPr="009F07AF">
              <w:rPr>
                <w:rFonts w:ascii="Arial" w:eastAsia="Times New Roman" w:hAnsi="Arial" w:cs="Arial"/>
                <w:sz w:val="20"/>
                <w:szCs w:val="20"/>
                <w:lang w:eastAsia="sl-SI"/>
              </w:rPr>
              <w:t xml:space="preserve"> podjetja</w:t>
            </w:r>
            <w:r>
              <w:rPr>
                <w:rFonts w:ascii="Arial" w:eastAsia="Times New Roman" w:hAnsi="Arial" w:cs="Arial"/>
                <w:sz w:val="20"/>
                <w:szCs w:val="20"/>
                <w:lang w:eastAsia="sl-SI"/>
              </w:rPr>
              <w:t>,</w:t>
            </w:r>
            <w:r w:rsidRPr="009F07AF">
              <w:rPr>
                <w:rFonts w:ascii="Arial" w:eastAsia="Times New Roman" w:hAnsi="Arial" w:cs="Arial"/>
                <w:sz w:val="20"/>
                <w:szCs w:val="20"/>
                <w:lang w:eastAsia="sl-SI"/>
              </w:rPr>
              <w:t xml:space="preserve"> ki uporabljajo poenostavljen računovodski sistem</w:t>
            </w:r>
            <w:r>
              <w:rPr>
                <w:rFonts w:ascii="Arial" w:eastAsia="Times New Roman" w:hAnsi="Arial" w:cs="Arial"/>
                <w:sz w:val="20"/>
                <w:szCs w:val="20"/>
                <w:lang w:eastAsia="sl-SI"/>
              </w:rPr>
              <w:t xml:space="preserve">, se lahko </w:t>
            </w:r>
            <w:r w:rsidRPr="009F07AF">
              <w:rPr>
                <w:rFonts w:ascii="Arial" w:eastAsia="Times New Roman" w:hAnsi="Arial" w:cs="Arial"/>
                <w:sz w:val="20"/>
                <w:szCs w:val="20"/>
                <w:lang w:eastAsia="sl-SI"/>
              </w:rPr>
              <w:t>odločijo za uporabo poenostavljene metode plačane realizacije</w:t>
            </w:r>
            <w:r w:rsidR="00A92488">
              <w:rPr>
                <w:rFonts w:ascii="Arial" w:eastAsia="Times New Roman" w:hAnsi="Arial" w:cs="Arial"/>
                <w:sz w:val="20"/>
                <w:szCs w:val="20"/>
                <w:lang w:eastAsia="sl-SI"/>
              </w:rPr>
              <w:t>.</w:t>
            </w:r>
          </w:p>
          <w:p w14:paraId="5BC36001" w14:textId="7146E0F3" w:rsidR="009F07AF" w:rsidRDefault="009F07AF" w:rsidP="00A32737">
            <w:pPr>
              <w:spacing w:after="0" w:line="276" w:lineRule="auto"/>
              <w:contextualSpacing/>
              <w:jc w:val="both"/>
              <w:rPr>
                <w:rFonts w:ascii="Arial" w:eastAsia="Times New Roman" w:hAnsi="Arial" w:cs="Arial"/>
                <w:sz w:val="20"/>
                <w:szCs w:val="20"/>
                <w:lang w:eastAsia="sl-SI"/>
              </w:rPr>
            </w:pPr>
          </w:p>
          <w:p w14:paraId="03544A25" w14:textId="7EC80005" w:rsidR="009F07AF" w:rsidRPr="009F07AF" w:rsidRDefault="009F07AF" w:rsidP="009F07AF">
            <w:pPr>
              <w:spacing w:after="0" w:line="276"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Subjekti, ki izpolnjujejo pogoje:</w:t>
            </w:r>
          </w:p>
          <w:p w14:paraId="354D381B" w14:textId="37FCD519" w:rsidR="009F07AF" w:rsidRPr="009F07AF" w:rsidRDefault="009F07AF" w:rsidP="00076F4A">
            <w:pPr>
              <w:pStyle w:val="Odstavekseznama"/>
              <w:numPr>
                <w:ilvl w:val="0"/>
                <w:numId w:val="27"/>
              </w:numPr>
              <w:spacing w:line="276" w:lineRule="auto"/>
              <w:contextualSpacing/>
              <w:jc w:val="both"/>
              <w:rPr>
                <w:rFonts w:ascii="Arial" w:hAnsi="Arial" w:cs="Arial"/>
                <w:sz w:val="20"/>
                <w:szCs w:val="20"/>
              </w:rPr>
            </w:pPr>
            <w:r w:rsidRPr="009F07AF">
              <w:rPr>
                <w:rFonts w:ascii="Arial" w:hAnsi="Arial" w:cs="Arial"/>
                <w:sz w:val="20"/>
                <w:szCs w:val="20"/>
              </w:rPr>
              <w:t>poslovni prihodki, zasluženi v preteklem davčnem letu, ne presegajo 65.000</w:t>
            </w:r>
            <w:r w:rsidR="00A92488">
              <w:rPr>
                <w:rFonts w:ascii="Arial" w:hAnsi="Arial" w:cs="Arial"/>
                <w:sz w:val="20"/>
                <w:szCs w:val="20"/>
              </w:rPr>
              <w:t> </w:t>
            </w:r>
            <w:r w:rsidRPr="009F07AF">
              <w:rPr>
                <w:rFonts w:ascii="Arial" w:hAnsi="Arial" w:cs="Arial"/>
                <w:sz w:val="20"/>
                <w:szCs w:val="20"/>
              </w:rPr>
              <w:t>EUR,</w:t>
            </w:r>
          </w:p>
          <w:p w14:paraId="6E6E2B10" w14:textId="7987E743" w:rsidR="009F07AF" w:rsidRPr="009F07AF" w:rsidRDefault="009F07AF" w:rsidP="00076F4A">
            <w:pPr>
              <w:pStyle w:val="Odstavekseznama"/>
              <w:numPr>
                <w:ilvl w:val="0"/>
                <w:numId w:val="27"/>
              </w:numPr>
              <w:spacing w:line="276" w:lineRule="auto"/>
              <w:contextualSpacing/>
              <w:jc w:val="both"/>
              <w:rPr>
                <w:rFonts w:ascii="Arial" w:hAnsi="Arial" w:cs="Arial"/>
                <w:sz w:val="20"/>
                <w:szCs w:val="20"/>
              </w:rPr>
            </w:pPr>
            <w:r w:rsidRPr="009F07AF">
              <w:rPr>
                <w:rFonts w:ascii="Arial" w:hAnsi="Arial" w:cs="Arial"/>
                <w:sz w:val="20"/>
                <w:szCs w:val="20"/>
              </w:rPr>
              <w:t>stroški dela v preteklem davčnem letu ne presegajo 20.000</w:t>
            </w:r>
            <w:r w:rsidR="00A92488">
              <w:rPr>
                <w:rFonts w:ascii="Arial" w:hAnsi="Arial" w:cs="Arial"/>
                <w:sz w:val="20"/>
                <w:szCs w:val="20"/>
              </w:rPr>
              <w:t> </w:t>
            </w:r>
            <w:r w:rsidRPr="009F07AF">
              <w:rPr>
                <w:rFonts w:ascii="Arial" w:hAnsi="Arial" w:cs="Arial"/>
                <w:sz w:val="20"/>
                <w:szCs w:val="20"/>
              </w:rPr>
              <w:t>EUR in</w:t>
            </w:r>
          </w:p>
          <w:p w14:paraId="1376FB0D" w14:textId="3C4F526E" w:rsidR="009F07AF" w:rsidRPr="009F07AF" w:rsidRDefault="009F07AF" w:rsidP="00076F4A">
            <w:pPr>
              <w:pStyle w:val="Odstavekseznama"/>
              <w:numPr>
                <w:ilvl w:val="0"/>
                <w:numId w:val="27"/>
              </w:numPr>
              <w:spacing w:line="276" w:lineRule="auto"/>
              <w:contextualSpacing/>
              <w:jc w:val="both"/>
              <w:rPr>
                <w:rFonts w:ascii="Arial" w:hAnsi="Arial" w:cs="Arial"/>
                <w:sz w:val="20"/>
                <w:szCs w:val="20"/>
              </w:rPr>
            </w:pPr>
            <w:r w:rsidRPr="009F07AF">
              <w:rPr>
                <w:rFonts w:ascii="Arial" w:hAnsi="Arial" w:cs="Arial"/>
                <w:sz w:val="20"/>
                <w:szCs w:val="20"/>
              </w:rPr>
              <w:t>ni zavezanosti za DDV,</w:t>
            </w:r>
          </w:p>
          <w:p w14:paraId="46A8C157" w14:textId="67BB16B1" w:rsidR="009F07AF" w:rsidRPr="009F07AF" w:rsidRDefault="009F07AF" w:rsidP="009F07AF">
            <w:pPr>
              <w:spacing w:after="0" w:line="276"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lahko ugotavljajo davčno osnovo z upoštevanjem normiranih odhodkov.</w:t>
            </w:r>
          </w:p>
          <w:p w14:paraId="5689ED79" w14:textId="77777777" w:rsidR="009F07AF" w:rsidRPr="009F07AF" w:rsidRDefault="009F07AF" w:rsidP="009F07AF">
            <w:pPr>
              <w:spacing w:after="0" w:line="276" w:lineRule="auto"/>
              <w:contextualSpacing/>
              <w:jc w:val="both"/>
              <w:rPr>
                <w:rFonts w:ascii="Arial" w:eastAsia="Times New Roman" w:hAnsi="Arial" w:cs="Arial"/>
                <w:sz w:val="20"/>
                <w:szCs w:val="20"/>
                <w:lang w:eastAsia="sl-SI"/>
              </w:rPr>
            </w:pPr>
          </w:p>
          <w:p w14:paraId="4730BB45" w14:textId="49625AAB" w:rsidR="009F07AF" w:rsidRPr="00A32737" w:rsidRDefault="009F07AF" w:rsidP="009F07AF">
            <w:pPr>
              <w:spacing w:after="0" w:line="276" w:lineRule="auto"/>
              <w:contextualSpacing/>
              <w:jc w:val="both"/>
              <w:rPr>
                <w:rFonts w:ascii="Arial" w:eastAsia="Times New Roman" w:hAnsi="Arial" w:cs="Arial"/>
                <w:sz w:val="20"/>
                <w:szCs w:val="20"/>
                <w:lang w:eastAsia="sl-SI"/>
              </w:rPr>
            </w:pPr>
            <w:r w:rsidRPr="009F07AF">
              <w:rPr>
                <w:rFonts w:ascii="Arial" w:eastAsia="Times New Roman" w:hAnsi="Arial" w:cs="Arial"/>
                <w:sz w:val="20"/>
                <w:szCs w:val="20"/>
                <w:lang w:eastAsia="sl-SI"/>
              </w:rPr>
              <w:t>Znesek prejetih prihodkov se zmanjša za normirane odhodke, določene v odstotku od prihodkov (odstotek se razlikuje glede na dejavnost) ne glede na dejanske odhodke. Davčna stopnja je 5</w:t>
            </w:r>
            <w:r w:rsidR="00A92488">
              <w:rPr>
                <w:rFonts w:ascii="Arial" w:eastAsia="Times New Roman" w:hAnsi="Arial" w:cs="Arial"/>
                <w:sz w:val="20"/>
                <w:szCs w:val="20"/>
                <w:lang w:eastAsia="sl-SI"/>
              </w:rPr>
              <w:t> </w:t>
            </w:r>
            <w:r w:rsidRPr="009F07AF">
              <w:rPr>
                <w:rFonts w:ascii="Arial" w:eastAsia="Times New Roman" w:hAnsi="Arial" w:cs="Arial"/>
                <w:sz w:val="20"/>
                <w:szCs w:val="20"/>
                <w:lang w:eastAsia="sl-SI"/>
              </w:rPr>
              <w:t>% za prvih 5let nove dejavnosti oziroma v vseh drugih primerih 15</w:t>
            </w:r>
            <w:r w:rsidR="00A92488">
              <w:rPr>
                <w:rFonts w:ascii="Arial" w:eastAsia="Times New Roman" w:hAnsi="Arial" w:cs="Arial"/>
                <w:sz w:val="20"/>
                <w:szCs w:val="20"/>
                <w:lang w:eastAsia="sl-SI"/>
              </w:rPr>
              <w:t> </w:t>
            </w:r>
            <w:r w:rsidRPr="009F07AF">
              <w:rPr>
                <w:rFonts w:ascii="Arial" w:eastAsia="Times New Roman" w:hAnsi="Arial" w:cs="Arial"/>
                <w:sz w:val="20"/>
                <w:szCs w:val="20"/>
                <w:lang w:eastAsia="sl-SI"/>
              </w:rPr>
              <w:t>%.</w:t>
            </w:r>
          </w:p>
          <w:p w14:paraId="2C5B219F" w14:textId="77777777" w:rsidR="00A32737" w:rsidRPr="00A32737" w:rsidRDefault="00A32737" w:rsidP="00A32737">
            <w:pPr>
              <w:spacing w:after="0" w:line="276" w:lineRule="auto"/>
              <w:contextualSpacing/>
              <w:jc w:val="both"/>
              <w:rPr>
                <w:rFonts w:ascii="Arial" w:eastAsia="Times New Roman" w:hAnsi="Arial" w:cs="Arial"/>
                <w:sz w:val="20"/>
                <w:szCs w:val="20"/>
                <w:lang w:eastAsia="sl-SI"/>
              </w:rPr>
            </w:pPr>
          </w:p>
          <w:p w14:paraId="3F259EC3" w14:textId="69C7E3C4" w:rsidR="00A32737" w:rsidRPr="00A32737" w:rsidRDefault="00A32737" w:rsidP="00A32737">
            <w:pPr>
              <w:spacing w:after="0" w:line="276"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5.</w:t>
            </w:r>
            <w:r w:rsidR="00B531DF">
              <w:rPr>
                <w:rFonts w:ascii="Arial" w:eastAsia="Times New Roman" w:hAnsi="Arial" w:cs="Arial"/>
                <w:sz w:val="20"/>
                <w:szCs w:val="20"/>
                <w:lang w:eastAsia="sl-SI"/>
              </w:rPr>
              <w:t>5</w:t>
            </w:r>
            <w:r>
              <w:rPr>
                <w:rFonts w:ascii="Arial" w:eastAsia="Times New Roman" w:hAnsi="Arial" w:cs="Arial"/>
                <w:sz w:val="20"/>
                <w:szCs w:val="20"/>
                <w:lang w:eastAsia="sl-SI"/>
              </w:rPr>
              <w:t>.</w:t>
            </w:r>
            <w:r w:rsidR="00605044">
              <w:rPr>
                <w:rFonts w:ascii="Arial" w:eastAsia="Times New Roman" w:hAnsi="Arial" w:cs="Arial"/>
                <w:sz w:val="20"/>
                <w:szCs w:val="20"/>
                <w:lang w:eastAsia="sl-SI"/>
              </w:rPr>
              <w:t>3</w:t>
            </w:r>
            <w:r>
              <w:rPr>
                <w:rFonts w:ascii="Arial" w:eastAsia="Times New Roman" w:hAnsi="Arial" w:cs="Arial"/>
                <w:sz w:val="20"/>
                <w:szCs w:val="20"/>
                <w:lang w:eastAsia="sl-SI"/>
              </w:rPr>
              <w:t xml:space="preserve"> </w:t>
            </w:r>
            <w:r w:rsidR="001A24E9">
              <w:rPr>
                <w:rFonts w:ascii="Arial" w:eastAsia="Times New Roman" w:hAnsi="Arial" w:cs="Arial"/>
                <w:sz w:val="20"/>
                <w:szCs w:val="20"/>
                <w:lang w:eastAsia="sl-SI"/>
              </w:rPr>
              <w:t>Belgija</w:t>
            </w:r>
          </w:p>
          <w:p w14:paraId="2DBF2688" w14:textId="77777777" w:rsidR="001A24E9" w:rsidRDefault="001A24E9" w:rsidP="001A24E9">
            <w:pPr>
              <w:spacing w:after="0" w:line="276"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Belgija ima možnost uveljavljanja normiranih odhodkov za poklicne dejavnosti.</w:t>
            </w:r>
          </w:p>
          <w:p w14:paraId="7E639E3D" w14:textId="77777777" w:rsidR="001A24E9" w:rsidRPr="001A24E9" w:rsidRDefault="001A24E9" w:rsidP="001A24E9">
            <w:pPr>
              <w:spacing w:after="0" w:line="276" w:lineRule="auto"/>
              <w:contextualSpacing/>
              <w:jc w:val="both"/>
              <w:rPr>
                <w:rFonts w:ascii="Arial" w:eastAsia="Times New Roman" w:hAnsi="Arial" w:cs="Arial"/>
                <w:sz w:val="20"/>
                <w:szCs w:val="20"/>
                <w:lang w:eastAsia="sl-SI"/>
              </w:rPr>
            </w:pPr>
          </w:p>
          <w:p w14:paraId="4EBA82DE" w14:textId="2DCADB4C" w:rsidR="001A24E9" w:rsidRPr="001A24E9" w:rsidRDefault="001A24E9" w:rsidP="001A24E9">
            <w:pPr>
              <w:spacing w:after="0" w:line="276"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Normiran</w:t>
            </w:r>
            <w:r w:rsidR="00117E7A">
              <w:rPr>
                <w:rFonts w:ascii="Arial" w:eastAsia="Times New Roman" w:hAnsi="Arial" w:cs="Arial"/>
                <w:sz w:val="20"/>
                <w:szCs w:val="20"/>
                <w:lang w:eastAsia="sl-SI"/>
              </w:rPr>
              <w:t>e</w:t>
            </w:r>
            <w:r>
              <w:rPr>
                <w:rFonts w:ascii="Arial" w:eastAsia="Times New Roman" w:hAnsi="Arial" w:cs="Arial"/>
                <w:sz w:val="20"/>
                <w:szCs w:val="20"/>
                <w:lang w:eastAsia="sl-SI"/>
              </w:rPr>
              <w:t xml:space="preserve"> odhodk</w:t>
            </w:r>
            <w:r w:rsidR="00117E7A">
              <w:rPr>
                <w:rFonts w:ascii="Arial" w:eastAsia="Times New Roman" w:hAnsi="Arial" w:cs="Arial"/>
                <w:sz w:val="20"/>
                <w:szCs w:val="20"/>
                <w:lang w:eastAsia="sl-SI"/>
              </w:rPr>
              <w:t>e</w:t>
            </w:r>
            <w:r>
              <w:rPr>
                <w:rFonts w:ascii="Arial" w:eastAsia="Times New Roman" w:hAnsi="Arial" w:cs="Arial"/>
                <w:sz w:val="20"/>
                <w:szCs w:val="20"/>
                <w:lang w:eastAsia="sl-SI"/>
              </w:rPr>
              <w:t xml:space="preserve"> ki so priznani pri dohodkih iz zaposlitve, je mo</w:t>
            </w:r>
            <w:r w:rsidR="00A92488">
              <w:rPr>
                <w:rFonts w:ascii="Arial" w:eastAsia="Times New Roman" w:hAnsi="Arial" w:cs="Arial"/>
                <w:sz w:val="20"/>
                <w:szCs w:val="20"/>
                <w:lang w:eastAsia="sl-SI"/>
              </w:rPr>
              <w:t>goče</w:t>
            </w:r>
            <w:r>
              <w:rPr>
                <w:rFonts w:ascii="Arial" w:eastAsia="Times New Roman" w:hAnsi="Arial" w:cs="Arial"/>
                <w:sz w:val="20"/>
                <w:szCs w:val="20"/>
                <w:lang w:eastAsia="sl-SI"/>
              </w:rPr>
              <w:t xml:space="preserve"> uveljaviti tudi pri poklicnih dejavnostih </w:t>
            </w:r>
            <w:r w:rsidRPr="001A24E9">
              <w:rPr>
                <w:rFonts w:ascii="Arial" w:eastAsia="Times New Roman" w:hAnsi="Arial" w:cs="Arial"/>
                <w:sz w:val="20"/>
                <w:szCs w:val="20"/>
                <w:lang w:eastAsia="sl-SI"/>
              </w:rPr>
              <w:t>(30</w:t>
            </w:r>
            <w:r w:rsidR="00A92488">
              <w:rPr>
                <w:rFonts w:ascii="Arial" w:eastAsia="Times New Roman" w:hAnsi="Arial" w:cs="Arial"/>
                <w:sz w:val="20"/>
                <w:szCs w:val="20"/>
                <w:lang w:eastAsia="sl-SI"/>
              </w:rPr>
              <w:t> </w:t>
            </w:r>
            <w:r w:rsidRPr="001A24E9">
              <w:rPr>
                <w:rFonts w:ascii="Arial" w:eastAsia="Times New Roman" w:hAnsi="Arial" w:cs="Arial"/>
                <w:sz w:val="20"/>
                <w:szCs w:val="20"/>
                <w:lang w:eastAsia="sl-SI"/>
              </w:rPr>
              <w:t>%, do največ 5.040</w:t>
            </w:r>
            <w:r w:rsidR="00A92488">
              <w:rPr>
                <w:rFonts w:ascii="Arial" w:eastAsia="Times New Roman" w:hAnsi="Arial" w:cs="Arial"/>
                <w:sz w:val="20"/>
                <w:szCs w:val="20"/>
                <w:lang w:eastAsia="sl-SI"/>
              </w:rPr>
              <w:t> </w:t>
            </w:r>
            <w:r w:rsidRPr="001A24E9">
              <w:rPr>
                <w:rFonts w:ascii="Arial" w:eastAsia="Times New Roman" w:hAnsi="Arial" w:cs="Arial"/>
                <w:sz w:val="20"/>
                <w:szCs w:val="20"/>
                <w:lang w:eastAsia="sl-SI"/>
              </w:rPr>
              <w:t>EUR)</w:t>
            </w:r>
            <w:r>
              <w:rPr>
                <w:rFonts w:ascii="Arial" w:eastAsia="Times New Roman" w:hAnsi="Arial" w:cs="Arial"/>
                <w:sz w:val="20"/>
                <w:szCs w:val="20"/>
                <w:lang w:eastAsia="sl-SI"/>
              </w:rPr>
              <w:t>, in sicer samo za tiste</w:t>
            </w:r>
            <w:r w:rsidRPr="001A24E9">
              <w:rPr>
                <w:rFonts w:ascii="Arial" w:eastAsia="Times New Roman" w:hAnsi="Arial" w:cs="Arial"/>
                <w:sz w:val="20"/>
                <w:szCs w:val="20"/>
                <w:lang w:eastAsia="sl-SI"/>
              </w:rPr>
              <w:t>, ki vodijo knjige.</w:t>
            </w:r>
          </w:p>
          <w:p w14:paraId="643B7076" w14:textId="77777777" w:rsidR="001A24E9" w:rsidRPr="001A24E9" w:rsidRDefault="001A24E9" w:rsidP="001A24E9">
            <w:pPr>
              <w:spacing w:after="0" w:line="276" w:lineRule="auto"/>
              <w:contextualSpacing/>
              <w:jc w:val="both"/>
              <w:rPr>
                <w:rFonts w:ascii="Arial" w:eastAsia="Times New Roman" w:hAnsi="Arial" w:cs="Arial"/>
                <w:sz w:val="20"/>
                <w:szCs w:val="20"/>
                <w:lang w:eastAsia="sl-SI"/>
              </w:rPr>
            </w:pPr>
          </w:p>
          <w:p w14:paraId="0A9B5DA3" w14:textId="76662AC2" w:rsidR="00B30DB1" w:rsidRPr="00FA3982" w:rsidRDefault="001A24E9" w:rsidP="00FA3982">
            <w:pPr>
              <w:spacing w:after="0" w:line="276"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Za druge, ki opravljajo poklicne dejavnosti (ne vodijo poslovnih knjig), se normirani stroški določijo </w:t>
            </w:r>
            <w:r w:rsidR="006E713A">
              <w:rPr>
                <w:rFonts w:ascii="Arial" w:eastAsia="Times New Roman" w:hAnsi="Arial" w:cs="Arial"/>
                <w:sz w:val="20"/>
                <w:szCs w:val="20"/>
                <w:lang w:eastAsia="sl-SI"/>
              </w:rPr>
              <w:t>na</w:t>
            </w:r>
            <w:r>
              <w:rPr>
                <w:rFonts w:ascii="Arial" w:eastAsia="Times New Roman" w:hAnsi="Arial" w:cs="Arial"/>
                <w:sz w:val="20"/>
                <w:szCs w:val="20"/>
                <w:lang w:eastAsia="sl-SI"/>
              </w:rPr>
              <w:t xml:space="preserve"> naslednji način: </w:t>
            </w:r>
          </w:p>
          <w:tbl>
            <w:tblPr>
              <w:tblStyle w:val="Tabelamrea"/>
              <w:tblW w:w="0" w:type="auto"/>
              <w:jc w:val="center"/>
              <w:tblLook w:val="04A0" w:firstRow="1" w:lastRow="0" w:firstColumn="1" w:lastColumn="0" w:noHBand="0" w:noVBand="1"/>
            </w:tblPr>
            <w:tblGrid>
              <w:gridCol w:w="4547"/>
              <w:gridCol w:w="4547"/>
            </w:tblGrid>
            <w:tr w:rsidR="00B30DB1" w14:paraId="14B1735A" w14:textId="77777777" w:rsidTr="00B30DB1">
              <w:trPr>
                <w:jc w:val="center"/>
              </w:trPr>
              <w:tc>
                <w:tcPr>
                  <w:tcW w:w="4547" w:type="dxa"/>
                  <w:vAlign w:val="center"/>
                </w:tcPr>
                <w:p w14:paraId="1F2909A8" w14:textId="0FD6DF97" w:rsidR="00B30DB1" w:rsidRDefault="00B30DB1" w:rsidP="00B30DB1">
                  <w:pPr>
                    <w:spacing w:line="276" w:lineRule="auto"/>
                    <w:contextualSpacing/>
                    <w:jc w:val="center"/>
                    <w:rPr>
                      <w:rFonts w:ascii="Arial" w:hAnsi="Arial" w:cs="Arial"/>
                    </w:rPr>
                  </w:pPr>
                  <w:r w:rsidRPr="001A24E9">
                    <w:rPr>
                      <w:rFonts w:ascii="Arial" w:hAnsi="Arial" w:cs="Arial"/>
                    </w:rPr>
                    <w:t xml:space="preserve">Bruto letni </w:t>
                  </w:r>
                  <w:r>
                    <w:rPr>
                      <w:rFonts w:ascii="Arial" w:hAnsi="Arial" w:cs="Arial"/>
                    </w:rPr>
                    <w:t>prihodek</w:t>
                  </w:r>
                </w:p>
              </w:tc>
              <w:tc>
                <w:tcPr>
                  <w:tcW w:w="4547" w:type="dxa"/>
                  <w:vAlign w:val="center"/>
                </w:tcPr>
                <w:p w14:paraId="04643E2A" w14:textId="350BE154" w:rsidR="00B30DB1" w:rsidRDefault="00B30DB1" w:rsidP="00FA3982">
                  <w:pPr>
                    <w:spacing w:line="276" w:lineRule="auto"/>
                    <w:contextualSpacing/>
                    <w:jc w:val="both"/>
                    <w:rPr>
                      <w:rFonts w:ascii="Arial" w:hAnsi="Arial" w:cs="Arial"/>
                    </w:rPr>
                  </w:pPr>
                  <w:r>
                    <w:rPr>
                      <w:rFonts w:ascii="Arial" w:hAnsi="Arial" w:cs="Arial"/>
                    </w:rPr>
                    <w:t>Delež normiranih odhodkov na presežek prihodkov</w:t>
                  </w:r>
                </w:p>
              </w:tc>
            </w:tr>
            <w:tr w:rsidR="00B30DB1" w14:paraId="2723044F" w14:textId="77777777" w:rsidTr="00B30DB1">
              <w:trPr>
                <w:jc w:val="center"/>
              </w:trPr>
              <w:tc>
                <w:tcPr>
                  <w:tcW w:w="4547" w:type="dxa"/>
                </w:tcPr>
                <w:p w14:paraId="76A30FF8" w14:textId="5A4BBA64" w:rsidR="00B30DB1" w:rsidRDefault="00B30DB1" w:rsidP="00FA3982">
                  <w:pPr>
                    <w:spacing w:line="276" w:lineRule="auto"/>
                    <w:contextualSpacing/>
                    <w:jc w:val="both"/>
                    <w:rPr>
                      <w:rFonts w:ascii="Arial" w:hAnsi="Arial" w:cs="Arial"/>
                    </w:rPr>
                  </w:pPr>
                  <w:r>
                    <w:rPr>
                      <w:rFonts w:ascii="Arial" w:hAnsi="Arial" w:cs="Arial"/>
                    </w:rPr>
                    <w:t xml:space="preserve">                        do</w:t>
                  </w:r>
                  <w:r>
                    <w:t xml:space="preserve">      </w:t>
                  </w:r>
                  <w:r w:rsidRPr="00FA3982">
                    <w:rPr>
                      <w:rFonts w:ascii="Arial" w:hAnsi="Arial" w:cs="Arial"/>
                    </w:rPr>
                    <w:t>6</w:t>
                  </w:r>
                  <w:r w:rsidR="00E628BB">
                    <w:rPr>
                      <w:rFonts w:ascii="Arial" w:hAnsi="Arial" w:cs="Arial"/>
                    </w:rPr>
                    <w:t>.</w:t>
                  </w:r>
                  <w:r w:rsidRPr="00FA3982">
                    <w:rPr>
                      <w:rFonts w:ascii="Arial" w:hAnsi="Arial" w:cs="Arial"/>
                    </w:rPr>
                    <w:t>410</w:t>
                  </w:r>
                  <w:r w:rsidR="00A92488">
                    <w:rPr>
                      <w:rFonts w:ascii="Arial" w:hAnsi="Arial" w:cs="Arial"/>
                    </w:rPr>
                    <w:t> </w:t>
                  </w:r>
                  <w:r>
                    <w:rPr>
                      <w:rFonts w:ascii="Arial" w:hAnsi="Arial" w:cs="Arial"/>
                    </w:rPr>
                    <w:t xml:space="preserve">EUR                                                     </w:t>
                  </w:r>
                </w:p>
              </w:tc>
              <w:tc>
                <w:tcPr>
                  <w:tcW w:w="4547" w:type="dxa"/>
                </w:tcPr>
                <w:p w14:paraId="68A899D9" w14:textId="263A689E" w:rsidR="00B30DB1" w:rsidRDefault="00B30DB1" w:rsidP="00B30DB1">
                  <w:pPr>
                    <w:spacing w:line="276" w:lineRule="auto"/>
                    <w:contextualSpacing/>
                    <w:jc w:val="center"/>
                    <w:rPr>
                      <w:rFonts w:ascii="Arial" w:hAnsi="Arial" w:cs="Arial"/>
                    </w:rPr>
                  </w:pPr>
                  <w:r w:rsidRPr="00FA3982">
                    <w:rPr>
                      <w:rFonts w:ascii="Arial" w:hAnsi="Arial" w:cs="Arial"/>
                    </w:rPr>
                    <w:t>28</w:t>
                  </w:r>
                  <w:r>
                    <w:rPr>
                      <w:rFonts w:ascii="Arial" w:hAnsi="Arial" w:cs="Arial"/>
                    </w:rPr>
                    <w:t>,</w:t>
                  </w:r>
                  <w:r w:rsidRPr="00FA3982">
                    <w:rPr>
                      <w:rFonts w:ascii="Arial" w:hAnsi="Arial" w:cs="Arial"/>
                    </w:rPr>
                    <w:t>7</w:t>
                  </w:r>
                  <w:r w:rsidR="00A92488">
                    <w:rPr>
                      <w:rFonts w:ascii="Arial" w:hAnsi="Arial" w:cs="Arial"/>
                    </w:rPr>
                    <w:t> </w:t>
                  </w:r>
                  <w:r>
                    <w:rPr>
                      <w:rFonts w:ascii="Arial" w:hAnsi="Arial" w:cs="Arial"/>
                    </w:rPr>
                    <w:t>%</w:t>
                  </w:r>
                </w:p>
              </w:tc>
            </w:tr>
            <w:tr w:rsidR="00B30DB1" w14:paraId="2B2BEAFA" w14:textId="77777777" w:rsidTr="00B30DB1">
              <w:trPr>
                <w:jc w:val="center"/>
              </w:trPr>
              <w:tc>
                <w:tcPr>
                  <w:tcW w:w="4547" w:type="dxa"/>
                </w:tcPr>
                <w:p w14:paraId="05690273" w14:textId="1D5390FB" w:rsidR="00B30DB1" w:rsidRDefault="00B30DB1" w:rsidP="00FA3982">
                  <w:pPr>
                    <w:spacing w:line="276" w:lineRule="auto"/>
                    <w:contextualSpacing/>
                    <w:jc w:val="both"/>
                    <w:rPr>
                      <w:rFonts w:ascii="Arial" w:hAnsi="Arial" w:cs="Arial"/>
                    </w:rPr>
                  </w:pPr>
                  <w:r>
                    <w:rPr>
                      <w:rFonts w:ascii="Arial" w:hAnsi="Arial" w:cs="Arial"/>
                    </w:rPr>
                    <w:t xml:space="preserve">   </w:t>
                  </w:r>
                  <w:r w:rsidRPr="00FA3982">
                    <w:rPr>
                      <w:rFonts w:ascii="Arial" w:hAnsi="Arial" w:cs="Arial"/>
                    </w:rPr>
                    <w:t>6</w:t>
                  </w:r>
                  <w:r w:rsidR="00E628BB">
                    <w:rPr>
                      <w:rFonts w:ascii="Arial" w:hAnsi="Arial" w:cs="Arial"/>
                    </w:rPr>
                    <w:t>.</w:t>
                  </w:r>
                  <w:r w:rsidRPr="00FA3982">
                    <w:rPr>
                      <w:rFonts w:ascii="Arial" w:hAnsi="Arial" w:cs="Arial"/>
                    </w:rPr>
                    <w:t>411</w:t>
                  </w:r>
                  <w:r w:rsidR="00A92488">
                    <w:rPr>
                      <w:rFonts w:ascii="Arial" w:hAnsi="Arial" w:cs="Arial"/>
                    </w:rPr>
                    <w:t> </w:t>
                  </w:r>
                  <w:r>
                    <w:rPr>
                      <w:rFonts w:ascii="Arial" w:hAnsi="Arial" w:cs="Arial"/>
                    </w:rPr>
                    <w:t xml:space="preserve">EUR   do    </w:t>
                  </w:r>
                  <w:r w:rsidRPr="00FA3982">
                    <w:rPr>
                      <w:rFonts w:ascii="Arial" w:hAnsi="Arial" w:cs="Arial"/>
                    </w:rPr>
                    <w:t>12</w:t>
                  </w:r>
                  <w:r w:rsidR="00E628BB">
                    <w:rPr>
                      <w:rFonts w:ascii="Arial" w:hAnsi="Arial" w:cs="Arial"/>
                    </w:rPr>
                    <w:t>.</w:t>
                  </w:r>
                  <w:r w:rsidRPr="00FA3982">
                    <w:rPr>
                      <w:rFonts w:ascii="Arial" w:hAnsi="Arial" w:cs="Arial"/>
                    </w:rPr>
                    <w:t>730</w:t>
                  </w:r>
                  <w:r w:rsidR="00A92488">
                    <w:rPr>
                      <w:rFonts w:ascii="Arial" w:hAnsi="Arial" w:cs="Arial"/>
                    </w:rPr>
                    <w:t> </w:t>
                  </w:r>
                  <w:r>
                    <w:rPr>
                      <w:rFonts w:ascii="Arial" w:hAnsi="Arial" w:cs="Arial"/>
                    </w:rPr>
                    <w:t xml:space="preserve">EUR                                                    </w:t>
                  </w:r>
                </w:p>
              </w:tc>
              <w:tc>
                <w:tcPr>
                  <w:tcW w:w="4547" w:type="dxa"/>
                </w:tcPr>
                <w:p w14:paraId="288FAEA6" w14:textId="29EDBDA9" w:rsidR="00B30DB1" w:rsidRDefault="00B30DB1" w:rsidP="00B30DB1">
                  <w:pPr>
                    <w:spacing w:line="276" w:lineRule="auto"/>
                    <w:contextualSpacing/>
                    <w:jc w:val="center"/>
                    <w:rPr>
                      <w:rFonts w:ascii="Arial" w:hAnsi="Arial" w:cs="Arial"/>
                    </w:rPr>
                  </w:pPr>
                  <w:r>
                    <w:rPr>
                      <w:rFonts w:ascii="Arial" w:hAnsi="Arial" w:cs="Arial"/>
                    </w:rPr>
                    <w:t>10</w:t>
                  </w:r>
                  <w:r w:rsidR="00A92488">
                    <w:rPr>
                      <w:rFonts w:ascii="Arial" w:hAnsi="Arial" w:cs="Arial"/>
                    </w:rPr>
                    <w:t> </w:t>
                  </w:r>
                  <w:r>
                    <w:rPr>
                      <w:rFonts w:ascii="Arial" w:hAnsi="Arial" w:cs="Arial"/>
                    </w:rPr>
                    <w:t>%</w:t>
                  </w:r>
                </w:p>
              </w:tc>
            </w:tr>
            <w:tr w:rsidR="00B30DB1" w14:paraId="48933655" w14:textId="77777777" w:rsidTr="00B30DB1">
              <w:trPr>
                <w:jc w:val="center"/>
              </w:trPr>
              <w:tc>
                <w:tcPr>
                  <w:tcW w:w="4547" w:type="dxa"/>
                </w:tcPr>
                <w:p w14:paraId="4EE23609" w14:textId="108D8A41" w:rsidR="00B30DB1" w:rsidRDefault="00B30DB1" w:rsidP="00FA3982">
                  <w:pPr>
                    <w:spacing w:line="276" w:lineRule="auto"/>
                    <w:contextualSpacing/>
                    <w:jc w:val="both"/>
                    <w:rPr>
                      <w:rFonts w:ascii="Arial" w:hAnsi="Arial" w:cs="Arial"/>
                    </w:rPr>
                  </w:pPr>
                  <w:r w:rsidRPr="00FA3982">
                    <w:rPr>
                      <w:rFonts w:ascii="Arial" w:hAnsi="Arial" w:cs="Arial"/>
                    </w:rPr>
                    <w:t>12</w:t>
                  </w:r>
                  <w:r w:rsidR="00E628BB">
                    <w:rPr>
                      <w:rFonts w:ascii="Arial" w:hAnsi="Arial" w:cs="Arial"/>
                    </w:rPr>
                    <w:t>.</w:t>
                  </w:r>
                  <w:r w:rsidRPr="00FA3982">
                    <w:rPr>
                      <w:rFonts w:ascii="Arial" w:hAnsi="Arial" w:cs="Arial"/>
                    </w:rPr>
                    <w:t>731</w:t>
                  </w:r>
                  <w:r w:rsidR="00A92488">
                    <w:rPr>
                      <w:rFonts w:ascii="Arial" w:hAnsi="Arial" w:cs="Arial"/>
                    </w:rPr>
                    <w:t> </w:t>
                  </w:r>
                  <w:r>
                    <w:rPr>
                      <w:rFonts w:ascii="Arial" w:hAnsi="Arial" w:cs="Arial"/>
                    </w:rPr>
                    <w:t xml:space="preserve">EUR    do    </w:t>
                  </w:r>
                  <w:r w:rsidRPr="00FA3982">
                    <w:rPr>
                      <w:rFonts w:ascii="Arial" w:hAnsi="Arial" w:cs="Arial"/>
                    </w:rPr>
                    <w:t>21</w:t>
                  </w:r>
                  <w:r w:rsidR="00E628BB">
                    <w:rPr>
                      <w:rFonts w:ascii="Arial" w:hAnsi="Arial" w:cs="Arial"/>
                    </w:rPr>
                    <w:t>.</w:t>
                  </w:r>
                  <w:r w:rsidRPr="00FA3982">
                    <w:rPr>
                      <w:rFonts w:ascii="Arial" w:hAnsi="Arial" w:cs="Arial"/>
                    </w:rPr>
                    <w:t>190</w:t>
                  </w:r>
                  <w:r w:rsidR="00A92488">
                    <w:rPr>
                      <w:rFonts w:ascii="Arial" w:hAnsi="Arial" w:cs="Arial"/>
                    </w:rPr>
                    <w:t> </w:t>
                  </w:r>
                  <w:r>
                    <w:rPr>
                      <w:rFonts w:ascii="Arial" w:hAnsi="Arial" w:cs="Arial"/>
                    </w:rPr>
                    <w:t xml:space="preserve">EUR                                                       </w:t>
                  </w:r>
                </w:p>
              </w:tc>
              <w:tc>
                <w:tcPr>
                  <w:tcW w:w="4547" w:type="dxa"/>
                </w:tcPr>
                <w:p w14:paraId="573FE078" w14:textId="20FDA560" w:rsidR="00B30DB1" w:rsidRDefault="00B30DB1" w:rsidP="00B30DB1">
                  <w:pPr>
                    <w:spacing w:line="276" w:lineRule="auto"/>
                    <w:contextualSpacing/>
                    <w:jc w:val="center"/>
                    <w:rPr>
                      <w:rFonts w:ascii="Arial" w:hAnsi="Arial" w:cs="Arial"/>
                    </w:rPr>
                  </w:pPr>
                  <w:r>
                    <w:rPr>
                      <w:rFonts w:ascii="Arial" w:hAnsi="Arial" w:cs="Arial"/>
                    </w:rPr>
                    <w:t>5</w:t>
                  </w:r>
                  <w:r w:rsidR="00A92488">
                    <w:rPr>
                      <w:rFonts w:ascii="Arial" w:hAnsi="Arial" w:cs="Arial"/>
                    </w:rPr>
                    <w:t> </w:t>
                  </w:r>
                  <w:r>
                    <w:rPr>
                      <w:rFonts w:ascii="Arial" w:hAnsi="Arial" w:cs="Arial"/>
                    </w:rPr>
                    <w:t>%</w:t>
                  </w:r>
                </w:p>
              </w:tc>
            </w:tr>
            <w:tr w:rsidR="00B30DB1" w14:paraId="28DCC134" w14:textId="77777777" w:rsidTr="00B30DB1">
              <w:trPr>
                <w:jc w:val="center"/>
              </w:trPr>
              <w:tc>
                <w:tcPr>
                  <w:tcW w:w="4547" w:type="dxa"/>
                </w:tcPr>
                <w:p w14:paraId="52983371" w14:textId="0ABC8487" w:rsidR="00B30DB1" w:rsidRDefault="00B30DB1" w:rsidP="00FA3982">
                  <w:pPr>
                    <w:spacing w:line="276" w:lineRule="auto"/>
                    <w:contextualSpacing/>
                    <w:jc w:val="both"/>
                    <w:rPr>
                      <w:rFonts w:ascii="Arial" w:hAnsi="Arial" w:cs="Arial"/>
                    </w:rPr>
                  </w:pPr>
                  <w:r w:rsidRPr="00FA3982">
                    <w:rPr>
                      <w:rFonts w:ascii="Arial" w:hAnsi="Arial" w:cs="Arial"/>
                    </w:rPr>
                    <w:t>21</w:t>
                  </w:r>
                  <w:r w:rsidR="00E628BB">
                    <w:rPr>
                      <w:rFonts w:ascii="Arial" w:hAnsi="Arial" w:cs="Arial"/>
                    </w:rPr>
                    <w:t>.</w:t>
                  </w:r>
                  <w:r w:rsidRPr="00FA3982">
                    <w:rPr>
                      <w:rFonts w:ascii="Arial" w:hAnsi="Arial" w:cs="Arial"/>
                    </w:rPr>
                    <w:t>191</w:t>
                  </w:r>
                  <w:r w:rsidR="00A92488">
                    <w:rPr>
                      <w:rFonts w:ascii="Arial" w:hAnsi="Arial" w:cs="Arial"/>
                    </w:rPr>
                    <w:t> </w:t>
                  </w:r>
                  <w:r>
                    <w:rPr>
                      <w:rFonts w:ascii="Arial" w:hAnsi="Arial" w:cs="Arial"/>
                    </w:rPr>
                    <w:t xml:space="preserve">EUR    do    </w:t>
                  </w:r>
                  <w:r w:rsidRPr="00FA3982">
                    <w:rPr>
                      <w:rFonts w:ascii="Arial" w:hAnsi="Arial" w:cs="Arial"/>
                    </w:rPr>
                    <w:t>72</w:t>
                  </w:r>
                  <w:r w:rsidR="00E628BB">
                    <w:rPr>
                      <w:rFonts w:ascii="Arial" w:hAnsi="Arial" w:cs="Arial"/>
                    </w:rPr>
                    <w:t>.</w:t>
                  </w:r>
                  <w:r w:rsidRPr="00FA3982">
                    <w:rPr>
                      <w:rFonts w:ascii="Arial" w:hAnsi="Arial" w:cs="Arial"/>
                    </w:rPr>
                    <w:t>367</w:t>
                  </w:r>
                  <w:r w:rsidR="00A92488">
                    <w:rPr>
                      <w:rFonts w:ascii="Arial" w:hAnsi="Arial" w:cs="Arial"/>
                    </w:rPr>
                    <w:t>,</w:t>
                  </w:r>
                  <w:r w:rsidRPr="00FA3982">
                    <w:rPr>
                      <w:rFonts w:ascii="Arial" w:hAnsi="Arial" w:cs="Arial"/>
                    </w:rPr>
                    <w:t>49</w:t>
                  </w:r>
                  <w:r w:rsidR="00A92488">
                    <w:rPr>
                      <w:rFonts w:ascii="Arial" w:hAnsi="Arial" w:cs="Arial"/>
                    </w:rPr>
                    <w:t> </w:t>
                  </w:r>
                  <w:r>
                    <w:rPr>
                      <w:rFonts w:ascii="Arial" w:hAnsi="Arial" w:cs="Arial"/>
                    </w:rPr>
                    <w:t xml:space="preserve">EUR                                                  </w:t>
                  </w:r>
                </w:p>
              </w:tc>
              <w:tc>
                <w:tcPr>
                  <w:tcW w:w="4547" w:type="dxa"/>
                </w:tcPr>
                <w:p w14:paraId="33FA6AB7" w14:textId="7D34EB82" w:rsidR="00B30DB1" w:rsidRDefault="00B30DB1" w:rsidP="00B30DB1">
                  <w:pPr>
                    <w:spacing w:line="276" w:lineRule="auto"/>
                    <w:contextualSpacing/>
                    <w:jc w:val="center"/>
                    <w:rPr>
                      <w:rFonts w:ascii="Arial" w:hAnsi="Arial" w:cs="Arial"/>
                    </w:rPr>
                  </w:pPr>
                  <w:r>
                    <w:rPr>
                      <w:rFonts w:ascii="Arial" w:hAnsi="Arial" w:cs="Arial"/>
                    </w:rPr>
                    <w:t>3</w:t>
                  </w:r>
                  <w:r w:rsidR="00A92488">
                    <w:rPr>
                      <w:rFonts w:ascii="Arial" w:hAnsi="Arial" w:cs="Arial"/>
                    </w:rPr>
                    <w:t> </w:t>
                  </w:r>
                  <w:r>
                    <w:rPr>
                      <w:rFonts w:ascii="Arial" w:hAnsi="Arial" w:cs="Arial"/>
                    </w:rPr>
                    <w:t>%</w:t>
                  </w:r>
                </w:p>
              </w:tc>
            </w:tr>
            <w:tr w:rsidR="00B30DB1" w14:paraId="594171F0" w14:textId="77777777" w:rsidTr="00B30DB1">
              <w:trPr>
                <w:jc w:val="center"/>
              </w:trPr>
              <w:tc>
                <w:tcPr>
                  <w:tcW w:w="4547" w:type="dxa"/>
                </w:tcPr>
                <w:p w14:paraId="37ECAFBF" w14:textId="7AD33B53" w:rsidR="00B30DB1" w:rsidRDefault="00B30DB1" w:rsidP="00FA3982">
                  <w:pPr>
                    <w:spacing w:line="276" w:lineRule="auto"/>
                    <w:contextualSpacing/>
                    <w:jc w:val="both"/>
                    <w:rPr>
                      <w:rFonts w:ascii="Arial" w:hAnsi="Arial" w:cs="Arial"/>
                    </w:rPr>
                  </w:pPr>
                  <w:r>
                    <w:rPr>
                      <w:rFonts w:ascii="Arial" w:hAnsi="Arial" w:cs="Arial"/>
                    </w:rPr>
                    <w:t xml:space="preserve">                      nad    </w:t>
                  </w:r>
                  <w:r w:rsidRPr="00FA3982">
                    <w:rPr>
                      <w:rFonts w:ascii="Arial" w:hAnsi="Arial" w:cs="Arial"/>
                    </w:rPr>
                    <w:t>72</w:t>
                  </w:r>
                  <w:r w:rsidR="00E628BB">
                    <w:rPr>
                      <w:rFonts w:ascii="Arial" w:hAnsi="Arial" w:cs="Arial"/>
                    </w:rPr>
                    <w:t>.</w:t>
                  </w:r>
                  <w:r w:rsidRPr="00FA3982">
                    <w:rPr>
                      <w:rFonts w:ascii="Arial" w:hAnsi="Arial" w:cs="Arial"/>
                    </w:rPr>
                    <w:t>367</w:t>
                  </w:r>
                  <w:r w:rsidR="00A92488">
                    <w:rPr>
                      <w:rFonts w:ascii="Arial" w:hAnsi="Arial" w:cs="Arial"/>
                    </w:rPr>
                    <w:t>,</w:t>
                  </w:r>
                  <w:r w:rsidRPr="00FA3982">
                    <w:rPr>
                      <w:rFonts w:ascii="Arial" w:hAnsi="Arial" w:cs="Arial"/>
                    </w:rPr>
                    <w:t>49</w:t>
                  </w:r>
                  <w:r w:rsidR="00A92488">
                    <w:rPr>
                      <w:rFonts w:ascii="Arial" w:hAnsi="Arial" w:cs="Arial"/>
                    </w:rPr>
                    <w:t> </w:t>
                  </w:r>
                  <w:r>
                    <w:rPr>
                      <w:rFonts w:ascii="Arial" w:hAnsi="Arial" w:cs="Arial"/>
                    </w:rPr>
                    <w:t xml:space="preserve">EUR                                                  </w:t>
                  </w:r>
                </w:p>
              </w:tc>
              <w:tc>
                <w:tcPr>
                  <w:tcW w:w="4547" w:type="dxa"/>
                </w:tcPr>
                <w:p w14:paraId="0E1F13A6" w14:textId="1497E859" w:rsidR="00B30DB1" w:rsidRDefault="00B30DB1" w:rsidP="00B30DB1">
                  <w:pPr>
                    <w:spacing w:line="276" w:lineRule="auto"/>
                    <w:contextualSpacing/>
                    <w:jc w:val="center"/>
                    <w:rPr>
                      <w:rFonts w:ascii="Arial" w:hAnsi="Arial" w:cs="Arial"/>
                    </w:rPr>
                  </w:pPr>
                  <w:r>
                    <w:rPr>
                      <w:rFonts w:ascii="Arial" w:hAnsi="Arial" w:cs="Arial"/>
                    </w:rPr>
                    <w:t>0</w:t>
                  </w:r>
                  <w:r w:rsidR="00A92488">
                    <w:rPr>
                      <w:rFonts w:ascii="Arial" w:hAnsi="Arial" w:cs="Arial"/>
                    </w:rPr>
                    <w:t> </w:t>
                  </w:r>
                  <w:r>
                    <w:rPr>
                      <w:rFonts w:ascii="Arial" w:hAnsi="Arial" w:cs="Arial"/>
                    </w:rPr>
                    <w:t>%</w:t>
                  </w:r>
                </w:p>
              </w:tc>
            </w:tr>
          </w:tbl>
          <w:p w14:paraId="246A642B" w14:textId="14BF5137" w:rsidR="00FA3982" w:rsidRPr="00FA3982" w:rsidRDefault="00FA3982" w:rsidP="00FA3982">
            <w:pPr>
              <w:spacing w:after="0" w:line="276" w:lineRule="auto"/>
              <w:contextualSpacing/>
              <w:jc w:val="both"/>
              <w:rPr>
                <w:rFonts w:ascii="Arial" w:eastAsia="Times New Roman" w:hAnsi="Arial" w:cs="Arial"/>
                <w:sz w:val="20"/>
                <w:szCs w:val="20"/>
                <w:lang w:eastAsia="sl-SI"/>
              </w:rPr>
            </w:pPr>
          </w:p>
          <w:p w14:paraId="41359D90" w14:textId="22B9684A" w:rsidR="001A24E9" w:rsidRPr="001A24E9" w:rsidRDefault="001A24E9" w:rsidP="001A24E9">
            <w:pPr>
              <w:spacing w:after="0" w:line="276" w:lineRule="auto"/>
              <w:contextualSpacing/>
              <w:jc w:val="both"/>
              <w:rPr>
                <w:rFonts w:ascii="Arial" w:eastAsia="Times New Roman" w:hAnsi="Arial" w:cs="Arial"/>
                <w:sz w:val="20"/>
                <w:szCs w:val="20"/>
                <w:lang w:eastAsia="sl-SI"/>
              </w:rPr>
            </w:pPr>
            <w:r w:rsidRPr="001A24E9">
              <w:rPr>
                <w:rFonts w:ascii="Arial" w:eastAsia="Times New Roman" w:hAnsi="Arial" w:cs="Arial"/>
                <w:sz w:val="20"/>
                <w:szCs w:val="20"/>
                <w:lang w:eastAsia="sl-SI"/>
              </w:rPr>
              <w:t>Najv</w:t>
            </w:r>
            <w:r w:rsidR="001F427D">
              <w:rPr>
                <w:rFonts w:ascii="Arial" w:eastAsia="Times New Roman" w:hAnsi="Arial" w:cs="Arial"/>
                <w:sz w:val="20"/>
                <w:szCs w:val="20"/>
                <w:lang w:eastAsia="sl-SI"/>
              </w:rPr>
              <w:t xml:space="preserve">išji normirani odhodek </w:t>
            </w:r>
            <w:r w:rsidRPr="001A24E9">
              <w:rPr>
                <w:rFonts w:ascii="Arial" w:eastAsia="Times New Roman" w:hAnsi="Arial" w:cs="Arial"/>
                <w:sz w:val="20"/>
                <w:szCs w:val="20"/>
                <w:lang w:eastAsia="sl-SI"/>
              </w:rPr>
              <w:t>je 4</w:t>
            </w:r>
            <w:r w:rsidR="00E628BB">
              <w:rPr>
                <w:rFonts w:ascii="Arial" w:eastAsia="Times New Roman" w:hAnsi="Arial" w:cs="Arial"/>
                <w:sz w:val="20"/>
                <w:szCs w:val="20"/>
                <w:lang w:eastAsia="sl-SI"/>
              </w:rPr>
              <w:t>.</w:t>
            </w:r>
            <w:r w:rsidRPr="001A24E9">
              <w:rPr>
                <w:rFonts w:ascii="Arial" w:eastAsia="Times New Roman" w:hAnsi="Arial" w:cs="Arial"/>
                <w:sz w:val="20"/>
                <w:szCs w:val="20"/>
                <w:lang w:eastAsia="sl-SI"/>
              </w:rPr>
              <w:t>430</w:t>
            </w:r>
            <w:r w:rsidR="00A92488">
              <w:rPr>
                <w:rFonts w:ascii="Arial" w:eastAsia="Times New Roman" w:hAnsi="Arial" w:cs="Arial"/>
                <w:sz w:val="20"/>
                <w:szCs w:val="20"/>
                <w:lang w:eastAsia="sl-SI"/>
              </w:rPr>
              <w:t> </w:t>
            </w:r>
            <w:r w:rsidR="00E628BB">
              <w:rPr>
                <w:rFonts w:ascii="Arial" w:eastAsia="Times New Roman" w:hAnsi="Arial" w:cs="Arial"/>
                <w:sz w:val="20"/>
                <w:szCs w:val="20"/>
                <w:lang w:eastAsia="sl-SI"/>
              </w:rPr>
              <w:t>EUR</w:t>
            </w:r>
            <w:r w:rsidRPr="001A24E9">
              <w:rPr>
                <w:rFonts w:ascii="Arial" w:eastAsia="Times New Roman" w:hAnsi="Arial" w:cs="Arial"/>
                <w:sz w:val="20"/>
                <w:szCs w:val="20"/>
                <w:lang w:eastAsia="sl-SI"/>
              </w:rPr>
              <w:t>.</w:t>
            </w:r>
          </w:p>
          <w:p w14:paraId="40EA6997" w14:textId="77777777" w:rsidR="001A24E9" w:rsidRPr="001A24E9" w:rsidRDefault="001A24E9" w:rsidP="001A24E9">
            <w:pPr>
              <w:spacing w:after="0" w:line="276" w:lineRule="auto"/>
              <w:contextualSpacing/>
              <w:jc w:val="both"/>
              <w:rPr>
                <w:rFonts w:ascii="Arial" w:eastAsia="Times New Roman" w:hAnsi="Arial" w:cs="Arial"/>
                <w:sz w:val="20"/>
                <w:szCs w:val="20"/>
                <w:lang w:eastAsia="sl-SI"/>
              </w:rPr>
            </w:pPr>
          </w:p>
          <w:p w14:paraId="3F1ED5A3" w14:textId="566B8617" w:rsidR="001F27CB" w:rsidRDefault="001A24E9" w:rsidP="001F27CB">
            <w:pPr>
              <w:autoSpaceDE w:val="0"/>
              <w:autoSpaceDN w:val="0"/>
              <w:adjustRightInd w:val="0"/>
              <w:spacing w:after="0"/>
              <w:jc w:val="both"/>
              <w:rPr>
                <w:rFonts w:ascii="Arial" w:eastAsia="Times New Roman" w:hAnsi="Arial" w:cs="Arial"/>
                <w:sz w:val="20"/>
                <w:szCs w:val="20"/>
                <w:lang w:eastAsia="sl-SI"/>
              </w:rPr>
            </w:pPr>
            <w:r w:rsidRPr="001A24E9">
              <w:rPr>
                <w:rFonts w:ascii="Arial" w:eastAsia="Times New Roman" w:hAnsi="Arial" w:cs="Arial"/>
                <w:sz w:val="20"/>
                <w:szCs w:val="20"/>
                <w:lang w:eastAsia="sl-SI"/>
              </w:rPr>
              <w:t xml:space="preserve">Dejanski stroški, ki presegajo </w:t>
            </w:r>
            <w:r w:rsidR="001F427D">
              <w:rPr>
                <w:rFonts w:ascii="Arial" w:eastAsia="Times New Roman" w:hAnsi="Arial" w:cs="Arial"/>
                <w:sz w:val="20"/>
                <w:szCs w:val="20"/>
                <w:lang w:eastAsia="sl-SI"/>
              </w:rPr>
              <w:t>normirani znesek</w:t>
            </w:r>
            <w:r w:rsidRPr="001A24E9">
              <w:rPr>
                <w:rFonts w:ascii="Arial" w:eastAsia="Times New Roman" w:hAnsi="Arial" w:cs="Arial"/>
                <w:sz w:val="20"/>
                <w:szCs w:val="20"/>
                <w:lang w:eastAsia="sl-SI"/>
              </w:rPr>
              <w:t>, se lahko odštejejo. Obstajajo omejitve pri nekaterih stroških, na primer za avtomobile in reprezentance.</w:t>
            </w:r>
          </w:p>
          <w:p w14:paraId="76040834" w14:textId="13BBA9A8" w:rsidR="00CD329B" w:rsidRDefault="00CD329B" w:rsidP="001F27CB">
            <w:pPr>
              <w:autoSpaceDE w:val="0"/>
              <w:autoSpaceDN w:val="0"/>
              <w:adjustRightInd w:val="0"/>
              <w:spacing w:after="0"/>
              <w:jc w:val="both"/>
            </w:pPr>
          </w:p>
          <w:p w14:paraId="6899DA86" w14:textId="3A876051" w:rsidR="00CD329B" w:rsidRPr="00167E65" w:rsidRDefault="00CD329B" w:rsidP="00CD329B">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r w:rsidRPr="00167E65">
              <w:rPr>
                <w:rFonts w:ascii="Arial" w:eastAsia="Calibri" w:hAnsi="Arial" w:cs="Arial"/>
                <w:sz w:val="20"/>
                <w:szCs w:val="20"/>
              </w:rPr>
              <w:t>5.</w:t>
            </w:r>
            <w:r w:rsidR="00B531DF">
              <w:rPr>
                <w:rFonts w:ascii="Arial" w:eastAsia="Calibri" w:hAnsi="Arial" w:cs="Arial"/>
                <w:sz w:val="20"/>
                <w:szCs w:val="20"/>
              </w:rPr>
              <w:t>6</w:t>
            </w:r>
            <w:r w:rsidRPr="00167E65">
              <w:rPr>
                <w:rFonts w:ascii="Arial" w:eastAsia="Calibri" w:hAnsi="Arial" w:cs="Arial"/>
                <w:sz w:val="20"/>
                <w:szCs w:val="20"/>
              </w:rPr>
              <w:t xml:space="preserve"> Prikaz ureditve obdavčitve dohodkov iz kmetijske in gozdarske dejavnosti</w:t>
            </w:r>
          </w:p>
          <w:p w14:paraId="716128AF" w14:textId="77777777" w:rsidR="00CD329B" w:rsidRPr="00167E65" w:rsidRDefault="00CD329B" w:rsidP="00CD329B">
            <w:pPr>
              <w:spacing w:after="0" w:line="260" w:lineRule="exact"/>
              <w:jc w:val="both"/>
              <w:rPr>
                <w:rFonts w:ascii="Arial" w:hAnsi="Arial" w:cs="Arial"/>
                <w:b/>
                <w:bCs/>
                <w:sz w:val="20"/>
                <w:szCs w:val="20"/>
              </w:rPr>
            </w:pPr>
          </w:p>
          <w:p w14:paraId="3762B1E5" w14:textId="3002BE72" w:rsidR="00CD329B" w:rsidRPr="00CC3E5F" w:rsidRDefault="00CD329B" w:rsidP="00CD329B">
            <w:pPr>
              <w:spacing w:after="0" w:line="260" w:lineRule="exact"/>
              <w:jc w:val="both"/>
              <w:rPr>
                <w:rFonts w:ascii="Arial" w:hAnsi="Arial" w:cs="Arial"/>
                <w:sz w:val="20"/>
                <w:szCs w:val="20"/>
              </w:rPr>
            </w:pPr>
            <w:r w:rsidRPr="00037B35">
              <w:rPr>
                <w:rFonts w:ascii="Arial" w:hAnsi="Arial" w:cs="Arial"/>
                <w:sz w:val="20"/>
                <w:szCs w:val="20"/>
              </w:rPr>
              <w:t>5.</w:t>
            </w:r>
            <w:r w:rsidR="00B531DF">
              <w:rPr>
                <w:rFonts w:ascii="Arial" w:hAnsi="Arial" w:cs="Arial"/>
                <w:sz w:val="20"/>
                <w:szCs w:val="20"/>
              </w:rPr>
              <w:t>6</w:t>
            </w:r>
            <w:r w:rsidRPr="00037B35">
              <w:rPr>
                <w:rFonts w:ascii="Arial" w:hAnsi="Arial" w:cs="Arial"/>
                <w:sz w:val="20"/>
                <w:szCs w:val="20"/>
              </w:rPr>
              <w:t xml:space="preserve">.1 </w:t>
            </w:r>
            <w:r w:rsidRPr="00CC3E5F">
              <w:rPr>
                <w:rFonts w:ascii="Arial" w:hAnsi="Arial" w:cs="Arial"/>
                <w:sz w:val="20"/>
                <w:szCs w:val="20"/>
              </w:rPr>
              <w:t>Avstrija</w:t>
            </w:r>
          </w:p>
          <w:p w14:paraId="604F5C75" w14:textId="3DE29D13" w:rsidR="00CD329B" w:rsidRPr="00167E65" w:rsidRDefault="00CD329B" w:rsidP="00CD329B">
            <w:pPr>
              <w:spacing w:after="0" w:line="260" w:lineRule="exact"/>
              <w:jc w:val="both"/>
              <w:rPr>
                <w:rFonts w:ascii="Arial" w:hAnsi="Arial" w:cs="Arial"/>
                <w:sz w:val="20"/>
                <w:szCs w:val="20"/>
              </w:rPr>
            </w:pPr>
            <w:r w:rsidRPr="001A7A4E">
              <w:rPr>
                <w:rFonts w:ascii="Arial" w:hAnsi="Arial" w:cs="Arial"/>
                <w:sz w:val="20"/>
                <w:szCs w:val="20"/>
              </w:rPr>
              <w:t xml:space="preserve">V Avstriji je davčna obravnava dohodkov fizičnih oseb iz kmetijske in gozdarske dejavnosti odvisna od ekonomske velikosti kmetije. </w:t>
            </w:r>
            <w:r w:rsidRPr="005C1748">
              <w:rPr>
                <w:rFonts w:ascii="Arial" w:hAnsi="Arial" w:cs="Arial"/>
                <w:sz w:val="20"/>
                <w:szCs w:val="20"/>
              </w:rPr>
              <w:t>T</w:t>
            </w:r>
            <w:r w:rsidRPr="0028548E">
              <w:rPr>
                <w:rFonts w:ascii="Arial" w:hAnsi="Arial" w:cs="Arial"/>
                <w:sz w:val="20"/>
                <w:szCs w:val="20"/>
              </w:rPr>
              <w:t>a se preverja na podlagi enotne vrednosti kmetije</w:t>
            </w:r>
            <w:r w:rsidRPr="00167E65">
              <w:rPr>
                <w:rFonts w:ascii="Arial" w:hAnsi="Arial" w:cs="Arial"/>
                <w:sz w:val="20"/>
                <w:szCs w:val="20"/>
              </w:rPr>
              <w:t>, ki temelji na vrednotenju zemljišč glede na njihovo proizvodno sposobnost. Enotna vrednost vključuje tudi vrednost kmetijskih subvencij, ki imajo naravo dohodka.</w:t>
            </w:r>
          </w:p>
          <w:p w14:paraId="5F9ACC2B" w14:textId="77777777" w:rsidR="00CD329B" w:rsidRPr="00167E65" w:rsidRDefault="00CD329B" w:rsidP="00CD329B">
            <w:pPr>
              <w:spacing w:after="0" w:line="260" w:lineRule="exact"/>
              <w:jc w:val="both"/>
              <w:rPr>
                <w:rFonts w:ascii="Arial" w:hAnsi="Arial" w:cs="Arial"/>
                <w:sz w:val="20"/>
                <w:szCs w:val="20"/>
              </w:rPr>
            </w:pPr>
          </w:p>
          <w:p w14:paraId="50977B64" w14:textId="4AC08979" w:rsidR="00CD329B" w:rsidRPr="00167E65" w:rsidRDefault="00CD329B" w:rsidP="00CD329B">
            <w:pPr>
              <w:spacing w:after="0" w:line="260" w:lineRule="exact"/>
              <w:jc w:val="both"/>
              <w:rPr>
                <w:rFonts w:ascii="Arial" w:hAnsi="Arial" w:cs="Arial"/>
                <w:sz w:val="20"/>
                <w:szCs w:val="20"/>
              </w:rPr>
            </w:pPr>
            <w:r w:rsidRPr="00167E65">
              <w:rPr>
                <w:rFonts w:ascii="Arial" w:hAnsi="Arial" w:cs="Arial"/>
                <w:sz w:val="20"/>
                <w:szCs w:val="20"/>
              </w:rPr>
              <w:t>Za kmetije, katerih enotna vrednost ne presega 75.000</w:t>
            </w:r>
            <w:r w:rsidR="00A92488">
              <w:rPr>
                <w:rFonts w:ascii="Arial" w:hAnsi="Arial" w:cs="Arial"/>
                <w:sz w:val="20"/>
                <w:szCs w:val="20"/>
              </w:rPr>
              <w:t> </w:t>
            </w:r>
            <w:r>
              <w:rPr>
                <w:rFonts w:ascii="Arial" w:hAnsi="Arial" w:cs="Arial"/>
                <w:sz w:val="20"/>
                <w:szCs w:val="20"/>
              </w:rPr>
              <w:t>EUR</w:t>
            </w:r>
            <w:r w:rsidRPr="00167E65">
              <w:rPr>
                <w:rFonts w:ascii="Arial" w:hAnsi="Arial" w:cs="Arial"/>
                <w:sz w:val="20"/>
                <w:szCs w:val="20"/>
              </w:rPr>
              <w:t xml:space="preserve"> ter imajo največ 60 hektarov obdelovalne zemlje in 120 glav velike živine, velja popolnoma pavšalno ugotavljanje dohodkov. Za take kmetije se davčna osnova kot ocena dohodka določi v višini 42</w:t>
            </w:r>
            <w:r w:rsidR="00A92488">
              <w:rPr>
                <w:rFonts w:ascii="Arial" w:hAnsi="Arial" w:cs="Arial"/>
                <w:sz w:val="20"/>
                <w:szCs w:val="20"/>
              </w:rPr>
              <w:t> </w:t>
            </w:r>
            <w:r w:rsidRPr="00167E65">
              <w:rPr>
                <w:rFonts w:ascii="Arial" w:hAnsi="Arial" w:cs="Arial"/>
                <w:sz w:val="20"/>
                <w:szCs w:val="20"/>
              </w:rPr>
              <w:t xml:space="preserve">% enotne vrednosti. </w:t>
            </w:r>
            <w:r w:rsidR="009B4EDD">
              <w:rPr>
                <w:rFonts w:ascii="Arial" w:hAnsi="Arial" w:cs="Arial"/>
                <w:sz w:val="20"/>
                <w:szCs w:val="20"/>
              </w:rPr>
              <w:t>V zadnjih nekaj letih se kmetijske subvencije tako ugotovljeni davčni osnovi dodajajo, vendar le v nekem odstotku, ki pa se postopoma zvišuje.</w:t>
            </w:r>
            <w:r w:rsidRPr="00167E65">
              <w:rPr>
                <w:rFonts w:ascii="Arial" w:hAnsi="Arial" w:cs="Arial"/>
                <w:sz w:val="20"/>
                <w:szCs w:val="20"/>
              </w:rPr>
              <w:t xml:space="preserve"> Plačila, namenjena vlaganjem v dejavnost kmetijskega gospodarstva so dohodnine oproščena.</w:t>
            </w:r>
          </w:p>
          <w:p w14:paraId="5E658923" w14:textId="77777777" w:rsidR="00CD329B" w:rsidRPr="00167E65" w:rsidRDefault="00CD329B" w:rsidP="00CD329B">
            <w:pPr>
              <w:spacing w:after="0" w:line="260" w:lineRule="exact"/>
              <w:jc w:val="both"/>
              <w:rPr>
                <w:rFonts w:ascii="Arial" w:hAnsi="Arial" w:cs="Arial"/>
                <w:sz w:val="20"/>
                <w:szCs w:val="20"/>
              </w:rPr>
            </w:pPr>
          </w:p>
          <w:p w14:paraId="784AED70" w14:textId="64BDEF1A" w:rsidR="00CD329B" w:rsidRPr="00167E65" w:rsidRDefault="00CD329B" w:rsidP="00CD329B">
            <w:pPr>
              <w:spacing w:after="0" w:line="260" w:lineRule="exact"/>
              <w:jc w:val="both"/>
              <w:rPr>
                <w:rFonts w:ascii="Arial" w:hAnsi="Arial" w:cs="Arial"/>
                <w:sz w:val="20"/>
                <w:szCs w:val="20"/>
              </w:rPr>
            </w:pPr>
            <w:r w:rsidRPr="00167E65">
              <w:rPr>
                <w:rFonts w:ascii="Arial" w:hAnsi="Arial" w:cs="Arial"/>
                <w:sz w:val="20"/>
                <w:szCs w:val="20"/>
              </w:rPr>
              <w:t>Kmetije z ocenjeno vrednostjo nad vrednostjo 75.000</w:t>
            </w:r>
            <w:r w:rsidR="00A92488">
              <w:rPr>
                <w:rFonts w:ascii="Arial" w:hAnsi="Arial" w:cs="Arial"/>
                <w:sz w:val="20"/>
                <w:szCs w:val="20"/>
              </w:rPr>
              <w:t> </w:t>
            </w:r>
            <w:r>
              <w:rPr>
                <w:rFonts w:ascii="Arial" w:hAnsi="Arial" w:cs="Arial"/>
                <w:sz w:val="20"/>
                <w:szCs w:val="20"/>
              </w:rPr>
              <w:t>EUR</w:t>
            </w:r>
            <w:r w:rsidRPr="00167E65">
              <w:rPr>
                <w:rFonts w:ascii="Arial" w:hAnsi="Arial" w:cs="Arial"/>
                <w:sz w:val="20"/>
                <w:szCs w:val="20"/>
              </w:rPr>
              <w:t xml:space="preserve"> morajo voditi vsaj evidenco prihodkov, med katere se štejejo tudi kmetijske subvencije. Za kmetije z ocenjeno vrednostjo med 75.000 in 130.000</w:t>
            </w:r>
            <w:r w:rsidR="00A92488">
              <w:rPr>
                <w:rFonts w:ascii="Arial" w:hAnsi="Arial" w:cs="Arial"/>
                <w:sz w:val="20"/>
                <w:szCs w:val="20"/>
              </w:rPr>
              <w:t> </w:t>
            </w:r>
            <w:r>
              <w:rPr>
                <w:rFonts w:ascii="Arial" w:hAnsi="Arial" w:cs="Arial"/>
                <w:sz w:val="20"/>
                <w:szCs w:val="20"/>
              </w:rPr>
              <w:t>EUR</w:t>
            </w:r>
            <w:r w:rsidRPr="00167E65">
              <w:rPr>
                <w:rFonts w:ascii="Arial" w:hAnsi="Arial" w:cs="Arial"/>
                <w:sz w:val="20"/>
                <w:szCs w:val="20"/>
              </w:rPr>
              <w:t xml:space="preserve"> in s prometom, </w:t>
            </w:r>
            <w:r w:rsidRPr="00167E65">
              <w:rPr>
                <w:rFonts w:ascii="Arial" w:eastAsia="Times New Roman" w:hAnsi="Arial" w:cs="Arial"/>
                <w:sz w:val="20"/>
                <w:szCs w:val="20"/>
                <w:lang w:eastAsia="sl-SI"/>
              </w:rPr>
              <w:t>manjšim od 400.000</w:t>
            </w:r>
            <w:r w:rsidR="00A92488">
              <w:rPr>
                <w:rFonts w:ascii="Arial" w:eastAsia="Times New Roman" w:hAnsi="Arial" w:cs="Arial"/>
                <w:sz w:val="20"/>
                <w:szCs w:val="20"/>
                <w:lang w:eastAsia="sl-SI"/>
              </w:rPr>
              <w:t> </w:t>
            </w:r>
            <w:r>
              <w:rPr>
                <w:rFonts w:ascii="Arial" w:eastAsia="Times New Roman" w:hAnsi="Arial" w:cs="Arial"/>
                <w:sz w:val="20"/>
                <w:szCs w:val="20"/>
                <w:lang w:eastAsia="sl-SI"/>
              </w:rPr>
              <w:t>EUR</w:t>
            </w:r>
            <w:r w:rsidRPr="00167E65">
              <w:rPr>
                <w:rFonts w:ascii="Arial" w:eastAsia="Times New Roman" w:hAnsi="Arial" w:cs="Arial"/>
                <w:sz w:val="20"/>
                <w:szCs w:val="20"/>
                <w:lang w:eastAsia="sl-SI"/>
              </w:rPr>
              <w:t xml:space="preserve"> v zadnjih dveh letih, </w:t>
            </w:r>
            <w:r w:rsidRPr="00167E65">
              <w:rPr>
                <w:rFonts w:ascii="Arial" w:hAnsi="Arial" w:cs="Arial"/>
                <w:sz w:val="20"/>
                <w:szCs w:val="20"/>
              </w:rPr>
              <w:t>velja delno pavšalno ugotavljanje dohodkov z vodenjem evidence prihodkov in priznavanjem normiranih odhodkov v višini 70</w:t>
            </w:r>
            <w:r w:rsidR="00A92488">
              <w:rPr>
                <w:rFonts w:ascii="Arial" w:hAnsi="Arial" w:cs="Arial"/>
                <w:sz w:val="20"/>
                <w:szCs w:val="20"/>
              </w:rPr>
              <w:t> </w:t>
            </w:r>
            <w:r w:rsidRPr="00167E65">
              <w:rPr>
                <w:rFonts w:ascii="Arial" w:hAnsi="Arial" w:cs="Arial"/>
                <w:sz w:val="20"/>
                <w:szCs w:val="20"/>
              </w:rPr>
              <w:t>% (80</w:t>
            </w:r>
            <w:r w:rsidR="00A92488">
              <w:rPr>
                <w:rFonts w:ascii="Arial" w:hAnsi="Arial" w:cs="Arial"/>
                <w:sz w:val="20"/>
                <w:szCs w:val="20"/>
              </w:rPr>
              <w:t> </w:t>
            </w:r>
            <w:r w:rsidRPr="00167E65">
              <w:rPr>
                <w:rFonts w:ascii="Arial" w:hAnsi="Arial" w:cs="Arial"/>
                <w:sz w:val="20"/>
                <w:szCs w:val="20"/>
              </w:rPr>
              <w:t>% za živinorejske kmetije). Za vse kmetije z vrednostjo nad 130.000</w:t>
            </w:r>
            <w:r w:rsidR="00A92488">
              <w:rPr>
                <w:rFonts w:ascii="Arial" w:hAnsi="Arial" w:cs="Arial"/>
                <w:sz w:val="20"/>
                <w:szCs w:val="20"/>
              </w:rPr>
              <w:t> </w:t>
            </w:r>
            <w:r>
              <w:rPr>
                <w:rFonts w:ascii="Arial" w:hAnsi="Arial" w:cs="Arial"/>
                <w:sz w:val="20"/>
                <w:szCs w:val="20"/>
              </w:rPr>
              <w:t>EUR</w:t>
            </w:r>
            <w:r w:rsidRPr="00167E65">
              <w:rPr>
                <w:rFonts w:ascii="Arial" w:hAnsi="Arial" w:cs="Arial"/>
                <w:sz w:val="20"/>
                <w:szCs w:val="20"/>
              </w:rPr>
              <w:t xml:space="preserve"> velja obveznost vodenja prihodkov in odhodkov, vendar imajo kmetije z vrednostjo med 130.000 in 150.000</w:t>
            </w:r>
            <w:r w:rsidR="00A92488">
              <w:rPr>
                <w:rFonts w:ascii="Arial" w:hAnsi="Arial" w:cs="Arial"/>
                <w:sz w:val="20"/>
                <w:szCs w:val="20"/>
              </w:rPr>
              <w:t> </w:t>
            </w:r>
            <w:r>
              <w:rPr>
                <w:rFonts w:ascii="Arial" w:hAnsi="Arial" w:cs="Arial"/>
                <w:sz w:val="20"/>
                <w:szCs w:val="20"/>
              </w:rPr>
              <w:t>EUR</w:t>
            </w:r>
            <w:r w:rsidRPr="00167E65">
              <w:rPr>
                <w:rFonts w:ascii="Arial" w:hAnsi="Arial" w:cs="Arial"/>
                <w:sz w:val="20"/>
                <w:szCs w:val="20"/>
              </w:rPr>
              <w:t xml:space="preserve"> </w:t>
            </w:r>
            <w:r w:rsidR="00A92488">
              <w:rPr>
                <w:rFonts w:ascii="Arial" w:hAnsi="Arial" w:cs="Arial"/>
                <w:sz w:val="20"/>
                <w:szCs w:val="20"/>
              </w:rPr>
              <w:t>ter</w:t>
            </w:r>
            <w:r w:rsidRPr="00167E65">
              <w:rPr>
                <w:rFonts w:ascii="Arial" w:hAnsi="Arial" w:cs="Arial"/>
                <w:sz w:val="20"/>
                <w:szCs w:val="20"/>
              </w:rPr>
              <w:t xml:space="preserve"> prometom, ki v zadnjih dveh letih ne presega 500.000</w:t>
            </w:r>
            <w:r w:rsidR="00A92488">
              <w:rPr>
                <w:rFonts w:ascii="Arial" w:hAnsi="Arial" w:cs="Arial"/>
                <w:sz w:val="20"/>
                <w:szCs w:val="20"/>
              </w:rPr>
              <w:t> </w:t>
            </w:r>
            <w:r>
              <w:rPr>
                <w:rFonts w:ascii="Arial" w:hAnsi="Arial" w:cs="Arial"/>
                <w:sz w:val="20"/>
                <w:szCs w:val="20"/>
              </w:rPr>
              <w:t>EUR</w:t>
            </w:r>
            <w:r w:rsidRPr="00167E65">
              <w:rPr>
                <w:rFonts w:ascii="Arial" w:hAnsi="Arial" w:cs="Arial"/>
                <w:sz w:val="20"/>
                <w:szCs w:val="20"/>
              </w:rPr>
              <w:t>, možnost dohodek ugotavljati na podlagi upoštevanja plačane realizacije.</w:t>
            </w:r>
          </w:p>
          <w:p w14:paraId="6D83C6D7" w14:textId="77777777" w:rsidR="00CD329B" w:rsidRPr="00167E65" w:rsidRDefault="00CD329B" w:rsidP="00CD329B">
            <w:pPr>
              <w:spacing w:after="0" w:line="260" w:lineRule="exact"/>
              <w:jc w:val="both"/>
              <w:rPr>
                <w:rFonts w:ascii="Arial" w:hAnsi="Arial" w:cs="Arial"/>
                <w:sz w:val="20"/>
                <w:szCs w:val="20"/>
              </w:rPr>
            </w:pPr>
          </w:p>
          <w:p w14:paraId="73700855" w14:textId="14FA5411" w:rsidR="00CD329B" w:rsidRPr="00167E65" w:rsidRDefault="00CD329B" w:rsidP="00CD329B">
            <w:pPr>
              <w:spacing w:after="0" w:line="260" w:lineRule="exact"/>
              <w:jc w:val="both"/>
              <w:rPr>
                <w:rFonts w:ascii="Arial" w:hAnsi="Arial" w:cs="Arial"/>
                <w:sz w:val="20"/>
                <w:szCs w:val="20"/>
              </w:rPr>
            </w:pPr>
            <w:r w:rsidRPr="00167E65">
              <w:rPr>
                <w:rFonts w:ascii="Arial" w:hAnsi="Arial" w:cs="Arial"/>
                <w:sz w:val="20"/>
                <w:szCs w:val="20"/>
              </w:rPr>
              <w:t>Okoli 80</w:t>
            </w:r>
            <w:r w:rsidR="00A92488">
              <w:rPr>
                <w:rFonts w:ascii="Arial" w:hAnsi="Arial" w:cs="Arial"/>
                <w:sz w:val="20"/>
                <w:szCs w:val="20"/>
              </w:rPr>
              <w:t> </w:t>
            </w:r>
            <w:r w:rsidRPr="00167E65">
              <w:rPr>
                <w:rFonts w:ascii="Arial" w:hAnsi="Arial" w:cs="Arial"/>
                <w:sz w:val="20"/>
                <w:szCs w:val="20"/>
              </w:rPr>
              <w:t>% vseh kmetij v Avstriji je obdavčenih na podlagi pavšalne davčne osnove.</w:t>
            </w:r>
          </w:p>
          <w:p w14:paraId="2BFCAA2E" w14:textId="77777777" w:rsidR="00CD329B" w:rsidRPr="00167E65" w:rsidRDefault="00CD329B" w:rsidP="00CD329B">
            <w:pPr>
              <w:spacing w:after="0" w:line="260" w:lineRule="exact"/>
              <w:jc w:val="both"/>
              <w:rPr>
                <w:rFonts w:ascii="Arial" w:hAnsi="Arial" w:cs="Arial"/>
                <w:sz w:val="20"/>
                <w:szCs w:val="20"/>
              </w:rPr>
            </w:pPr>
          </w:p>
          <w:p w14:paraId="17195F96" w14:textId="5C8DC1F2" w:rsidR="00CD329B" w:rsidRPr="00167E65" w:rsidRDefault="00CD329B" w:rsidP="00CD329B">
            <w:pPr>
              <w:spacing w:after="0" w:line="260" w:lineRule="exact"/>
              <w:jc w:val="both"/>
              <w:rPr>
                <w:rFonts w:ascii="Arial" w:hAnsi="Arial" w:cs="Arial"/>
                <w:sz w:val="20"/>
                <w:szCs w:val="20"/>
              </w:rPr>
            </w:pPr>
            <w:r w:rsidRPr="00167E65">
              <w:rPr>
                <w:rFonts w:ascii="Arial" w:hAnsi="Arial" w:cs="Arial"/>
                <w:sz w:val="20"/>
                <w:szCs w:val="20"/>
              </w:rPr>
              <w:t>5.</w:t>
            </w:r>
            <w:r w:rsidR="00B531DF">
              <w:rPr>
                <w:rFonts w:ascii="Arial" w:hAnsi="Arial" w:cs="Arial"/>
                <w:sz w:val="20"/>
                <w:szCs w:val="20"/>
              </w:rPr>
              <w:t>6</w:t>
            </w:r>
            <w:r w:rsidRPr="00167E65">
              <w:rPr>
                <w:rFonts w:ascii="Arial" w:hAnsi="Arial" w:cs="Arial"/>
                <w:sz w:val="20"/>
                <w:szCs w:val="20"/>
              </w:rPr>
              <w:t>.2 Italija</w:t>
            </w:r>
          </w:p>
          <w:p w14:paraId="4374ABCC" w14:textId="6277D1BC" w:rsidR="00CD329B" w:rsidRPr="00167E65" w:rsidRDefault="00CD329B" w:rsidP="00CD329B">
            <w:pPr>
              <w:spacing w:after="0" w:line="260" w:lineRule="exact"/>
              <w:jc w:val="both"/>
              <w:rPr>
                <w:rFonts w:ascii="Arial" w:hAnsi="Arial" w:cs="Arial"/>
                <w:sz w:val="20"/>
                <w:szCs w:val="20"/>
              </w:rPr>
            </w:pPr>
            <w:r w:rsidRPr="00167E65">
              <w:rPr>
                <w:rFonts w:ascii="Arial" w:hAnsi="Arial" w:cs="Arial"/>
                <w:sz w:val="20"/>
                <w:szCs w:val="20"/>
              </w:rPr>
              <w:t>V Italiji so vsi dohodki fizičnih oseb od kmetijske dejavnost obdavčeni na podlagi pavšalne ocene dohodka kmetije, ki je določena na podlagi vrednosti zemljišč glede na proizvodni potencial in dejansko rabo (neke vrste katastrski dohodek). Dohodek od kmetijskih zemljišč se za odmero davka od dohodka deli na dva dela</w:t>
            </w:r>
            <w:r w:rsidR="0099640F">
              <w:rPr>
                <w:rFonts w:ascii="Arial" w:hAnsi="Arial" w:cs="Arial"/>
                <w:sz w:val="20"/>
                <w:szCs w:val="20"/>
              </w:rPr>
              <w:t>,</w:t>
            </w:r>
            <w:r w:rsidRPr="00167E65">
              <w:rPr>
                <w:rFonts w:ascii="Arial" w:hAnsi="Arial" w:cs="Arial"/>
                <w:sz w:val="20"/>
                <w:szCs w:val="20"/>
              </w:rPr>
              <w:t xml:space="preserve"> in sicer na posestniški dohodek in kmetijski dohodek. Prvi se praviloma pripiše lastniku zemljišča, drugi pa osebi, ki zemljišče dejansko uporablja. V pavšalno davčno osnovo so teoretično kmetijske subvencije že vključene, kar pomeni, da se posebej ne obdavčuje</w:t>
            </w:r>
            <w:r w:rsidR="0099640F">
              <w:rPr>
                <w:rFonts w:ascii="Arial" w:hAnsi="Arial" w:cs="Arial"/>
                <w:sz w:val="20"/>
                <w:szCs w:val="20"/>
              </w:rPr>
              <w:t>jo</w:t>
            </w:r>
            <w:r w:rsidRPr="00167E65">
              <w:rPr>
                <w:rFonts w:ascii="Arial" w:hAnsi="Arial" w:cs="Arial"/>
                <w:sz w:val="20"/>
                <w:szCs w:val="20"/>
              </w:rPr>
              <w:t xml:space="preserve">. </w:t>
            </w:r>
          </w:p>
          <w:p w14:paraId="6DEF94B0" w14:textId="77777777" w:rsidR="00CD329B" w:rsidRPr="00167E65" w:rsidRDefault="00CD329B" w:rsidP="00CD329B">
            <w:pPr>
              <w:spacing w:after="0" w:line="260" w:lineRule="exact"/>
              <w:jc w:val="both"/>
              <w:rPr>
                <w:rFonts w:ascii="Arial" w:hAnsi="Arial" w:cs="Arial"/>
                <w:sz w:val="20"/>
                <w:szCs w:val="20"/>
              </w:rPr>
            </w:pPr>
          </w:p>
          <w:p w14:paraId="1B280D24" w14:textId="197D3FC0" w:rsidR="00CD329B" w:rsidRPr="00167E65" w:rsidRDefault="00CD329B" w:rsidP="00CD329B">
            <w:pPr>
              <w:spacing w:after="0" w:line="260" w:lineRule="exact"/>
              <w:jc w:val="both"/>
              <w:rPr>
                <w:rFonts w:ascii="Arial" w:hAnsi="Arial" w:cs="Arial"/>
                <w:sz w:val="20"/>
                <w:szCs w:val="20"/>
              </w:rPr>
            </w:pPr>
            <w:r w:rsidRPr="00167E65">
              <w:rPr>
                <w:rFonts w:ascii="Arial" w:hAnsi="Arial" w:cs="Arial"/>
                <w:sz w:val="20"/>
                <w:szCs w:val="20"/>
              </w:rPr>
              <w:t>5.</w:t>
            </w:r>
            <w:r w:rsidR="00B531DF">
              <w:rPr>
                <w:rFonts w:ascii="Arial" w:hAnsi="Arial" w:cs="Arial"/>
                <w:sz w:val="20"/>
                <w:szCs w:val="20"/>
              </w:rPr>
              <w:t>6</w:t>
            </w:r>
            <w:r w:rsidRPr="00167E65">
              <w:rPr>
                <w:rFonts w:ascii="Arial" w:hAnsi="Arial" w:cs="Arial"/>
                <w:sz w:val="20"/>
                <w:szCs w:val="20"/>
              </w:rPr>
              <w:t>.3 Nemčija</w:t>
            </w:r>
          </w:p>
          <w:p w14:paraId="6A8CD273" w14:textId="29B61707" w:rsidR="00CD329B" w:rsidRPr="00167E65" w:rsidRDefault="00CD329B" w:rsidP="00CD3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ascii="Arial" w:hAnsi="Arial" w:cs="Arial"/>
                <w:sz w:val="20"/>
                <w:szCs w:val="20"/>
              </w:rPr>
            </w:pPr>
            <w:r w:rsidRPr="00167E65">
              <w:rPr>
                <w:rFonts w:ascii="Arial" w:hAnsi="Arial" w:cs="Arial"/>
                <w:sz w:val="20"/>
                <w:szCs w:val="20"/>
              </w:rPr>
              <w:t xml:space="preserve">Za davčne namene se dohodek na kmetijah v Nemčiji ugotavlja na tri načine: na podlagi dvostavnega knjigovodstva, kakor ostale gospodarske družbe, na podlagi poenostavljenega sistema evidentiranja prejemkov in izdatkov ali v celoti pavšalno na podlagi s predpisom določenega pavšalnega dohodka. Katera metode ugotavljanja dohodka se upošteva, je odvisno od velikosti oziroma od enotne vrednosti kmetije. </w:t>
            </w:r>
          </w:p>
          <w:p w14:paraId="377284B5" w14:textId="77777777" w:rsidR="00CD329B" w:rsidRPr="00167E65" w:rsidRDefault="00CD329B" w:rsidP="00CD3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ascii="Arial" w:hAnsi="Arial" w:cs="Arial"/>
                <w:sz w:val="20"/>
                <w:szCs w:val="20"/>
              </w:rPr>
            </w:pPr>
          </w:p>
          <w:p w14:paraId="3F59E20E" w14:textId="560E6BFB" w:rsidR="00CD329B" w:rsidRPr="002E1D31" w:rsidRDefault="00CD329B" w:rsidP="00CD3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ascii="Arial" w:eastAsia="Times New Roman" w:hAnsi="Arial" w:cs="Arial"/>
                <w:sz w:val="20"/>
                <w:szCs w:val="20"/>
                <w:lang w:eastAsia="sl-SI"/>
              </w:rPr>
            </w:pPr>
            <w:r w:rsidRPr="00167E65">
              <w:rPr>
                <w:rFonts w:ascii="Arial" w:hAnsi="Arial" w:cs="Arial"/>
                <w:sz w:val="20"/>
                <w:szCs w:val="20"/>
              </w:rPr>
              <w:t xml:space="preserve">Kmetije, </w:t>
            </w:r>
            <w:r w:rsidRPr="002E1D31">
              <w:rPr>
                <w:rFonts w:ascii="Arial" w:eastAsia="Times New Roman" w:hAnsi="Arial" w:cs="Arial"/>
                <w:sz w:val="20"/>
                <w:szCs w:val="20"/>
                <w:lang w:eastAsia="sl-SI"/>
              </w:rPr>
              <w:t>ki imajo manj kot 20 hektar</w:t>
            </w:r>
            <w:r w:rsidR="0099640F">
              <w:rPr>
                <w:rFonts w:ascii="Arial" w:eastAsia="Times New Roman" w:hAnsi="Arial" w:cs="Arial"/>
                <w:sz w:val="20"/>
                <w:szCs w:val="20"/>
                <w:lang w:eastAsia="sl-SI"/>
              </w:rPr>
              <w:t>o</w:t>
            </w:r>
            <w:r w:rsidRPr="002E1D31">
              <w:rPr>
                <w:rFonts w:ascii="Arial" w:eastAsia="Times New Roman" w:hAnsi="Arial" w:cs="Arial"/>
                <w:sz w:val="20"/>
                <w:szCs w:val="20"/>
                <w:lang w:eastAsia="sl-SI"/>
              </w:rPr>
              <w:t>v ali manj kot 50 glav velike živine, lahko koristijo shemo pavšalne obdavčitve. Subvencije so obdavčene kot dodatni dohodek. Take kmetije so v Nemčiji v manjšini.</w:t>
            </w:r>
          </w:p>
          <w:p w14:paraId="764205CE" w14:textId="77777777" w:rsidR="00CD329B" w:rsidRPr="002E1D31" w:rsidRDefault="00CD329B" w:rsidP="00CD3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ascii="Arial" w:eastAsia="Times New Roman" w:hAnsi="Arial" w:cs="Arial"/>
                <w:sz w:val="20"/>
                <w:szCs w:val="20"/>
                <w:lang w:eastAsia="sl-SI"/>
              </w:rPr>
            </w:pPr>
          </w:p>
          <w:p w14:paraId="5DE59E0E" w14:textId="1526D7A5" w:rsidR="00CD329B" w:rsidRPr="00F17E88" w:rsidRDefault="00CD329B" w:rsidP="00CD3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ascii="Arial" w:hAnsi="Arial" w:cs="Arial"/>
                <w:sz w:val="20"/>
                <w:szCs w:val="20"/>
              </w:rPr>
            </w:pPr>
            <w:r w:rsidRPr="002E1D31">
              <w:rPr>
                <w:rFonts w:ascii="Arial" w:eastAsia="Times New Roman" w:hAnsi="Arial" w:cs="Arial"/>
                <w:sz w:val="20"/>
                <w:szCs w:val="20"/>
                <w:lang w:eastAsia="sl-SI"/>
              </w:rPr>
              <w:t>Kmetije z ocenjenim dohodkom do 60.000</w:t>
            </w:r>
            <w:r w:rsidR="0099640F">
              <w:rPr>
                <w:rFonts w:ascii="Arial" w:eastAsia="Times New Roman" w:hAnsi="Arial" w:cs="Arial"/>
                <w:sz w:val="20"/>
                <w:szCs w:val="20"/>
                <w:lang w:eastAsia="sl-SI"/>
              </w:rPr>
              <w:t> </w:t>
            </w:r>
            <w:r>
              <w:rPr>
                <w:rFonts w:ascii="Arial" w:eastAsia="Times New Roman" w:hAnsi="Arial" w:cs="Arial"/>
                <w:sz w:val="20"/>
                <w:szCs w:val="20"/>
                <w:lang w:eastAsia="sl-SI"/>
              </w:rPr>
              <w:t>EUR</w:t>
            </w:r>
            <w:r w:rsidRPr="002E1D31">
              <w:rPr>
                <w:rFonts w:ascii="Arial" w:eastAsia="Times New Roman" w:hAnsi="Arial" w:cs="Arial"/>
                <w:sz w:val="20"/>
                <w:szCs w:val="20"/>
                <w:lang w:eastAsia="sl-SI"/>
              </w:rPr>
              <w:t xml:space="preserve"> ali z ocenjeno vrednostjo do 25.000</w:t>
            </w:r>
            <w:r w:rsidR="0099640F">
              <w:rPr>
                <w:rFonts w:ascii="Arial" w:eastAsia="Times New Roman" w:hAnsi="Arial" w:cs="Arial"/>
                <w:sz w:val="20"/>
                <w:szCs w:val="20"/>
                <w:lang w:eastAsia="sl-SI"/>
              </w:rPr>
              <w:t> </w:t>
            </w:r>
            <w:r>
              <w:rPr>
                <w:rFonts w:ascii="Arial" w:eastAsia="Times New Roman" w:hAnsi="Arial" w:cs="Arial"/>
                <w:sz w:val="20"/>
                <w:szCs w:val="20"/>
                <w:lang w:eastAsia="sl-SI"/>
              </w:rPr>
              <w:t>EUR</w:t>
            </w:r>
            <w:r w:rsidRPr="002E1D31">
              <w:rPr>
                <w:rFonts w:ascii="Arial" w:eastAsia="Times New Roman" w:hAnsi="Arial" w:cs="Arial"/>
                <w:sz w:val="20"/>
                <w:szCs w:val="20"/>
                <w:lang w:eastAsia="sl-SI"/>
              </w:rPr>
              <w:t xml:space="preserve"> imajo možnost dohodek izkazovati na podlagi dejanskih prihodkov in normiranih odhodkov. Kmetije, ki presegajo navedene pragove, in takih je večina (okoli 60</w:t>
            </w:r>
            <w:r w:rsidR="0099640F">
              <w:rPr>
                <w:rFonts w:ascii="Arial" w:eastAsia="Times New Roman" w:hAnsi="Arial" w:cs="Arial"/>
                <w:sz w:val="20"/>
                <w:szCs w:val="20"/>
                <w:lang w:eastAsia="sl-SI"/>
              </w:rPr>
              <w:t> </w:t>
            </w:r>
            <w:r w:rsidRPr="002E1D31">
              <w:rPr>
                <w:rFonts w:ascii="Arial" w:eastAsia="Times New Roman" w:hAnsi="Arial" w:cs="Arial"/>
                <w:sz w:val="20"/>
                <w:szCs w:val="20"/>
                <w:lang w:eastAsia="sl-SI"/>
              </w:rPr>
              <w:t>%), so dolžne uporabljati standardna pravila knjigovodstva.</w:t>
            </w:r>
          </w:p>
          <w:p w14:paraId="4CED606B" w14:textId="77777777" w:rsidR="00CD329B" w:rsidRDefault="00CD329B" w:rsidP="00CD329B">
            <w:pPr>
              <w:spacing w:after="0" w:line="276" w:lineRule="auto"/>
              <w:contextualSpacing/>
              <w:jc w:val="both"/>
              <w:rPr>
                <w:rFonts w:ascii="Arial" w:eastAsia="Times New Roman" w:hAnsi="Arial" w:cs="Arial"/>
                <w:sz w:val="20"/>
                <w:szCs w:val="20"/>
                <w:lang w:eastAsia="sl-SI"/>
              </w:rPr>
            </w:pPr>
          </w:p>
          <w:p w14:paraId="4998C0D6" w14:textId="20CD0284" w:rsidR="00CD329B" w:rsidRDefault="00CD329B" w:rsidP="00CD329B">
            <w:pPr>
              <w:spacing w:after="0" w:line="276"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5.</w:t>
            </w:r>
            <w:r w:rsidR="00B531DF">
              <w:rPr>
                <w:rFonts w:ascii="Arial" w:eastAsia="Times New Roman" w:hAnsi="Arial" w:cs="Arial"/>
                <w:sz w:val="20"/>
                <w:szCs w:val="20"/>
                <w:lang w:eastAsia="sl-SI"/>
              </w:rPr>
              <w:t>6</w:t>
            </w:r>
            <w:r>
              <w:rPr>
                <w:rFonts w:ascii="Arial" w:eastAsia="Times New Roman" w:hAnsi="Arial" w:cs="Arial"/>
                <w:sz w:val="20"/>
                <w:szCs w:val="20"/>
                <w:lang w:eastAsia="sl-SI"/>
              </w:rPr>
              <w:t>.4 Hrvaška</w:t>
            </w:r>
          </w:p>
          <w:p w14:paraId="216841C3" w14:textId="09BB546C" w:rsidR="00CD329B" w:rsidRPr="00CD329B" w:rsidRDefault="00CD329B" w:rsidP="00CD329B">
            <w:pPr>
              <w:spacing w:after="0" w:line="276" w:lineRule="auto"/>
              <w:contextualSpacing/>
              <w:jc w:val="both"/>
              <w:rPr>
                <w:rFonts w:ascii="Arial" w:eastAsia="Times New Roman" w:hAnsi="Arial" w:cs="Arial"/>
                <w:sz w:val="20"/>
                <w:szCs w:val="20"/>
                <w:lang w:eastAsia="sl-SI"/>
              </w:rPr>
            </w:pPr>
            <w:r w:rsidRPr="002E1D31">
              <w:rPr>
                <w:rFonts w:ascii="Arial" w:eastAsia="Times New Roman" w:hAnsi="Arial" w:cs="Arial"/>
                <w:sz w:val="20"/>
                <w:szCs w:val="20"/>
                <w:lang w:eastAsia="sl-SI"/>
              </w:rPr>
              <w:t>Fizične osebe na Hrvaškem najpogosteje opravljajo kmetijsko in gozdarsko dejavnost v okviru družinskih kmetijskih gospodarstev ali kot samostojne osebe. Način obdavčitve dohodkov je odvisen od njihove ekonomske velikosti oziroma obsega prihodkov. Obvezno so zavezanci za dohodnino, kadar so prostovoljno ali obvezno v sistemu davka na dodano vrednost ali realizirajo letni promet v višini vsaj 80.500</w:t>
            </w:r>
            <w:r w:rsidR="0099640F">
              <w:rPr>
                <w:rFonts w:ascii="Arial" w:eastAsia="Times New Roman" w:hAnsi="Arial" w:cs="Arial"/>
                <w:sz w:val="20"/>
                <w:szCs w:val="20"/>
                <w:lang w:eastAsia="sl-SI"/>
              </w:rPr>
              <w:t> HRK</w:t>
            </w:r>
            <w:r w:rsidRPr="002E1D31">
              <w:rPr>
                <w:rFonts w:ascii="Arial" w:eastAsia="Times New Roman" w:hAnsi="Arial" w:cs="Arial"/>
                <w:sz w:val="20"/>
                <w:szCs w:val="20"/>
                <w:lang w:eastAsia="sl-SI"/>
              </w:rPr>
              <w:t xml:space="preserve"> (okoli 10.700</w:t>
            </w:r>
            <w:r w:rsidR="0099640F">
              <w:rPr>
                <w:rFonts w:ascii="Arial" w:eastAsia="Times New Roman" w:hAnsi="Arial" w:cs="Arial"/>
                <w:sz w:val="20"/>
                <w:szCs w:val="20"/>
                <w:lang w:eastAsia="sl-SI"/>
              </w:rPr>
              <w:t> </w:t>
            </w:r>
            <w:r>
              <w:rPr>
                <w:rFonts w:ascii="Arial" w:eastAsia="Times New Roman" w:hAnsi="Arial" w:cs="Arial"/>
                <w:sz w:val="20"/>
                <w:szCs w:val="20"/>
                <w:lang w:eastAsia="sl-SI"/>
              </w:rPr>
              <w:t>EUR</w:t>
            </w:r>
            <w:r w:rsidRPr="002E1D31">
              <w:rPr>
                <w:rFonts w:ascii="Arial" w:eastAsia="Times New Roman" w:hAnsi="Arial" w:cs="Arial"/>
                <w:sz w:val="20"/>
                <w:szCs w:val="20"/>
                <w:lang w:eastAsia="sl-SI"/>
              </w:rPr>
              <w:t>). Praviloma se dohodek ugotavlja na podlagi vodenja knjig kot razlika med prihodki in odhodki. Če kmetijsko gospodarstvo ustvari promet pod pragom za obvezen vstop v sistem DDV, lahko koristi pavšalni način obdavčitve. Zneske pavšalnega dohodka letno določi davčni organ v več razredih glede na obseg prihodkov. Kmetijske subvencije se vštevajo v davčno osnovo kot del prihodka.</w:t>
            </w:r>
          </w:p>
          <w:p w14:paraId="67A93B6F" w14:textId="77777777" w:rsidR="00234F29" w:rsidRDefault="00234F29"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p w14:paraId="3C91A37A" w14:textId="7F0E6E45" w:rsidR="00D83E6C" w:rsidRPr="001F27CB" w:rsidRDefault="00D83E6C" w:rsidP="002E1D31">
            <w:pPr>
              <w:suppressAutoHyphens/>
              <w:overflowPunct w:val="0"/>
              <w:autoSpaceDE w:val="0"/>
              <w:autoSpaceDN w:val="0"/>
              <w:adjustRightInd w:val="0"/>
              <w:spacing w:after="0" w:line="260" w:lineRule="exact"/>
              <w:jc w:val="both"/>
              <w:textAlignment w:val="baseline"/>
              <w:outlineLvl w:val="3"/>
              <w:rPr>
                <w:rFonts w:ascii="Arial" w:eastAsia="Calibri" w:hAnsi="Arial" w:cs="Arial"/>
                <w:sz w:val="20"/>
                <w:szCs w:val="20"/>
              </w:rPr>
            </w:pPr>
          </w:p>
        </w:tc>
      </w:tr>
      <w:tr w:rsidR="004513FD" w:rsidRPr="004513FD" w14:paraId="4BEC4E69" w14:textId="77777777" w:rsidTr="00C106E6">
        <w:tc>
          <w:tcPr>
            <w:tcW w:w="9434" w:type="dxa"/>
          </w:tcPr>
          <w:p w14:paraId="0B75961A" w14:textId="77777777" w:rsid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lastRenderedPageBreak/>
              <w:t>6. PRESOJA POSLEDIC, KI JIH BO IMEL SPREJEM ZAKONA</w:t>
            </w:r>
          </w:p>
          <w:p w14:paraId="452F8ACA" w14:textId="4B4E0729" w:rsidR="00000076" w:rsidRPr="004513FD" w:rsidRDefault="00000076"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p>
        </w:tc>
      </w:tr>
      <w:tr w:rsidR="004513FD" w:rsidRPr="004513FD" w14:paraId="77C4D1FE" w14:textId="77777777" w:rsidTr="00C106E6">
        <w:tc>
          <w:tcPr>
            <w:tcW w:w="9434" w:type="dxa"/>
          </w:tcPr>
          <w:p w14:paraId="4388E29E"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lastRenderedPageBreak/>
              <w:t xml:space="preserve">6.1 Presoja administrativnih posledic </w:t>
            </w:r>
          </w:p>
          <w:p w14:paraId="756AA462"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p>
          <w:p w14:paraId="17312D67"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sz w:val="20"/>
                <w:szCs w:val="20"/>
                <w:lang w:eastAsia="sl-SI"/>
              </w:rPr>
            </w:pPr>
            <w:r w:rsidRPr="004513FD">
              <w:rPr>
                <w:rFonts w:ascii="Arial" w:eastAsia="Times New Roman" w:hAnsi="Arial" w:cs="Arial"/>
                <w:b/>
                <w:sz w:val="20"/>
                <w:szCs w:val="20"/>
                <w:lang w:eastAsia="sl-SI"/>
              </w:rPr>
              <w:t xml:space="preserve">a) v postopkih oziroma poslovanju javne uprave ali pravosodnih organov: </w:t>
            </w:r>
          </w:p>
          <w:p w14:paraId="54A78E2D" w14:textId="77777777" w:rsidR="004513FD" w:rsidRPr="004513FD" w:rsidRDefault="004513FD" w:rsidP="004513FD">
            <w:pPr>
              <w:suppressAutoHyphens/>
              <w:overflowPunct w:val="0"/>
              <w:autoSpaceDE w:val="0"/>
              <w:autoSpaceDN w:val="0"/>
              <w:adjustRightInd w:val="0"/>
              <w:spacing w:after="0" w:line="276" w:lineRule="auto"/>
              <w:contextualSpacing/>
              <w:jc w:val="both"/>
              <w:textAlignment w:val="baseline"/>
              <w:outlineLvl w:val="3"/>
              <w:rPr>
                <w:rFonts w:ascii="Arial" w:eastAsia="Times New Roman" w:hAnsi="Arial" w:cs="Arial"/>
                <w:sz w:val="20"/>
                <w:lang w:eastAsia="sl-SI"/>
              </w:rPr>
            </w:pPr>
          </w:p>
          <w:p w14:paraId="3B06324F" w14:textId="5BDDBF31" w:rsidR="004513FD" w:rsidRPr="004513FD" w:rsidRDefault="004513FD" w:rsidP="004513FD">
            <w:pPr>
              <w:spacing w:after="0" w:line="276" w:lineRule="auto"/>
              <w:contextualSpacing/>
              <w:jc w:val="both"/>
              <w:rPr>
                <w:rFonts w:ascii="Arial" w:eastAsia="Times New Roman" w:hAnsi="Arial" w:cs="Arial"/>
                <w:sz w:val="20"/>
                <w:szCs w:val="20"/>
                <w:lang w:eastAsia="sl-SI"/>
              </w:rPr>
            </w:pPr>
            <w:r w:rsidRPr="004513FD">
              <w:rPr>
                <w:rFonts w:ascii="Arial" w:eastAsia="Times New Roman" w:hAnsi="Arial" w:cs="Arial"/>
                <w:sz w:val="20"/>
                <w:szCs w:val="20"/>
                <w:lang w:eastAsia="sl-SI"/>
              </w:rPr>
              <w:t>Predlagane spremembe zahtevajo tudi spremembe nekaterih podzakonskih aktov. Seznam je naveden v poglavju</w:t>
            </w:r>
            <w:r w:rsidR="0099640F">
              <w:rPr>
                <w:rFonts w:ascii="Arial" w:eastAsia="Times New Roman" w:hAnsi="Arial" w:cs="Arial"/>
                <w:sz w:val="20"/>
                <w:szCs w:val="20"/>
                <w:lang w:eastAsia="sl-SI"/>
              </w:rPr>
              <w:t> </w:t>
            </w:r>
            <w:r w:rsidRPr="004513FD">
              <w:rPr>
                <w:rFonts w:ascii="Arial" w:eastAsia="Times New Roman" w:hAnsi="Arial" w:cs="Arial"/>
                <w:sz w:val="20"/>
                <w:szCs w:val="20"/>
                <w:lang w:eastAsia="sl-SI"/>
              </w:rPr>
              <w:t>2.5 Podzakonski akti. Poleg tega bo morala Finančna uprava Republike Slovenije prilagoditi programsko podporo ter navodila in pojasnila davčnim zavezancem na svojih spletnih straneh.</w:t>
            </w:r>
          </w:p>
        </w:tc>
      </w:tr>
      <w:tr w:rsidR="004513FD" w:rsidRPr="004513FD" w14:paraId="0210EE1E" w14:textId="77777777" w:rsidTr="00C106E6">
        <w:tc>
          <w:tcPr>
            <w:tcW w:w="9434" w:type="dxa"/>
          </w:tcPr>
          <w:p w14:paraId="54B9008C" w14:textId="77777777" w:rsidR="004513FD" w:rsidRPr="004513FD" w:rsidRDefault="004513FD" w:rsidP="004513FD">
            <w:pPr>
              <w:overflowPunct w:val="0"/>
              <w:autoSpaceDE w:val="0"/>
              <w:autoSpaceDN w:val="0"/>
              <w:adjustRightInd w:val="0"/>
              <w:spacing w:after="0" w:line="276" w:lineRule="auto"/>
              <w:ind w:left="709"/>
              <w:jc w:val="both"/>
              <w:textAlignment w:val="baseline"/>
              <w:rPr>
                <w:rFonts w:ascii="Arial" w:eastAsia="Times New Roman" w:hAnsi="Arial" w:cs="Arial"/>
                <w:sz w:val="20"/>
                <w:szCs w:val="20"/>
                <w:lang w:eastAsia="sl-SI"/>
              </w:rPr>
            </w:pPr>
          </w:p>
          <w:p w14:paraId="5856DDB0" w14:textId="77777777" w:rsidR="004513FD" w:rsidRPr="004513FD" w:rsidRDefault="004513FD" w:rsidP="004513FD">
            <w:pPr>
              <w:overflowPunct w:val="0"/>
              <w:autoSpaceDE w:val="0"/>
              <w:autoSpaceDN w:val="0"/>
              <w:adjustRightInd w:val="0"/>
              <w:spacing w:after="0" w:line="276" w:lineRule="auto"/>
              <w:jc w:val="both"/>
              <w:textAlignment w:val="baseline"/>
              <w:rPr>
                <w:rFonts w:ascii="Arial" w:eastAsia="Calibri" w:hAnsi="Arial" w:cs="Times New Roman"/>
                <w:sz w:val="20"/>
                <w:szCs w:val="20"/>
                <w:lang w:eastAsia="sl-SI"/>
              </w:rPr>
            </w:pPr>
            <w:r w:rsidRPr="004513FD">
              <w:rPr>
                <w:rFonts w:ascii="Arial" w:eastAsia="Calibri" w:hAnsi="Arial" w:cs="Arial"/>
                <w:b/>
                <w:sz w:val="20"/>
                <w:szCs w:val="20"/>
                <w:lang w:eastAsia="sl-SI"/>
              </w:rPr>
              <w:t>b) pri obveznostih strank do javne uprave ali pravosodnih organov:</w:t>
            </w:r>
          </w:p>
          <w:p w14:paraId="1783992F" w14:textId="77777777" w:rsidR="004513FD" w:rsidRPr="004513FD" w:rsidRDefault="004513FD" w:rsidP="004513FD">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p>
          <w:p w14:paraId="2E98574C" w14:textId="64FCA845" w:rsidR="004513FD" w:rsidRPr="004513FD" w:rsidRDefault="004513FD" w:rsidP="004513FD">
            <w:pPr>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sidRPr="004513FD">
              <w:rPr>
                <w:rFonts w:ascii="Arial" w:eastAsia="Calibri" w:hAnsi="Arial" w:cs="Arial"/>
                <w:sz w:val="20"/>
                <w:szCs w:val="20"/>
                <w:lang w:eastAsia="sl-SI"/>
              </w:rPr>
              <w:t>Predlagane spremembe ne prinašajo dodatnih administrativnih obremenitev za zavezance.</w:t>
            </w:r>
          </w:p>
          <w:p w14:paraId="2559D36E" w14:textId="77777777" w:rsidR="004513FD" w:rsidRPr="004513FD" w:rsidRDefault="004513FD" w:rsidP="004513FD">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tc>
      </w:tr>
      <w:tr w:rsidR="004513FD" w:rsidRPr="004513FD" w14:paraId="2FD85044" w14:textId="77777777" w:rsidTr="00C106E6">
        <w:tc>
          <w:tcPr>
            <w:tcW w:w="9434" w:type="dxa"/>
          </w:tcPr>
          <w:p w14:paraId="006B35A7" w14:textId="77777777" w:rsidR="004513FD" w:rsidRDefault="004513FD" w:rsidP="00076F4A">
            <w:pPr>
              <w:numPr>
                <w:ilvl w:val="1"/>
                <w:numId w:val="18"/>
              </w:num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t>Presoja posledic za okolje, vključno s prostorskimi in varstvenimi vidiki, in sicer za:</w:t>
            </w:r>
          </w:p>
          <w:p w14:paraId="5E8BAF7E" w14:textId="63C7BB59" w:rsidR="00DC2806" w:rsidRPr="004513FD" w:rsidRDefault="00DC2806" w:rsidP="00DC2806">
            <w:pPr>
              <w:suppressAutoHyphens/>
              <w:overflowPunct w:val="0"/>
              <w:autoSpaceDE w:val="0"/>
              <w:autoSpaceDN w:val="0"/>
              <w:adjustRightInd w:val="0"/>
              <w:spacing w:after="0" w:line="276" w:lineRule="auto"/>
              <w:ind w:left="360"/>
              <w:textAlignment w:val="baseline"/>
              <w:outlineLvl w:val="3"/>
              <w:rPr>
                <w:rFonts w:ascii="Arial" w:eastAsia="Times New Roman" w:hAnsi="Arial" w:cs="Arial"/>
                <w:b/>
                <w:sz w:val="20"/>
                <w:szCs w:val="20"/>
                <w:lang w:eastAsia="sl-SI"/>
              </w:rPr>
            </w:pPr>
          </w:p>
        </w:tc>
      </w:tr>
      <w:tr w:rsidR="004513FD" w:rsidRPr="004513FD" w14:paraId="71384D8F" w14:textId="77777777" w:rsidTr="00C106E6">
        <w:tc>
          <w:tcPr>
            <w:tcW w:w="9434" w:type="dxa"/>
          </w:tcPr>
          <w:p w14:paraId="4E56C109" w14:textId="4BD0475E" w:rsidR="004513FD" w:rsidRPr="004513FD" w:rsidRDefault="00035726" w:rsidP="004513FD">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r w:rsidRPr="00035726">
              <w:rPr>
                <w:rFonts w:ascii="Arial" w:eastAsia="Calibri" w:hAnsi="Arial" w:cs="Arial"/>
                <w:sz w:val="20"/>
                <w:szCs w:val="20"/>
              </w:rPr>
              <w:t xml:space="preserve">Predlog zakona </w:t>
            </w:r>
            <w:r>
              <w:rPr>
                <w:rFonts w:ascii="Arial" w:eastAsia="Calibri" w:hAnsi="Arial" w:cs="Arial"/>
                <w:sz w:val="20"/>
                <w:szCs w:val="20"/>
              </w:rPr>
              <w:t>nima posledic za okolje.</w:t>
            </w:r>
          </w:p>
        </w:tc>
      </w:tr>
      <w:tr w:rsidR="004513FD" w:rsidRPr="004513FD" w14:paraId="71CE0540" w14:textId="77777777" w:rsidTr="00C106E6">
        <w:tc>
          <w:tcPr>
            <w:tcW w:w="9434" w:type="dxa"/>
          </w:tcPr>
          <w:p w14:paraId="1804583E"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p>
          <w:p w14:paraId="79BA0E93"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t>6.3 Presoja posledic za gospodarstvo, in sicer za:</w:t>
            </w:r>
          </w:p>
        </w:tc>
      </w:tr>
      <w:tr w:rsidR="004513FD" w:rsidRPr="004513FD" w14:paraId="592DFB04" w14:textId="77777777" w:rsidTr="00C106E6">
        <w:tc>
          <w:tcPr>
            <w:tcW w:w="9434" w:type="dxa"/>
          </w:tcPr>
          <w:p w14:paraId="07AC5F2A" w14:textId="3534D3FD" w:rsidR="004513FD" w:rsidRPr="004513FD" w:rsidRDefault="004513FD" w:rsidP="004513FD">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p>
          <w:p w14:paraId="74E650F2" w14:textId="1C7A7A53" w:rsidR="007E258F" w:rsidRDefault="00E608B0" w:rsidP="00E608B0">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Predlagane spremembe bodo vplivale na gospodarstvo na način, da bo s prenehanjem zmanjševanja prihodkov državnega proračuna iz dohodnine mo</w:t>
            </w:r>
            <w:r w:rsidR="0099640F">
              <w:rPr>
                <w:rFonts w:ascii="Arial" w:eastAsia="Times New Roman" w:hAnsi="Arial" w:cs="Arial"/>
                <w:sz w:val="20"/>
                <w:szCs w:val="20"/>
                <w:lang w:eastAsia="sl-SI"/>
              </w:rPr>
              <w:t>goče</w:t>
            </w:r>
            <w:r>
              <w:rPr>
                <w:rFonts w:ascii="Arial" w:eastAsia="Times New Roman" w:hAnsi="Arial" w:cs="Arial"/>
                <w:sz w:val="20"/>
                <w:szCs w:val="20"/>
                <w:lang w:eastAsia="sl-SI"/>
              </w:rPr>
              <w:t xml:space="preserve"> vplivati na prerazporeditev prihodkov in javnih storitev. S tem bo v državnem proračunu ostalo več sredstev, ki s</w:t>
            </w:r>
            <w:r w:rsidR="00DC2806">
              <w:rPr>
                <w:rFonts w:ascii="Arial" w:eastAsia="Times New Roman" w:hAnsi="Arial" w:cs="Arial"/>
                <w:sz w:val="20"/>
                <w:szCs w:val="20"/>
                <w:lang w:eastAsia="sl-SI"/>
              </w:rPr>
              <w:t xml:space="preserve">e </w:t>
            </w:r>
            <w:r>
              <w:rPr>
                <w:rFonts w:ascii="Arial" w:eastAsia="Times New Roman" w:hAnsi="Arial" w:cs="Arial"/>
                <w:sz w:val="20"/>
                <w:szCs w:val="20"/>
                <w:lang w:eastAsia="sl-SI"/>
              </w:rPr>
              <w:t xml:space="preserve">bodo lahko prerazporedila na različna področja, tudi </w:t>
            </w:r>
            <w:r w:rsidR="75BF689C">
              <w:rPr>
                <w:rFonts w:ascii="Arial" w:eastAsia="Times New Roman" w:hAnsi="Arial" w:cs="Arial"/>
                <w:sz w:val="20"/>
                <w:szCs w:val="20"/>
                <w:lang w:eastAsia="sl-SI"/>
              </w:rPr>
              <w:t>v</w:t>
            </w:r>
            <w:r>
              <w:rPr>
                <w:rFonts w:ascii="Arial" w:eastAsia="Times New Roman" w:hAnsi="Arial" w:cs="Arial"/>
                <w:sz w:val="20"/>
                <w:szCs w:val="20"/>
                <w:lang w:eastAsia="sl-SI"/>
              </w:rPr>
              <w:t xml:space="preserve"> razvoj gospodarstva. Navedeno je še </w:t>
            </w:r>
            <w:r w:rsidR="0099640F">
              <w:rPr>
                <w:rFonts w:ascii="Arial" w:eastAsia="Times New Roman" w:hAnsi="Arial" w:cs="Arial"/>
                <w:sz w:val="20"/>
                <w:szCs w:val="20"/>
                <w:lang w:eastAsia="sl-SI"/>
              </w:rPr>
              <w:t>zlasti</w:t>
            </w:r>
            <w:r>
              <w:rPr>
                <w:rFonts w:ascii="Arial" w:eastAsia="Times New Roman" w:hAnsi="Arial" w:cs="Arial"/>
                <w:sz w:val="20"/>
                <w:szCs w:val="20"/>
                <w:lang w:eastAsia="sl-SI"/>
              </w:rPr>
              <w:t xml:space="preserve"> pomembno v trenutnih negotovih časih, ko držav</w:t>
            </w:r>
            <w:r w:rsidR="17F0AF05">
              <w:rPr>
                <w:rFonts w:ascii="Arial" w:eastAsia="Times New Roman" w:hAnsi="Arial" w:cs="Arial"/>
                <w:sz w:val="20"/>
                <w:szCs w:val="20"/>
                <w:lang w:eastAsia="sl-SI"/>
              </w:rPr>
              <w:t xml:space="preserve">a zaradi draginje in negotovih razmer </w:t>
            </w:r>
            <w:r w:rsidR="1C1AF2F4">
              <w:rPr>
                <w:rFonts w:ascii="Arial" w:eastAsia="Times New Roman" w:hAnsi="Arial" w:cs="Arial"/>
                <w:sz w:val="20"/>
                <w:szCs w:val="20"/>
                <w:lang w:eastAsia="sl-SI"/>
              </w:rPr>
              <w:t>redno posega na področje gospodarstva</w:t>
            </w:r>
            <w:r>
              <w:rPr>
                <w:rFonts w:ascii="Arial" w:eastAsia="Times New Roman" w:hAnsi="Arial" w:cs="Arial"/>
                <w:sz w:val="20"/>
                <w:szCs w:val="20"/>
                <w:lang w:eastAsia="sl-SI"/>
              </w:rPr>
              <w:t xml:space="preserve">, to pa zahteva tudi močno javnofinančno stabilnost. </w:t>
            </w:r>
            <w:r w:rsidR="004A42E2">
              <w:rPr>
                <w:rFonts w:ascii="Arial" w:eastAsia="Times New Roman" w:hAnsi="Arial" w:cs="Arial"/>
                <w:sz w:val="20"/>
                <w:szCs w:val="20"/>
                <w:lang w:eastAsia="sl-SI"/>
              </w:rPr>
              <w:t xml:space="preserve">Le s stabilnimi javnimi financami in predvsem primerno davčno politiko lahko v časih, ko imamo negotove razmere, </w:t>
            </w:r>
            <w:r w:rsidR="004A42E2" w:rsidRPr="004A42E2">
              <w:rPr>
                <w:rFonts w:ascii="Arial" w:eastAsia="Times New Roman" w:hAnsi="Arial" w:cs="Arial"/>
                <w:sz w:val="20"/>
                <w:szCs w:val="20"/>
                <w:lang w:eastAsia="sl-SI"/>
              </w:rPr>
              <w:t>stabiliz</w:t>
            </w:r>
            <w:r w:rsidR="004A42E2">
              <w:rPr>
                <w:rFonts w:ascii="Arial" w:eastAsia="Times New Roman" w:hAnsi="Arial" w:cs="Arial"/>
                <w:sz w:val="20"/>
                <w:szCs w:val="20"/>
                <w:lang w:eastAsia="sl-SI"/>
              </w:rPr>
              <w:t>iramo</w:t>
            </w:r>
            <w:r w:rsidR="004A42E2" w:rsidRPr="004A42E2">
              <w:rPr>
                <w:rFonts w:ascii="Arial" w:eastAsia="Times New Roman" w:hAnsi="Arial" w:cs="Arial"/>
                <w:sz w:val="20"/>
                <w:szCs w:val="20"/>
                <w:lang w:eastAsia="sl-SI"/>
              </w:rPr>
              <w:t xml:space="preserve"> investicijsk</w:t>
            </w:r>
            <w:r w:rsidR="004A42E2">
              <w:rPr>
                <w:rFonts w:ascii="Arial" w:eastAsia="Times New Roman" w:hAnsi="Arial" w:cs="Arial"/>
                <w:sz w:val="20"/>
                <w:szCs w:val="20"/>
                <w:lang w:eastAsia="sl-SI"/>
              </w:rPr>
              <w:t>a</w:t>
            </w:r>
            <w:r w:rsidR="004A42E2" w:rsidRPr="004A42E2">
              <w:rPr>
                <w:rFonts w:ascii="Arial" w:eastAsia="Times New Roman" w:hAnsi="Arial" w:cs="Arial"/>
                <w:sz w:val="20"/>
                <w:szCs w:val="20"/>
                <w:lang w:eastAsia="sl-SI"/>
              </w:rPr>
              <w:t xml:space="preserve"> pričakovanj</w:t>
            </w:r>
            <w:r w:rsidR="004A42E2">
              <w:rPr>
                <w:rFonts w:ascii="Arial" w:eastAsia="Times New Roman" w:hAnsi="Arial" w:cs="Arial"/>
                <w:sz w:val="20"/>
                <w:szCs w:val="20"/>
                <w:lang w:eastAsia="sl-SI"/>
              </w:rPr>
              <w:t>a</w:t>
            </w:r>
            <w:r w:rsidR="004A42E2" w:rsidRPr="004A42E2">
              <w:rPr>
                <w:rFonts w:ascii="Arial" w:eastAsia="Times New Roman" w:hAnsi="Arial" w:cs="Arial"/>
                <w:sz w:val="20"/>
                <w:szCs w:val="20"/>
                <w:lang w:eastAsia="sl-SI"/>
              </w:rPr>
              <w:t xml:space="preserve">. </w:t>
            </w:r>
            <w:r w:rsidR="00176A61">
              <w:rPr>
                <w:rFonts w:ascii="Arial" w:eastAsia="Times New Roman" w:hAnsi="Arial" w:cs="Arial"/>
                <w:sz w:val="20"/>
                <w:szCs w:val="20"/>
                <w:lang w:eastAsia="sl-SI"/>
              </w:rPr>
              <w:t>S</w:t>
            </w:r>
            <w:r w:rsidR="004A42E2">
              <w:rPr>
                <w:rFonts w:ascii="Arial" w:eastAsia="Times New Roman" w:hAnsi="Arial" w:cs="Arial"/>
                <w:sz w:val="20"/>
                <w:szCs w:val="20"/>
                <w:lang w:eastAsia="sl-SI"/>
              </w:rPr>
              <w:t xml:space="preserve"> tem bo mogoče ustvarjati spodbude, ki bodo zagotavljale </w:t>
            </w:r>
            <w:r w:rsidR="004A42E2" w:rsidRPr="004A42E2">
              <w:rPr>
                <w:rFonts w:ascii="Arial" w:eastAsia="Times New Roman" w:hAnsi="Arial" w:cs="Arial"/>
                <w:sz w:val="20"/>
                <w:szCs w:val="20"/>
                <w:lang w:eastAsia="sl-SI"/>
              </w:rPr>
              <w:t>ugodn</w:t>
            </w:r>
            <w:r w:rsidR="004A42E2">
              <w:rPr>
                <w:rFonts w:ascii="Arial" w:eastAsia="Times New Roman" w:hAnsi="Arial" w:cs="Arial"/>
                <w:sz w:val="20"/>
                <w:szCs w:val="20"/>
                <w:lang w:eastAsia="sl-SI"/>
              </w:rPr>
              <w:t>o</w:t>
            </w:r>
            <w:r w:rsidR="004A42E2" w:rsidRPr="004A42E2">
              <w:rPr>
                <w:rFonts w:ascii="Arial" w:eastAsia="Times New Roman" w:hAnsi="Arial" w:cs="Arial"/>
                <w:sz w:val="20"/>
                <w:szCs w:val="20"/>
                <w:lang w:eastAsia="sl-SI"/>
              </w:rPr>
              <w:t xml:space="preserve"> investicijsk</w:t>
            </w:r>
            <w:r w:rsidR="004A42E2">
              <w:rPr>
                <w:rFonts w:ascii="Arial" w:eastAsia="Times New Roman" w:hAnsi="Arial" w:cs="Arial"/>
                <w:sz w:val="20"/>
                <w:szCs w:val="20"/>
                <w:lang w:eastAsia="sl-SI"/>
              </w:rPr>
              <w:t>o</w:t>
            </w:r>
            <w:r w:rsidR="004A42E2" w:rsidRPr="004A42E2">
              <w:rPr>
                <w:rFonts w:ascii="Arial" w:eastAsia="Times New Roman" w:hAnsi="Arial" w:cs="Arial"/>
                <w:sz w:val="20"/>
                <w:szCs w:val="20"/>
                <w:lang w:eastAsia="sl-SI"/>
              </w:rPr>
              <w:t xml:space="preserve"> okolj</w:t>
            </w:r>
            <w:r w:rsidR="004A42E2">
              <w:rPr>
                <w:rFonts w:ascii="Arial" w:eastAsia="Times New Roman" w:hAnsi="Arial" w:cs="Arial"/>
                <w:sz w:val="20"/>
                <w:szCs w:val="20"/>
                <w:lang w:eastAsia="sl-SI"/>
              </w:rPr>
              <w:t>e</w:t>
            </w:r>
            <w:r w:rsidR="004A42E2" w:rsidRPr="004A42E2">
              <w:rPr>
                <w:rFonts w:ascii="Arial" w:eastAsia="Times New Roman" w:hAnsi="Arial" w:cs="Arial"/>
                <w:sz w:val="20"/>
                <w:szCs w:val="20"/>
                <w:lang w:eastAsia="sl-SI"/>
              </w:rPr>
              <w:t xml:space="preserve"> in povečanje investicij za dvig produktivnosti</w:t>
            </w:r>
            <w:r w:rsidR="004A42E2">
              <w:rPr>
                <w:rFonts w:ascii="Arial" w:eastAsia="Times New Roman" w:hAnsi="Arial" w:cs="Arial"/>
                <w:sz w:val="20"/>
                <w:szCs w:val="20"/>
                <w:lang w:eastAsia="sl-SI"/>
              </w:rPr>
              <w:t>.</w:t>
            </w:r>
          </w:p>
          <w:p w14:paraId="24D46F7C" w14:textId="04C5C03E" w:rsidR="00C875AE" w:rsidRDefault="00C875AE" w:rsidP="00E608B0">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p>
          <w:p w14:paraId="1E2545B9" w14:textId="21B374BB" w:rsidR="00C875AE" w:rsidRPr="00C875AE" w:rsidRDefault="00C875AE" w:rsidP="00C875AE">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r w:rsidRPr="00C875AE">
              <w:rPr>
                <w:rFonts w:ascii="Arial" w:eastAsia="Times New Roman" w:hAnsi="Arial" w:cs="Arial"/>
                <w:sz w:val="20"/>
                <w:szCs w:val="20"/>
                <w:lang w:eastAsia="sl-SI"/>
              </w:rPr>
              <w:t>Spremembe v sistemu ugotavljanja davčne osnove z upoštevanjem normiranih odhodkov bodo imele za posledico povečanje obremenitve določenih zavezancev. Vendar je ob tem treba poudariti, da je ob vrednotenju vplivov treba upoštevati, da se ob ohranitvi enostavnosti sistema zasleduje tudi povečanje pravičnosti sistema</w:t>
            </w:r>
            <w:r w:rsidR="0099640F">
              <w:rPr>
                <w:rFonts w:ascii="Arial" w:eastAsia="Times New Roman" w:hAnsi="Arial" w:cs="Arial"/>
                <w:sz w:val="20"/>
                <w:szCs w:val="20"/>
                <w:lang w:eastAsia="sl-SI"/>
              </w:rPr>
              <w:t>,</w:t>
            </w:r>
            <w:r w:rsidRPr="00C875AE">
              <w:rPr>
                <w:rFonts w:ascii="Arial" w:eastAsia="Times New Roman" w:hAnsi="Arial" w:cs="Arial"/>
                <w:sz w:val="20"/>
                <w:szCs w:val="20"/>
                <w:lang w:eastAsia="sl-SI"/>
              </w:rPr>
              <w:t xml:space="preserve"> in torej v večji meri obdavčevanje po ekonomski moči. Sistem normiranih odhodkov predstavlja pomembno spodbudo za uporabo nezakonitih praks na trgu dela in prilagajanja zavezancev s prikrivanjem dejanskega razmerja oziroma stanja. Posredno je cilj tudi pravičnejša participacija v sistemu uveljavljanja pravic iz javnih sredstev in sistemu socialnih zavarovanj.</w:t>
            </w:r>
          </w:p>
          <w:p w14:paraId="16F07CA3" w14:textId="7C91F4B5" w:rsidR="00C875AE" w:rsidRPr="00C875AE" w:rsidRDefault="00C875AE" w:rsidP="00C875AE">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p>
          <w:p w14:paraId="22EA360F" w14:textId="77777777" w:rsidR="00C875AE" w:rsidRPr="00C875AE" w:rsidRDefault="00C875AE" w:rsidP="00C875AE">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r w:rsidRPr="00C875AE">
              <w:rPr>
                <w:rFonts w:ascii="Arial" w:eastAsia="Times New Roman" w:hAnsi="Arial" w:cs="Arial"/>
                <w:sz w:val="20"/>
                <w:szCs w:val="20"/>
                <w:lang w:eastAsia="sl-SI"/>
              </w:rPr>
              <w:t>Nadalje je treba poudariti, da se mnogi zavezanci, ki ugotavljajo davčno osnovo z upoštevanjem normiranih odhodkov (lahko bi vodili zgolj enostavne evidence), kljub temu odločijo za vodenje knjigovodstva, s čimer se potrjuje, da ni vedno glavni motiv za vstop v sistem normiranih odhodkov administrativna razbremenitev ter da tudi mali poslovni subjekti potrebujejo knjigovodske oziroma računovodske informacije za druge nedavčne, lastne namene. Nadalje je treba upoštevati, da v sistem vstopajo predvsem tisti iz storitvenih dejavnosti, ki so stroškovno neintenzivne (strokovne, znanstvene in tehnične dejavnosti, informacijske in komunikacijske dejavnosti, kulturne, razvedrilne in rekreacijske dejavnosti).</w:t>
            </w:r>
          </w:p>
          <w:p w14:paraId="3805FFAA" w14:textId="7B77BF98" w:rsidR="00E608B0" w:rsidRPr="004513FD" w:rsidRDefault="00E608B0" w:rsidP="007A1ED6">
            <w:pPr>
              <w:overflowPunct w:val="0"/>
              <w:autoSpaceDE w:val="0"/>
              <w:autoSpaceDN w:val="0"/>
              <w:adjustRightInd w:val="0"/>
              <w:spacing w:after="0" w:line="276" w:lineRule="auto"/>
              <w:contextualSpacing/>
              <w:jc w:val="both"/>
              <w:textAlignment w:val="baseline"/>
              <w:rPr>
                <w:rFonts w:ascii="Calibri" w:eastAsia="Calibri" w:hAnsi="Calibri" w:cs="Times New Roman"/>
              </w:rPr>
            </w:pPr>
          </w:p>
        </w:tc>
      </w:tr>
      <w:tr w:rsidR="004513FD" w:rsidRPr="004513FD" w14:paraId="2D5B878E" w14:textId="77777777" w:rsidTr="00C106E6">
        <w:tc>
          <w:tcPr>
            <w:tcW w:w="9434" w:type="dxa"/>
          </w:tcPr>
          <w:p w14:paraId="5403B59F" w14:textId="19542934"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Calibri" w:hAnsi="Arial" w:cs="Arial"/>
                <w:b/>
                <w:sz w:val="20"/>
                <w:szCs w:val="20"/>
              </w:rPr>
            </w:pPr>
            <w:r w:rsidRPr="00AC6F2A">
              <w:rPr>
                <w:rFonts w:ascii="Arial" w:eastAsia="Calibri" w:hAnsi="Arial" w:cs="Arial"/>
                <w:b/>
                <w:bCs/>
                <w:sz w:val="20"/>
                <w:szCs w:val="20"/>
              </w:rPr>
              <w:t>6.4</w:t>
            </w:r>
            <w:r w:rsidRPr="004513FD">
              <w:rPr>
                <w:rFonts w:ascii="Arial" w:eastAsia="Calibri" w:hAnsi="Arial" w:cs="Arial"/>
                <w:sz w:val="20"/>
                <w:szCs w:val="20"/>
              </w:rPr>
              <w:t xml:space="preserve"> </w:t>
            </w:r>
            <w:r w:rsidRPr="004513FD">
              <w:rPr>
                <w:rFonts w:ascii="Arial" w:eastAsia="Calibri" w:hAnsi="Arial" w:cs="Arial"/>
                <w:b/>
                <w:sz w:val="20"/>
                <w:szCs w:val="20"/>
              </w:rPr>
              <w:t>Presoja posledic za socialno področje, in sicer za:</w:t>
            </w:r>
          </w:p>
        </w:tc>
      </w:tr>
      <w:tr w:rsidR="004513FD" w:rsidRPr="004513FD" w14:paraId="7EBBAD79" w14:textId="77777777" w:rsidTr="00C106E6">
        <w:tc>
          <w:tcPr>
            <w:tcW w:w="9434" w:type="dxa"/>
          </w:tcPr>
          <w:p w14:paraId="2B6C108E" w14:textId="77777777" w:rsidR="004513FD" w:rsidRPr="004513FD" w:rsidRDefault="004513FD" w:rsidP="004513FD">
            <w:pPr>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6AE1E531" w14:textId="38CB5E12" w:rsidR="004513FD" w:rsidRPr="004513FD" w:rsidRDefault="00E608B0" w:rsidP="004513FD">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Predlagane spremembe bodo vplivale na socialno področje </w:t>
            </w:r>
            <w:r w:rsidR="0099640F">
              <w:rPr>
                <w:rFonts w:ascii="Arial" w:eastAsia="Times New Roman" w:hAnsi="Arial" w:cs="Arial"/>
                <w:sz w:val="20"/>
                <w:szCs w:val="20"/>
                <w:lang w:eastAsia="sl-SI"/>
              </w:rPr>
              <w:t>tako</w:t>
            </w:r>
            <w:r>
              <w:rPr>
                <w:rFonts w:ascii="Arial" w:eastAsia="Times New Roman" w:hAnsi="Arial" w:cs="Arial"/>
                <w:sz w:val="20"/>
                <w:szCs w:val="20"/>
                <w:lang w:eastAsia="sl-SI"/>
              </w:rPr>
              <w:t>, da bo s prenehanjem zmanjševanja odliva prihodkov državnega proračuna iz dohodnine mo</w:t>
            </w:r>
            <w:r w:rsidR="0099640F">
              <w:rPr>
                <w:rFonts w:ascii="Arial" w:eastAsia="Times New Roman" w:hAnsi="Arial" w:cs="Arial"/>
                <w:sz w:val="20"/>
                <w:szCs w:val="20"/>
                <w:lang w:eastAsia="sl-SI"/>
              </w:rPr>
              <w:t>goče</w:t>
            </w:r>
            <w:r>
              <w:rPr>
                <w:rFonts w:ascii="Arial" w:eastAsia="Times New Roman" w:hAnsi="Arial" w:cs="Arial"/>
                <w:sz w:val="20"/>
                <w:szCs w:val="20"/>
                <w:lang w:eastAsia="sl-SI"/>
              </w:rPr>
              <w:t xml:space="preserve"> vplivati na prerazporeditev prihodkov in javnih storitev. S tem bo v državnem proračunu ostalo več sredstev, ki s</w:t>
            </w:r>
            <w:r w:rsidR="008D107D">
              <w:rPr>
                <w:rFonts w:ascii="Arial" w:eastAsia="Times New Roman" w:hAnsi="Arial" w:cs="Arial"/>
                <w:sz w:val="20"/>
                <w:szCs w:val="20"/>
                <w:lang w:eastAsia="sl-SI"/>
              </w:rPr>
              <w:t>e</w:t>
            </w:r>
            <w:r>
              <w:rPr>
                <w:rFonts w:ascii="Arial" w:eastAsia="Times New Roman" w:hAnsi="Arial" w:cs="Arial"/>
                <w:sz w:val="20"/>
                <w:szCs w:val="20"/>
                <w:lang w:eastAsia="sl-SI"/>
              </w:rPr>
              <w:t xml:space="preserve"> bodo lahko v skladu z zavezami v koalicijski pogodbi prerazporedila na različna področja, tudi </w:t>
            </w:r>
            <w:r w:rsidR="00EA472C">
              <w:rPr>
                <w:rFonts w:ascii="Arial" w:eastAsia="Times New Roman" w:hAnsi="Arial" w:cs="Arial"/>
                <w:sz w:val="20"/>
                <w:szCs w:val="20"/>
                <w:lang w:eastAsia="sl-SI"/>
              </w:rPr>
              <w:t>na</w:t>
            </w:r>
            <w:r>
              <w:rPr>
                <w:rFonts w:ascii="Arial" w:eastAsia="Times New Roman" w:hAnsi="Arial" w:cs="Arial"/>
                <w:sz w:val="20"/>
                <w:szCs w:val="20"/>
                <w:lang w:eastAsia="sl-SI"/>
              </w:rPr>
              <w:t xml:space="preserve"> področje socialne varnosti.</w:t>
            </w:r>
          </w:p>
          <w:p w14:paraId="5895B4B4" w14:textId="77777777" w:rsidR="004513FD" w:rsidRPr="006727E1" w:rsidRDefault="004513FD" w:rsidP="006727E1">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p>
          <w:p w14:paraId="52EA9CC8" w14:textId="3C861F2F" w:rsidR="009E76ED" w:rsidRDefault="009E76ED" w:rsidP="004956A6">
            <w:pPr>
              <w:spacing w:after="0" w:line="276" w:lineRule="auto"/>
              <w:jc w:val="both"/>
              <w:rPr>
                <w:rFonts w:ascii="Arial" w:hAnsi="Arial" w:cs="Arial"/>
                <w:sz w:val="20"/>
                <w:szCs w:val="20"/>
              </w:rPr>
            </w:pPr>
            <w:r w:rsidRPr="006727E1">
              <w:rPr>
                <w:rFonts w:ascii="Arial" w:hAnsi="Arial" w:cs="Arial"/>
                <w:sz w:val="20"/>
                <w:szCs w:val="20"/>
              </w:rPr>
              <w:lastRenderedPageBreak/>
              <w:t>Rešitv</w:t>
            </w:r>
            <w:r w:rsidR="199BD129" w:rsidRPr="006727E1">
              <w:rPr>
                <w:rFonts w:ascii="Arial" w:hAnsi="Arial" w:cs="Arial"/>
                <w:sz w:val="20"/>
                <w:szCs w:val="20"/>
              </w:rPr>
              <w:t>i</w:t>
            </w:r>
            <w:r w:rsidRPr="006727E1">
              <w:rPr>
                <w:rFonts w:ascii="Arial" w:hAnsi="Arial" w:cs="Arial"/>
                <w:sz w:val="20"/>
                <w:szCs w:val="20"/>
              </w:rPr>
              <w:t xml:space="preserve"> </w:t>
            </w:r>
            <w:r w:rsidR="7E22550E" w:rsidRPr="006727E1">
              <w:rPr>
                <w:rFonts w:ascii="Arial" w:hAnsi="Arial" w:cs="Arial"/>
                <w:sz w:val="20"/>
                <w:szCs w:val="20"/>
              </w:rPr>
              <w:t>znižanj</w:t>
            </w:r>
            <w:r w:rsidR="199BD129" w:rsidRPr="006727E1">
              <w:rPr>
                <w:rFonts w:ascii="Arial" w:hAnsi="Arial" w:cs="Arial"/>
                <w:sz w:val="20"/>
                <w:szCs w:val="20"/>
              </w:rPr>
              <w:t>a</w:t>
            </w:r>
            <w:r w:rsidR="0079642E">
              <w:rPr>
                <w:rFonts w:ascii="Arial" w:hAnsi="Arial" w:cs="Arial"/>
                <w:sz w:val="20"/>
                <w:szCs w:val="20"/>
              </w:rPr>
              <w:t xml:space="preserve"> </w:t>
            </w:r>
            <w:r w:rsidRPr="006727E1">
              <w:rPr>
                <w:rFonts w:ascii="Arial" w:hAnsi="Arial" w:cs="Arial"/>
                <w:sz w:val="20"/>
                <w:szCs w:val="20"/>
              </w:rPr>
              <w:t xml:space="preserve">splošne olajšave na letni ravni </w:t>
            </w:r>
            <w:r w:rsidR="0079642E">
              <w:rPr>
                <w:rFonts w:ascii="Arial" w:hAnsi="Arial" w:cs="Arial"/>
                <w:sz w:val="20"/>
                <w:szCs w:val="20"/>
              </w:rPr>
              <w:t>na 5</w:t>
            </w:r>
            <w:r w:rsidRPr="006727E1">
              <w:rPr>
                <w:rFonts w:ascii="Arial" w:hAnsi="Arial" w:cs="Arial"/>
                <w:sz w:val="20"/>
                <w:szCs w:val="20"/>
              </w:rPr>
              <w:t>.</w:t>
            </w:r>
            <w:r w:rsidR="0079642E">
              <w:rPr>
                <w:rFonts w:ascii="Arial" w:hAnsi="Arial" w:cs="Arial"/>
                <w:sz w:val="20"/>
                <w:szCs w:val="20"/>
              </w:rPr>
              <w:t>0</w:t>
            </w:r>
            <w:r w:rsidRPr="006727E1">
              <w:rPr>
                <w:rFonts w:ascii="Arial" w:hAnsi="Arial" w:cs="Arial"/>
                <w:sz w:val="20"/>
                <w:szCs w:val="20"/>
              </w:rPr>
              <w:t>00</w:t>
            </w:r>
            <w:r w:rsidR="00EB7F56">
              <w:rPr>
                <w:rFonts w:ascii="Arial" w:hAnsi="Arial" w:cs="Arial"/>
                <w:sz w:val="20"/>
                <w:szCs w:val="20"/>
              </w:rPr>
              <w:t> </w:t>
            </w:r>
            <w:r w:rsidR="00BC6CA6">
              <w:rPr>
                <w:rFonts w:ascii="Arial" w:hAnsi="Arial" w:cs="Arial"/>
                <w:sz w:val="20"/>
                <w:szCs w:val="20"/>
              </w:rPr>
              <w:t>EUR</w:t>
            </w:r>
            <w:r w:rsidR="7E22550E">
              <w:rPr>
                <w:rFonts w:ascii="Arial" w:hAnsi="Arial" w:cs="Arial"/>
                <w:sz w:val="20"/>
                <w:szCs w:val="20"/>
              </w:rPr>
              <w:t xml:space="preserve"> (</w:t>
            </w:r>
            <w:r w:rsidR="005420A2">
              <w:rPr>
                <w:rFonts w:ascii="Arial" w:hAnsi="Arial" w:cs="Arial"/>
                <w:sz w:val="20"/>
                <w:szCs w:val="20"/>
              </w:rPr>
              <w:t>sicer</w:t>
            </w:r>
            <w:r w:rsidR="7E22550E">
              <w:rPr>
                <w:rFonts w:ascii="Arial" w:hAnsi="Arial" w:cs="Arial"/>
                <w:sz w:val="20"/>
                <w:szCs w:val="20"/>
              </w:rPr>
              <w:t xml:space="preserve"> </w:t>
            </w:r>
            <w:r w:rsidR="005420A2">
              <w:rPr>
                <w:rFonts w:ascii="Arial" w:hAnsi="Arial" w:cs="Arial"/>
                <w:sz w:val="20"/>
                <w:szCs w:val="20"/>
              </w:rPr>
              <w:t>z</w:t>
            </w:r>
            <w:r w:rsidR="7E22550E">
              <w:rPr>
                <w:rFonts w:ascii="Arial" w:hAnsi="Arial" w:cs="Arial"/>
                <w:sz w:val="20"/>
                <w:szCs w:val="20"/>
              </w:rPr>
              <w:t>višanja glede na leto 2022)</w:t>
            </w:r>
            <w:r w:rsidR="00BC6CA6">
              <w:rPr>
                <w:rFonts w:ascii="Arial" w:hAnsi="Arial" w:cs="Arial"/>
                <w:sz w:val="20"/>
                <w:szCs w:val="20"/>
              </w:rPr>
              <w:t xml:space="preserve"> </w:t>
            </w:r>
            <w:r w:rsidR="0079642E">
              <w:rPr>
                <w:rFonts w:ascii="Arial" w:hAnsi="Arial" w:cs="Arial"/>
                <w:sz w:val="20"/>
                <w:szCs w:val="20"/>
              </w:rPr>
              <w:t>in zvišanja</w:t>
            </w:r>
            <w:r w:rsidR="00BC6CA6" w:rsidRPr="006727E1">
              <w:rPr>
                <w:rFonts w:ascii="Arial" w:hAnsi="Arial" w:cs="Arial"/>
                <w:sz w:val="20"/>
                <w:szCs w:val="20"/>
              </w:rPr>
              <w:t xml:space="preserve"> </w:t>
            </w:r>
            <w:r w:rsidR="004D545D" w:rsidRPr="0079692B">
              <w:rPr>
                <w:rFonts w:ascii="Arial" w:eastAsia="Calibri" w:hAnsi="Arial" w:cs="Arial"/>
                <w:sz w:val="20"/>
                <w:szCs w:val="20"/>
              </w:rPr>
              <w:t>skupn</w:t>
            </w:r>
            <w:r w:rsidR="004D545D">
              <w:rPr>
                <w:rFonts w:ascii="Arial" w:eastAsia="Calibri" w:hAnsi="Arial" w:cs="Arial"/>
                <w:sz w:val="20"/>
                <w:szCs w:val="20"/>
              </w:rPr>
              <w:t>ega</w:t>
            </w:r>
            <w:r w:rsidR="004D545D" w:rsidRPr="0079692B">
              <w:rPr>
                <w:rFonts w:ascii="Arial" w:eastAsia="Calibri" w:hAnsi="Arial" w:cs="Arial"/>
                <w:sz w:val="20"/>
                <w:szCs w:val="20"/>
              </w:rPr>
              <w:t xml:space="preserve"> dohodk</w:t>
            </w:r>
            <w:r w:rsidR="004D545D">
              <w:rPr>
                <w:rFonts w:ascii="Arial" w:eastAsia="Calibri" w:hAnsi="Arial" w:cs="Arial"/>
                <w:sz w:val="20"/>
                <w:szCs w:val="20"/>
              </w:rPr>
              <w:t>a</w:t>
            </w:r>
            <w:r w:rsidR="004D545D" w:rsidRPr="0079692B">
              <w:rPr>
                <w:rFonts w:ascii="Arial" w:eastAsia="Calibri" w:hAnsi="Arial" w:cs="Arial"/>
                <w:sz w:val="20"/>
                <w:szCs w:val="20"/>
              </w:rPr>
              <w:t>, do katerega se rezidentu poleg splošne olajšave prizna tudi dodatna splošna olajšav</w:t>
            </w:r>
            <w:r w:rsidR="00804588">
              <w:rPr>
                <w:rFonts w:ascii="Arial" w:eastAsia="Calibri" w:hAnsi="Arial" w:cs="Arial"/>
                <w:sz w:val="20"/>
                <w:szCs w:val="20"/>
              </w:rPr>
              <w:t>a</w:t>
            </w:r>
            <w:r w:rsidR="5D1D394C" w:rsidRPr="0079692B">
              <w:rPr>
                <w:rFonts w:ascii="Arial" w:eastAsia="Calibri" w:hAnsi="Arial" w:cs="Arial"/>
                <w:sz w:val="20"/>
                <w:szCs w:val="20"/>
              </w:rPr>
              <w:t xml:space="preserve"> (</w:t>
            </w:r>
            <w:r w:rsidR="004D545D" w:rsidRPr="0079692B">
              <w:rPr>
                <w:rFonts w:ascii="Arial" w:eastAsia="Calibri" w:hAnsi="Arial" w:cs="Arial"/>
                <w:sz w:val="20"/>
                <w:szCs w:val="20"/>
              </w:rPr>
              <w:t>poveča</w:t>
            </w:r>
            <w:r w:rsidR="5D1D394C" w:rsidRPr="0079692B">
              <w:rPr>
                <w:rFonts w:ascii="Arial" w:eastAsia="Calibri" w:hAnsi="Arial" w:cs="Arial"/>
                <w:sz w:val="20"/>
                <w:szCs w:val="20"/>
              </w:rPr>
              <w:t>nje</w:t>
            </w:r>
            <w:r w:rsidR="004D545D" w:rsidRPr="0079692B">
              <w:rPr>
                <w:rFonts w:ascii="Arial" w:eastAsia="Calibri" w:hAnsi="Arial" w:cs="Arial"/>
                <w:sz w:val="20"/>
                <w:szCs w:val="20"/>
              </w:rPr>
              <w:t xml:space="preserve"> s 13.716,33</w:t>
            </w:r>
            <w:r w:rsidR="0099640F">
              <w:rPr>
                <w:rFonts w:ascii="Arial" w:eastAsia="Calibri" w:hAnsi="Arial" w:cs="Arial"/>
                <w:sz w:val="20"/>
                <w:szCs w:val="20"/>
              </w:rPr>
              <w:t> </w:t>
            </w:r>
            <w:r w:rsidR="004D545D" w:rsidRPr="0079692B">
              <w:rPr>
                <w:rFonts w:ascii="Arial" w:eastAsia="Calibri" w:hAnsi="Arial" w:cs="Arial"/>
                <w:sz w:val="20"/>
                <w:szCs w:val="20"/>
              </w:rPr>
              <w:t>EUR na 1</w:t>
            </w:r>
            <w:r w:rsidR="00C75AB3">
              <w:rPr>
                <w:rFonts w:ascii="Arial" w:eastAsia="Calibri" w:hAnsi="Arial" w:cs="Arial"/>
                <w:sz w:val="20"/>
                <w:szCs w:val="20"/>
              </w:rPr>
              <w:t>6</w:t>
            </w:r>
            <w:r w:rsidR="004D545D" w:rsidRPr="0079692B">
              <w:rPr>
                <w:rFonts w:ascii="Arial" w:eastAsia="Calibri" w:hAnsi="Arial" w:cs="Arial"/>
                <w:sz w:val="20"/>
                <w:szCs w:val="20"/>
              </w:rPr>
              <w:t>.000</w:t>
            </w:r>
            <w:r w:rsidR="0099640F">
              <w:rPr>
                <w:rFonts w:ascii="Arial" w:eastAsia="Calibri" w:hAnsi="Arial" w:cs="Arial"/>
                <w:sz w:val="20"/>
                <w:szCs w:val="20"/>
              </w:rPr>
              <w:t> </w:t>
            </w:r>
            <w:r w:rsidR="004D545D" w:rsidRPr="0079692B">
              <w:rPr>
                <w:rFonts w:ascii="Arial" w:eastAsia="Calibri" w:hAnsi="Arial" w:cs="Arial"/>
                <w:sz w:val="20"/>
                <w:szCs w:val="20"/>
              </w:rPr>
              <w:t>EUR</w:t>
            </w:r>
            <w:r w:rsidR="5D1D394C" w:rsidRPr="0079692B">
              <w:rPr>
                <w:rFonts w:ascii="Arial" w:eastAsia="Calibri" w:hAnsi="Arial" w:cs="Arial"/>
                <w:sz w:val="20"/>
                <w:szCs w:val="20"/>
              </w:rPr>
              <w:t>)</w:t>
            </w:r>
            <w:r>
              <w:rPr>
                <w:rFonts w:ascii="Arial" w:eastAsia="Calibri" w:hAnsi="Arial" w:cs="Arial"/>
                <w:sz w:val="20"/>
                <w:szCs w:val="20"/>
              </w:rPr>
              <w:t>,</w:t>
            </w:r>
            <w:r w:rsidRPr="006727E1">
              <w:rPr>
                <w:rFonts w:ascii="Arial" w:hAnsi="Arial" w:cs="Arial"/>
                <w:sz w:val="20"/>
                <w:szCs w:val="20"/>
              </w:rPr>
              <w:t xml:space="preserve"> </w:t>
            </w:r>
            <w:r w:rsidR="000E2E52">
              <w:rPr>
                <w:rFonts w:ascii="Arial" w:hAnsi="Arial" w:cs="Arial"/>
                <w:sz w:val="20"/>
                <w:szCs w:val="20"/>
              </w:rPr>
              <w:t xml:space="preserve">v primerjavi z </w:t>
            </w:r>
            <w:r w:rsidR="004C3958">
              <w:rPr>
                <w:rFonts w:ascii="Arial" w:hAnsi="Arial" w:cs="Arial"/>
                <w:sz w:val="20"/>
                <w:szCs w:val="20"/>
              </w:rPr>
              <w:t xml:space="preserve">veljavno </w:t>
            </w:r>
            <w:r w:rsidR="000E2E52">
              <w:rPr>
                <w:rFonts w:ascii="Arial" w:hAnsi="Arial" w:cs="Arial"/>
                <w:sz w:val="20"/>
                <w:szCs w:val="20"/>
              </w:rPr>
              <w:t xml:space="preserve">obdavčitvijo </w:t>
            </w:r>
            <w:r w:rsidR="00EA3F84">
              <w:rPr>
                <w:rFonts w:ascii="Arial" w:hAnsi="Arial" w:cs="Arial"/>
                <w:sz w:val="20"/>
                <w:szCs w:val="20"/>
              </w:rPr>
              <w:t>v letu 202</w:t>
            </w:r>
            <w:r w:rsidR="004C3958">
              <w:rPr>
                <w:rFonts w:ascii="Arial" w:hAnsi="Arial" w:cs="Arial"/>
                <w:sz w:val="20"/>
                <w:szCs w:val="20"/>
              </w:rPr>
              <w:t>2</w:t>
            </w:r>
            <w:r w:rsidRPr="006727E1">
              <w:rPr>
                <w:rFonts w:ascii="Arial" w:hAnsi="Arial" w:cs="Arial"/>
                <w:sz w:val="20"/>
                <w:szCs w:val="20"/>
              </w:rPr>
              <w:t>,</w:t>
            </w:r>
            <w:r w:rsidR="00EA3F84">
              <w:rPr>
                <w:rFonts w:ascii="Arial" w:hAnsi="Arial" w:cs="Arial"/>
                <w:sz w:val="20"/>
                <w:szCs w:val="20"/>
              </w:rPr>
              <w:t xml:space="preserve"> pomenita</w:t>
            </w:r>
            <w:r w:rsidRPr="006727E1">
              <w:rPr>
                <w:rFonts w:ascii="Arial" w:hAnsi="Arial" w:cs="Arial"/>
                <w:sz w:val="20"/>
                <w:szCs w:val="20"/>
              </w:rPr>
              <w:t xml:space="preserve">, da se </w:t>
            </w:r>
            <w:r w:rsidR="00BC6CA6">
              <w:rPr>
                <w:rFonts w:ascii="Arial" w:hAnsi="Arial" w:cs="Arial"/>
                <w:sz w:val="20"/>
                <w:szCs w:val="20"/>
              </w:rPr>
              <w:t xml:space="preserve">bo </w:t>
            </w:r>
            <w:r w:rsidRPr="006727E1">
              <w:rPr>
                <w:rFonts w:ascii="Arial" w:hAnsi="Arial" w:cs="Arial"/>
                <w:sz w:val="20"/>
                <w:szCs w:val="20"/>
              </w:rPr>
              <w:t xml:space="preserve">zavezancu, ki prejema dohodek v višini minimalne plače (leta 2022 ta znaša 12.893 </w:t>
            </w:r>
            <w:r w:rsidR="0099640F">
              <w:rPr>
                <w:rFonts w:ascii="Arial" w:hAnsi="Arial" w:cs="Arial"/>
                <w:sz w:val="20"/>
                <w:szCs w:val="20"/>
              </w:rPr>
              <w:t> </w:t>
            </w:r>
            <w:r w:rsidR="00BC6CA6">
              <w:rPr>
                <w:rFonts w:ascii="Arial" w:hAnsi="Arial" w:cs="Arial"/>
                <w:sz w:val="20"/>
                <w:szCs w:val="20"/>
              </w:rPr>
              <w:t>EUR</w:t>
            </w:r>
            <w:r w:rsidRPr="006727E1">
              <w:rPr>
                <w:rFonts w:ascii="Arial" w:hAnsi="Arial" w:cs="Arial"/>
                <w:sz w:val="20"/>
                <w:szCs w:val="20"/>
              </w:rPr>
              <w:t xml:space="preserve">) in uveljavlja samo splošno olajšavo oziroma dodatno splošno olajšavo, </w:t>
            </w:r>
            <w:r w:rsidR="004D545D" w:rsidRPr="006727E1">
              <w:rPr>
                <w:rFonts w:ascii="Arial" w:hAnsi="Arial" w:cs="Arial"/>
                <w:sz w:val="20"/>
                <w:szCs w:val="20"/>
              </w:rPr>
              <w:t>z</w:t>
            </w:r>
            <w:r w:rsidR="004D545D">
              <w:rPr>
                <w:rFonts w:ascii="Arial" w:hAnsi="Arial" w:cs="Arial"/>
                <w:sz w:val="20"/>
                <w:szCs w:val="20"/>
              </w:rPr>
              <w:t>niža</w:t>
            </w:r>
            <w:r w:rsidR="004D545D" w:rsidRPr="006727E1">
              <w:rPr>
                <w:rFonts w:ascii="Arial" w:hAnsi="Arial" w:cs="Arial"/>
                <w:sz w:val="20"/>
                <w:szCs w:val="20"/>
              </w:rPr>
              <w:t xml:space="preserve">la </w:t>
            </w:r>
            <w:r w:rsidRPr="006727E1">
              <w:rPr>
                <w:rFonts w:ascii="Arial" w:hAnsi="Arial" w:cs="Arial"/>
                <w:sz w:val="20"/>
                <w:szCs w:val="20"/>
              </w:rPr>
              <w:t xml:space="preserve">davčna obveznost za </w:t>
            </w:r>
            <w:r w:rsidR="004C3958">
              <w:rPr>
                <w:rFonts w:ascii="Arial" w:hAnsi="Arial" w:cs="Arial"/>
                <w:sz w:val="20"/>
                <w:szCs w:val="20"/>
              </w:rPr>
              <w:t>478</w:t>
            </w:r>
            <w:r w:rsidR="0099640F">
              <w:rPr>
                <w:rFonts w:ascii="Arial" w:hAnsi="Arial" w:cs="Arial"/>
                <w:sz w:val="20"/>
                <w:szCs w:val="20"/>
              </w:rPr>
              <w:t> </w:t>
            </w:r>
            <w:r w:rsidR="00BC6CA6">
              <w:rPr>
                <w:rFonts w:ascii="Arial" w:hAnsi="Arial" w:cs="Arial"/>
                <w:sz w:val="20"/>
                <w:szCs w:val="20"/>
              </w:rPr>
              <w:t>EUR</w:t>
            </w:r>
            <w:r w:rsidR="00BC6CA6" w:rsidRPr="006727E1">
              <w:rPr>
                <w:rFonts w:ascii="Arial" w:hAnsi="Arial" w:cs="Arial"/>
                <w:sz w:val="20"/>
                <w:szCs w:val="20"/>
              </w:rPr>
              <w:t xml:space="preserve"> </w:t>
            </w:r>
            <w:r w:rsidRPr="006727E1">
              <w:rPr>
                <w:rFonts w:ascii="Arial" w:hAnsi="Arial" w:cs="Arial"/>
                <w:sz w:val="20"/>
                <w:szCs w:val="20"/>
              </w:rPr>
              <w:t xml:space="preserve">na letni ravni (na mesec približno </w:t>
            </w:r>
            <w:r w:rsidR="004C3958">
              <w:rPr>
                <w:rFonts w:ascii="Arial" w:hAnsi="Arial" w:cs="Arial"/>
                <w:sz w:val="20"/>
                <w:szCs w:val="20"/>
              </w:rPr>
              <w:t>40</w:t>
            </w:r>
            <w:r w:rsidR="0099640F">
              <w:rPr>
                <w:rFonts w:ascii="Arial" w:hAnsi="Arial" w:cs="Arial"/>
                <w:sz w:val="20"/>
                <w:szCs w:val="20"/>
              </w:rPr>
              <w:t> </w:t>
            </w:r>
            <w:r w:rsidR="00BC6CA6">
              <w:rPr>
                <w:rFonts w:ascii="Arial" w:hAnsi="Arial" w:cs="Arial"/>
                <w:sz w:val="20"/>
                <w:szCs w:val="20"/>
              </w:rPr>
              <w:t>EUR</w:t>
            </w:r>
            <w:r w:rsidRPr="006727E1">
              <w:rPr>
                <w:rFonts w:ascii="Arial" w:hAnsi="Arial" w:cs="Arial"/>
                <w:sz w:val="20"/>
                <w:szCs w:val="20"/>
              </w:rPr>
              <w:t>). Prejemnik dohodka v višini povprečne plače (po zadnjih znanih podatkih SURS za april 2022 to pomeni 24.023</w:t>
            </w:r>
            <w:r w:rsidR="0099640F">
              <w:rPr>
                <w:rFonts w:ascii="Arial" w:hAnsi="Arial" w:cs="Arial"/>
                <w:sz w:val="20"/>
                <w:szCs w:val="20"/>
              </w:rPr>
              <w:t> </w:t>
            </w:r>
            <w:r w:rsidR="00BC6CA6">
              <w:rPr>
                <w:rFonts w:ascii="Arial" w:hAnsi="Arial" w:cs="Arial"/>
                <w:sz w:val="20"/>
                <w:szCs w:val="20"/>
              </w:rPr>
              <w:t>EUR</w:t>
            </w:r>
            <w:r w:rsidR="00BC6CA6" w:rsidRPr="006727E1">
              <w:rPr>
                <w:rFonts w:ascii="Arial" w:hAnsi="Arial" w:cs="Arial"/>
                <w:sz w:val="20"/>
                <w:szCs w:val="20"/>
              </w:rPr>
              <w:t xml:space="preserve"> </w:t>
            </w:r>
            <w:r w:rsidRPr="006727E1">
              <w:rPr>
                <w:rFonts w:ascii="Arial" w:hAnsi="Arial" w:cs="Arial"/>
                <w:sz w:val="20"/>
                <w:szCs w:val="20"/>
              </w:rPr>
              <w:t xml:space="preserve">na letni ravni) bo imel </w:t>
            </w:r>
            <w:r w:rsidR="004C3958">
              <w:rPr>
                <w:rFonts w:ascii="Arial" w:hAnsi="Arial" w:cs="Arial"/>
                <w:sz w:val="20"/>
                <w:szCs w:val="20"/>
              </w:rPr>
              <w:t>nižjo</w:t>
            </w:r>
            <w:r w:rsidRPr="006727E1">
              <w:rPr>
                <w:rFonts w:ascii="Arial" w:hAnsi="Arial" w:cs="Arial"/>
                <w:sz w:val="20"/>
                <w:szCs w:val="20"/>
              </w:rPr>
              <w:t xml:space="preserve"> davčno obveznost za </w:t>
            </w:r>
            <w:r w:rsidR="004D545D">
              <w:rPr>
                <w:rFonts w:ascii="Arial" w:hAnsi="Arial" w:cs="Arial"/>
                <w:sz w:val="20"/>
                <w:szCs w:val="20"/>
              </w:rPr>
              <w:t>13</w:t>
            </w:r>
            <w:r w:rsidR="004D545D" w:rsidRPr="006727E1">
              <w:rPr>
                <w:rFonts w:ascii="Arial" w:hAnsi="Arial" w:cs="Arial"/>
                <w:sz w:val="20"/>
                <w:szCs w:val="20"/>
              </w:rPr>
              <w:t>0</w:t>
            </w:r>
            <w:r w:rsidR="0099640F">
              <w:rPr>
                <w:rFonts w:ascii="Arial" w:hAnsi="Arial" w:cs="Arial"/>
                <w:sz w:val="20"/>
                <w:szCs w:val="20"/>
              </w:rPr>
              <w:t> </w:t>
            </w:r>
            <w:r w:rsidR="00BC6CA6">
              <w:rPr>
                <w:rFonts w:ascii="Arial" w:hAnsi="Arial" w:cs="Arial"/>
                <w:sz w:val="20"/>
                <w:szCs w:val="20"/>
              </w:rPr>
              <w:t>EUR</w:t>
            </w:r>
            <w:r w:rsidR="00BC6CA6" w:rsidRPr="006727E1">
              <w:rPr>
                <w:rFonts w:ascii="Arial" w:hAnsi="Arial" w:cs="Arial"/>
                <w:sz w:val="20"/>
                <w:szCs w:val="20"/>
              </w:rPr>
              <w:t xml:space="preserve"> </w:t>
            </w:r>
            <w:r w:rsidRPr="006727E1">
              <w:rPr>
                <w:rFonts w:ascii="Arial" w:hAnsi="Arial" w:cs="Arial"/>
                <w:sz w:val="20"/>
                <w:szCs w:val="20"/>
              </w:rPr>
              <w:t xml:space="preserve">letno. Zavezanec z dohodkom dveh povprečnih plač bo imel na letni ravni davčno obveznost </w:t>
            </w:r>
            <w:r w:rsidR="004C3958">
              <w:rPr>
                <w:rFonts w:ascii="Arial" w:hAnsi="Arial" w:cs="Arial"/>
                <w:sz w:val="20"/>
                <w:szCs w:val="20"/>
              </w:rPr>
              <w:t>nižjo</w:t>
            </w:r>
            <w:r w:rsidRPr="006727E1">
              <w:rPr>
                <w:rFonts w:ascii="Arial" w:hAnsi="Arial" w:cs="Arial"/>
                <w:sz w:val="20"/>
                <w:szCs w:val="20"/>
              </w:rPr>
              <w:t xml:space="preserve"> za </w:t>
            </w:r>
            <w:r w:rsidR="004D545D">
              <w:rPr>
                <w:rFonts w:ascii="Arial" w:hAnsi="Arial" w:cs="Arial"/>
                <w:sz w:val="20"/>
                <w:szCs w:val="20"/>
              </w:rPr>
              <w:t>165</w:t>
            </w:r>
            <w:r w:rsidR="0099640F">
              <w:rPr>
                <w:rFonts w:ascii="Arial" w:hAnsi="Arial" w:cs="Arial"/>
                <w:sz w:val="20"/>
                <w:szCs w:val="20"/>
              </w:rPr>
              <w:t> </w:t>
            </w:r>
            <w:r w:rsidR="00BC6CA6">
              <w:rPr>
                <w:rFonts w:ascii="Arial" w:hAnsi="Arial" w:cs="Arial"/>
                <w:sz w:val="20"/>
                <w:szCs w:val="20"/>
              </w:rPr>
              <w:t>EUR</w:t>
            </w:r>
            <w:r w:rsidRPr="006727E1">
              <w:rPr>
                <w:rFonts w:ascii="Arial" w:hAnsi="Arial" w:cs="Arial"/>
                <w:sz w:val="20"/>
                <w:szCs w:val="20"/>
              </w:rPr>
              <w:t xml:space="preserve">. Pri zavezancu s tremi povprečnimi plačami se bo davčna obveznost na letni ravni </w:t>
            </w:r>
            <w:r w:rsidR="004C3958">
              <w:rPr>
                <w:rFonts w:ascii="Arial" w:hAnsi="Arial" w:cs="Arial"/>
                <w:sz w:val="20"/>
                <w:szCs w:val="20"/>
              </w:rPr>
              <w:t>znižala</w:t>
            </w:r>
            <w:r w:rsidRPr="006727E1">
              <w:rPr>
                <w:rFonts w:ascii="Arial" w:hAnsi="Arial" w:cs="Arial"/>
                <w:sz w:val="20"/>
                <w:szCs w:val="20"/>
              </w:rPr>
              <w:t xml:space="preserve"> za </w:t>
            </w:r>
            <w:r w:rsidR="004D545D">
              <w:rPr>
                <w:rFonts w:ascii="Arial" w:hAnsi="Arial" w:cs="Arial"/>
                <w:sz w:val="20"/>
                <w:szCs w:val="20"/>
              </w:rPr>
              <w:t>1</w:t>
            </w:r>
            <w:r w:rsidR="004C3958">
              <w:rPr>
                <w:rFonts w:ascii="Arial" w:hAnsi="Arial" w:cs="Arial"/>
                <w:sz w:val="20"/>
                <w:szCs w:val="20"/>
              </w:rPr>
              <w:t>65</w:t>
            </w:r>
            <w:r w:rsidR="0099640F">
              <w:rPr>
                <w:rFonts w:ascii="Arial" w:hAnsi="Arial" w:cs="Arial"/>
                <w:sz w:val="20"/>
                <w:szCs w:val="20"/>
              </w:rPr>
              <w:t> </w:t>
            </w:r>
            <w:r w:rsidR="00BC6CA6">
              <w:rPr>
                <w:rFonts w:ascii="Arial" w:hAnsi="Arial" w:cs="Arial"/>
                <w:sz w:val="20"/>
                <w:szCs w:val="20"/>
              </w:rPr>
              <w:t>EUR</w:t>
            </w:r>
            <w:r w:rsidRPr="006727E1">
              <w:rPr>
                <w:rFonts w:ascii="Arial" w:hAnsi="Arial" w:cs="Arial"/>
                <w:sz w:val="20"/>
                <w:szCs w:val="20"/>
              </w:rPr>
              <w:t>.</w:t>
            </w:r>
          </w:p>
          <w:p w14:paraId="3B1B5098" w14:textId="21EF988F" w:rsidR="00C875AE" w:rsidRDefault="00C875AE" w:rsidP="004956A6">
            <w:pPr>
              <w:spacing w:after="0" w:line="276" w:lineRule="auto"/>
              <w:jc w:val="both"/>
              <w:rPr>
                <w:rFonts w:ascii="Arial" w:hAnsi="Arial" w:cs="Arial"/>
                <w:sz w:val="20"/>
                <w:szCs w:val="20"/>
              </w:rPr>
            </w:pPr>
          </w:p>
          <w:p w14:paraId="576C2123" w14:textId="329CB9C2" w:rsidR="00C875AE" w:rsidRPr="00C875AE" w:rsidRDefault="00C875AE" w:rsidP="00C875AE">
            <w:pPr>
              <w:spacing w:after="0" w:line="276" w:lineRule="auto"/>
              <w:jc w:val="both"/>
              <w:rPr>
                <w:rFonts w:ascii="Arial" w:hAnsi="Arial" w:cs="Arial"/>
                <w:sz w:val="20"/>
                <w:szCs w:val="20"/>
              </w:rPr>
            </w:pPr>
            <w:r w:rsidRPr="00C875AE">
              <w:rPr>
                <w:rFonts w:ascii="Arial" w:hAnsi="Arial" w:cs="Arial"/>
                <w:sz w:val="20"/>
                <w:szCs w:val="20"/>
              </w:rPr>
              <w:t xml:space="preserve">Predvideva se vpliv na dejanski razpoložljiv dohodek določenih zavezancev, ki ugotavljajo davčno osnovo z upoštevanjem normiranih odhodkov. Prišlo bo </w:t>
            </w:r>
            <w:r w:rsidR="00426889">
              <w:rPr>
                <w:rFonts w:ascii="Arial" w:hAnsi="Arial" w:cs="Arial"/>
                <w:sz w:val="20"/>
                <w:szCs w:val="20"/>
              </w:rPr>
              <w:t>do</w:t>
            </w:r>
            <w:r w:rsidRPr="00C875AE">
              <w:rPr>
                <w:rFonts w:ascii="Arial" w:hAnsi="Arial" w:cs="Arial"/>
                <w:sz w:val="20"/>
                <w:szCs w:val="20"/>
              </w:rPr>
              <w:t xml:space="preserve"> zmanjšanja, razen pri zavezancih s prihodki v davčnem letu, za katero se ugotavlja davčna osnova, do </w:t>
            </w:r>
            <w:r w:rsidR="00545DD6">
              <w:rPr>
                <w:rFonts w:ascii="Arial" w:hAnsi="Arial" w:cs="Arial"/>
                <w:sz w:val="20"/>
                <w:szCs w:val="20"/>
              </w:rPr>
              <w:t>3</w:t>
            </w:r>
            <w:r w:rsidRPr="00C875AE">
              <w:rPr>
                <w:rFonts w:ascii="Arial" w:hAnsi="Arial" w:cs="Arial"/>
                <w:sz w:val="20"/>
                <w:szCs w:val="20"/>
              </w:rPr>
              <w:t>5.000</w:t>
            </w:r>
            <w:r w:rsidR="0099640F">
              <w:rPr>
                <w:rFonts w:ascii="Arial" w:hAnsi="Arial" w:cs="Arial"/>
                <w:sz w:val="20"/>
                <w:szCs w:val="20"/>
              </w:rPr>
              <w:t> </w:t>
            </w:r>
            <w:r w:rsidRPr="00C875AE">
              <w:rPr>
                <w:rFonts w:ascii="Arial" w:hAnsi="Arial" w:cs="Arial"/>
                <w:sz w:val="20"/>
                <w:szCs w:val="20"/>
              </w:rPr>
              <w:t>EUR, ki bodo sami ali z zaposlenim delavcem izpolnjevali pogoj, da je pri zavezancu na podlagi delovnega razmerja ali samozaposlitve, obvezno pokojninsko in invalidsko zavarovana vsaj ena oseba za polni delovni čas, neprekinjeno vsaj devet mesecev. Ob tem je treba poudariti, da je ugotavljanje davčne osnove z upoštevanjem normiranih odhodkov, odločitev samega zavezanca, torej bodo imeli zavezanci z višjimi dejanskimi odhodki od normiranih možnost odločitve za osnovni način določanja davčne osnove (z upoštevanjem dejanskih prihodkov in dejanskih odhodkov). S tem in dejstvom, da v osnovnem sistemu lahko uveljavljajo tudi olajšave, tako na ravni dohodka iz dejavnosti kot na ravni sintetične obdavčitve, bodo lahko preprečili znižanje razpoložljivega dohodka. Tisti, ki imajo dejanske odhodke nižje od normiranih, predlagana sprememba zgolj pomeni v</w:t>
            </w:r>
            <w:r w:rsidR="0099640F">
              <w:rPr>
                <w:rFonts w:ascii="Arial" w:hAnsi="Arial" w:cs="Arial"/>
                <w:sz w:val="20"/>
                <w:szCs w:val="20"/>
              </w:rPr>
              <w:t>išjo</w:t>
            </w:r>
            <w:r w:rsidRPr="00C875AE">
              <w:rPr>
                <w:rFonts w:ascii="Arial" w:hAnsi="Arial" w:cs="Arial"/>
                <w:sz w:val="20"/>
                <w:szCs w:val="20"/>
              </w:rPr>
              <w:t xml:space="preserve"> stopnjo usklajenosti normiranega dohodka z dejanskim dohodkom zavezanca, kar pomeni večje približevanje obdavčevanju po ekonomski moči posameznika.</w:t>
            </w:r>
          </w:p>
          <w:p w14:paraId="3AFB4726" w14:textId="3180DC32" w:rsidR="003C61DE" w:rsidRDefault="003C61DE" w:rsidP="00C875AE">
            <w:pPr>
              <w:spacing w:after="0" w:line="276" w:lineRule="auto"/>
              <w:jc w:val="both"/>
              <w:rPr>
                <w:rFonts w:ascii="Arial" w:hAnsi="Arial" w:cs="Arial"/>
                <w:sz w:val="20"/>
                <w:szCs w:val="20"/>
              </w:rPr>
            </w:pPr>
          </w:p>
          <w:p w14:paraId="6BDD2D71" w14:textId="0656CB00" w:rsidR="003C61DE" w:rsidRDefault="003C61DE" w:rsidP="003C61DE">
            <w:pPr>
              <w:spacing w:line="276" w:lineRule="auto"/>
              <w:contextualSpacing/>
              <w:jc w:val="both"/>
              <w:rPr>
                <w:rFonts w:ascii="Arial" w:eastAsia="Calibri" w:hAnsi="Arial" w:cs="Arial"/>
                <w:sz w:val="20"/>
                <w:szCs w:val="20"/>
              </w:rPr>
            </w:pPr>
            <w:r>
              <w:rPr>
                <w:rFonts w:ascii="Arial" w:eastAsia="Calibri" w:hAnsi="Arial" w:cs="Arial"/>
                <w:sz w:val="20"/>
                <w:szCs w:val="20"/>
              </w:rPr>
              <w:t>V primeru ukrepov v predlogu zakona, ki se nanašajo na spremembo višine odhodkov, ki se priznava pri ugotavljanju davčne osnove v sistemu normiranih odhodkov</w:t>
            </w:r>
            <w:r w:rsidR="001860CA">
              <w:rPr>
                <w:rFonts w:ascii="Arial" w:eastAsia="Calibri" w:hAnsi="Arial" w:cs="Arial"/>
                <w:sz w:val="20"/>
                <w:szCs w:val="20"/>
              </w:rPr>
              <w:t xml:space="preserve">, </w:t>
            </w:r>
            <w:r>
              <w:rPr>
                <w:rFonts w:ascii="Arial" w:eastAsia="Calibri" w:hAnsi="Arial" w:cs="Arial"/>
                <w:sz w:val="20"/>
                <w:szCs w:val="20"/>
              </w:rPr>
              <w:t>b</w:t>
            </w:r>
            <w:r w:rsidR="00387198">
              <w:rPr>
                <w:rFonts w:ascii="Arial" w:eastAsia="Calibri" w:hAnsi="Arial" w:cs="Arial"/>
                <w:sz w:val="20"/>
                <w:szCs w:val="20"/>
              </w:rPr>
              <w:t>o</w:t>
            </w:r>
            <w:r>
              <w:rPr>
                <w:rFonts w:ascii="Arial" w:eastAsia="Calibri" w:hAnsi="Arial" w:cs="Arial"/>
                <w:sz w:val="20"/>
                <w:szCs w:val="20"/>
              </w:rPr>
              <w:t xml:space="preserve"> </w:t>
            </w:r>
            <w:r w:rsidR="00B63889">
              <w:rPr>
                <w:rFonts w:ascii="Arial" w:eastAsia="Calibri" w:hAnsi="Arial" w:cs="Arial"/>
                <w:sz w:val="20"/>
                <w:szCs w:val="20"/>
              </w:rPr>
              <w:t>to</w:t>
            </w:r>
            <w:r>
              <w:rPr>
                <w:rFonts w:ascii="Arial" w:eastAsia="Calibri" w:hAnsi="Arial" w:cs="Arial"/>
                <w:sz w:val="20"/>
                <w:szCs w:val="20"/>
              </w:rPr>
              <w:t xml:space="preserve"> </w:t>
            </w:r>
            <w:r w:rsidR="00426889">
              <w:rPr>
                <w:rFonts w:ascii="Arial" w:eastAsia="Calibri" w:hAnsi="Arial" w:cs="Arial"/>
                <w:sz w:val="20"/>
                <w:szCs w:val="20"/>
              </w:rPr>
              <w:t>v primeru</w:t>
            </w:r>
            <w:r>
              <w:rPr>
                <w:rFonts w:ascii="Arial" w:eastAsia="Calibri" w:hAnsi="Arial" w:cs="Arial"/>
                <w:sz w:val="20"/>
                <w:szCs w:val="20"/>
              </w:rPr>
              <w:t xml:space="preserve"> posameznik</w:t>
            </w:r>
            <w:r w:rsidR="00426889">
              <w:rPr>
                <w:rFonts w:ascii="Arial" w:eastAsia="Calibri" w:hAnsi="Arial" w:cs="Arial"/>
                <w:sz w:val="20"/>
                <w:szCs w:val="20"/>
              </w:rPr>
              <w:t>a s</w:t>
            </w:r>
            <w:r>
              <w:rPr>
                <w:rFonts w:ascii="Arial" w:eastAsia="Calibri" w:hAnsi="Arial" w:cs="Arial"/>
                <w:sz w:val="20"/>
                <w:szCs w:val="20"/>
              </w:rPr>
              <w:t xml:space="preserve"> </w:t>
            </w:r>
            <w:r w:rsidR="00426889">
              <w:rPr>
                <w:rFonts w:ascii="Arial" w:eastAsia="Calibri" w:hAnsi="Arial" w:cs="Arial"/>
                <w:sz w:val="20"/>
                <w:szCs w:val="20"/>
              </w:rPr>
              <w:t>prihodki</w:t>
            </w:r>
            <w:r>
              <w:rPr>
                <w:rFonts w:ascii="Arial" w:eastAsia="Calibri" w:hAnsi="Arial" w:cs="Arial"/>
                <w:sz w:val="20"/>
                <w:szCs w:val="20"/>
              </w:rPr>
              <w:t xml:space="preserve"> v višini 15.000</w:t>
            </w:r>
            <w:r w:rsidR="00B63889">
              <w:rPr>
                <w:rFonts w:ascii="Arial" w:eastAsia="Calibri" w:hAnsi="Arial" w:cs="Arial"/>
                <w:sz w:val="20"/>
                <w:szCs w:val="20"/>
              </w:rPr>
              <w:t> </w:t>
            </w:r>
            <w:r>
              <w:rPr>
                <w:rFonts w:ascii="Arial" w:eastAsia="Calibri" w:hAnsi="Arial" w:cs="Arial"/>
                <w:sz w:val="20"/>
                <w:szCs w:val="20"/>
              </w:rPr>
              <w:t xml:space="preserve">EUR </w:t>
            </w:r>
            <w:r w:rsidR="00B63889">
              <w:rPr>
                <w:rFonts w:ascii="Arial" w:eastAsia="Calibri" w:hAnsi="Arial" w:cs="Arial"/>
                <w:sz w:val="20"/>
                <w:szCs w:val="20"/>
              </w:rPr>
              <w:t xml:space="preserve">pomenilo </w:t>
            </w:r>
            <w:r>
              <w:rPr>
                <w:rFonts w:ascii="Arial" w:eastAsia="Calibri" w:hAnsi="Arial" w:cs="Arial"/>
                <w:sz w:val="20"/>
                <w:szCs w:val="20"/>
              </w:rPr>
              <w:t>enako davčno obveznost kot v sedanjem sistemu (600</w:t>
            </w:r>
            <w:r w:rsidR="00B63889">
              <w:rPr>
                <w:rFonts w:ascii="Arial" w:eastAsia="Calibri" w:hAnsi="Arial" w:cs="Arial"/>
                <w:sz w:val="20"/>
                <w:szCs w:val="20"/>
              </w:rPr>
              <w:t> </w:t>
            </w:r>
            <w:r>
              <w:rPr>
                <w:rFonts w:ascii="Arial" w:eastAsia="Calibri" w:hAnsi="Arial" w:cs="Arial"/>
                <w:sz w:val="20"/>
                <w:szCs w:val="20"/>
              </w:rPr>
              <w:t>EUR). Prav tako b</w:t>
            </w:r>
            <w:r w:rsidR="00387198">
              <w:rPr>
                <w:rFonts w:ascii="Arial" w:eastAsia="Calibri" w:hAnsi="Arial" w:cs="Arial"/>
                <w:sz w:val="20"/>
                <w:szCs w:val="20"/>
              </w:rPr>
              <w:t>o</w:t>
            </w:r>
            <w:r>
              <w:rPr>
                <w:rFonts w:ascii="Arial" w:eastAsia="Calibri" w:hAnsi="Arial" w:cs="Arial"/>
                <w:sz w:val="20"/>
                <w:szCs w:val="20"/>
              </w:rPr>
              <w:t xml:space="preserve"> imel posameznik </w:t>
            </w:r>
            <w:r w:rsidR="00426889">
              <w:rPr>
                <w:rFonts w:ascii="Arial" w:eastAsia="Calibri" w:hAnsi="Arial" w:cs="Arial"/>
                <w:sz w:val="20"/>
                <w:szCs w:val="20"/>
              </w:rPr>
              <w:t>s prihodkom</w:t>
            </w:r>
            <w:r>
              <w:rPr>
                <w:rFonts w:ascii="Arial" w:eastAsia="Calibri" w:hAnsi="Arial" w:cs="Arial"/>
                <w:sz w:val="20"/>
                <w:szCs w:val="20"/>
              </w:rPr>
              <w:t xml:space="preserve"> v višini </w:t>
            </w:r>
            <w:r w:rsidR="00545DD6">
              <w:rPr>
                <w:rFonts w:ascii="Arial" w:eastAsia="Calibri" w:hAnsi="Arial" w:cs="Arial"/>
                <w:sz w:val="20"/>
                <w:szCs w:val="20"/>
              </w:rPr>
              <w:t>3</w:t>
            </w:r>
            <w:r>
              <w:rPr>
                <w:rFonts w:ascii="Arial" w:eastAsia="Calibri" w:hAnsi="Arial" w:cs="Arial"/>
                <w:sz w:val="20"/>
                <w:szCs w:val="20"/>
              </w:rPr>
              <w:t>5.000</w:t>
            </w:r>
            <w:r w:rsidR="00B63889">
              <w:rPr>
                <w:rFonts w:ascii="Arial" w:eastAsia="Calibri" w:hAnsi="Arial" w:cs="Arial"/>
                <w:sz w:val="20"/>
                <w:szCs w:val="20"/>
              </w:rPr>
              <w:t> </w:t>
            </w:r>
            <w:r>
              <w:rPr>
                <w:rFonts w:ascii="Arial" w:eastAsia="Calibri" w:hAnsi="Arial" w:cs="Arial"/>
                <w:sz w:val="20"/>
                <w:szCs w:val="20"/>
              </w:rPr>
              <w:t xml:space="preserve">EUR enako obveznost kot </w:t>
            </w:r>
            <w:r w:rsidR="00426889">
              <w:rPr>
                <w:rFonts w:ascii="Arial" w:eastAsia="Calibri" w:hAnsi="Arial" w:cs="Arial"/>
                <w:sz w:val="20"/>
                <w:szCs w:val="20"/>
              </w:rPr>
              <w:t>v</w:t>
            </w:r>
            <w:r>
              <w:rPr>
                <w:rFonts w:ascii="Arial" w:eastAsia="Calibri" w:hAnsi="Arial" w:cs="Arial"/>
                <w:sz w:val="20"/>
                <w:szCs w:val="20"/>
              </w:rPr>
              <w:t xml:space="preserve"> sedanjem sistemu, in sicer 1.</w:t>
            </w:r>
            <w:r w:rsidR="00FD2D05">
              <w:rPr>
                <w:rFonts w:ascii="Arial" w:eastAsia="Calibri" w:hAnsi="Arial" w:cs="Arial"/>
                <w:sz w:val="20"/>
                <w:szCs w:val="20"/>
              </w:rPr>
              <w:t>4</w:t>
            </w:r>
            <w:r>
              <w:rPr>
                <w:rFonts w:ascii="Arial" w:eastAsia="Calibri" w:hAnsi="Arial" w:cs="Arial"/>
                <w:sz w:val="20"/>
                <w:szCs w:val="20"/>
              </w:rPr>
              <w:t>00</w:t>
            </w:r>
            <w:r w:rsidR="00B63889">
              <w:rPr>
                <w:rFonts w:ascii="Arial" w:eastAsia="Calibri" w:hAnsi="Arial" w:cs="Arial"/>
                <w:sz w:val="20"/>
                <w:szCs w:val="20"/>
              </w:rPr>
              <w:t> </w:t>
            </w:r>
            <w:r>
              <w:rPr>
                <w:rFonts w:ascii="Arial" w:eastAsia="Calibri" w:hAnsi="Arial" w:cs="Arial"/>
                <w:sz w:val="20"/>
                <w:szCs w:val="20"/>
              </w:rPr>
              <w:t xml:space="preserve">EUR. </w:t>
            </w:r>
            <w:r w:rsidR="00387198">
              <w:rPr>
                <w:rFonts w:ascii="Arial" w:eastAsia="Calibri" w:hAnsi="Arial" w:cs="Arial"/>
                <w:sz w:val="20"/>
                <w:szCs w:val="20"/>
              </w:rPr>
              <w:t>Nad to višino prihodka pa se bo davčna obremenitev zvišala. Tako bo imel p</w:t>
            </w:r>
            <w:r>
              <w:rPr>
                <w:rFonts w:ascii="Arial" w:eastAsia="Calibri" w:hAnsi="Arial" w:cs="Arial"/>
                <w:sz w:val="20"/>
                <w:szCs w:val="20"/>
              </w:rPr>
              <w:t xml:space="preserve">osameznik </w:t>
            </w:r>
            <w:r w:rsidR="00426889">
              <w:rPr>
                <w:rFonts w:ascii="Arial" w:eastAsia="Calibri" w:hAnsi="Arial" w:cs="Arial"/>
                <w:sz w:val="20"/>
                <w:szCs w:val="20"/>
              </w:rPr>
              <w:t>s prihodkom</w:t>
            </w:r>
            <w:r>
              <w:rPr>
                <w:rFonts w:ascii="Arial" w:eastAsia="Calibri" w:hAnsi="Arial" w:cs="Arial"/>
                <w:sz w:val="20"/>
                <w:szCs w:val="20"/>
              </w:rPr>
              <w:t xml:space="preserve"> v višini 60.000</w:t>
            </w:r>
            <w:r w:rsidR="00B63889">
              <w:rPr>
                <w:rFonts w:ascii="Arial" w:eastAsia="Calibri" w:hAnsi="Arial" w:cs="Arial"/>
                <w:sz w:val="20"/>
                <w:szCs w:val="20"/>
              </w:rPr>
              <w:t> </w:t>
            </w:r>
            <w:r>
              <w:rPr>
                <w:rFonts w:ascii="Arial" w:eastAsia="Calibri" w:hAnsi="Arial" w:cs="Arial"/>
                <w:sz w:val="20"/>
                <w:szCs w:val="20"/>
              </w:rPr>
              <w:t>EUR po predlogu za 2.</w:t>
            </w:r>
            <w:r w:rsidR="00FD2D05">
              <w:rPr>
                <w:rFonts w:ascii="Arial" w:eastAsia="Calibri" w:hAnsi="Arial" w:cs="Arial"/>
                <w:sz w:val="20"/>
                <w:szCs w:val="20"/>
              </w:rPr>
              <w:t>0</w:t>
            </w:r>
            <w:r>
              <w:rPr>
                <w:rFonts w:ascii="Arial" w:eastAsia="Calibri" w:hAnsi="Arial" w:cs="Arial"/>
                <w:sz w:val="20"/>
                <w:szCs w:val="20"/>
              </w:rPr>
              <w:t>00</w:t>
            </w:r>
            <w:r w:rsidR="00B63889">
              <w:rPr>
                <w:rFonts w:ascii="Arial" w:eastAsia="Calibri" w:hAnsi="Arial" w:cs="Arial"/>
                <w:sz w:val="20"/>
                <w:szCs w:val="20"/>
              </w:rPr>
              <w:t> </w:t>
            </w:r>
            <w:r>
              <w:rPr>
                <w:rFonts w:ascii="Arial" w:eastAsia="Calibri" w:hAnsi="Arial" w:cs="Arial"/>
                <w:sz w:val="20"/>
                <w:szCs w:val="20"/>
              </w:rPr>
              <w:t xml:space="preserve">EUR višjo davčno obveznost, posameznik </w:t>
            </w:r>
            <w:r w:rsidR="00426889">
              <w:rPr>
                <w:rFonts w:ascii="Arial" w:eastAsia="Calibri" w:hAnsi="Arial" w:cs="Arial"/>
                <w:sz w:val="20"/>
                <w:szCs w:val="20"/>
              </w:rPr>
              <w:t>s prihodkom</w:t>
            </w:r>
            <w:r>
              <w:rPr>
                <w:rFonts w:ascii="Arial" w:eastAsia="Calibri" w:hAnsi="Arial" w:cs="Arial"/>
                <w:sz w:val="20"/>
                <w:szCs w:val="20"/>
              </w:rPr>
              <w:t xml:space="preserve"> v višini 100.000</w:t>
            </w:r>
            <w:r w:rsidR="00B63889">
              <w:rPr>
                <w:rFonts w:ascii="Arial" w:eastAsia="Calibri" w:hAnsi="Arial" w:cs="Arial"/>
                <w:sz w:val="20"/>
                <w:szCs w:val="20"/>
              </w:rPr>
              <w:t> </w:t>
            </w:r>
            <w:r>
              <w:rPr>
                <w:rFonts w:ascii="Arial" w:eastAsia="Calibri" w:hAnsi="Arial" w:cs="Arial"/>
                <w:sz w:val="20"/>
                <w:szCs w:val="20"/>
              </w:rPr>
              <w:t>EUR pa b</w:t>
            </w:r>
            <w:r w:rsidR="00387198">
              <w:rPr>
                <w:rFonts w:ascii="Arial" w:eastAsia="Calibri" w:hAnsi="Arial" w:cs="Arial"/>
                <w:sz w:val="20"/>
                <w:szCs w:val="20"/>
              </w:rPr>
              <w:t>o</w:t>
            </w:r>
            <w:r>
              <w:rPr>
                <w:rFonts w:ascii="Arial" w:eastAsia="Calibri" w:hAnsi="Arial" w:cs="Arial"/>
                <w:sz w:val="20"/>
                <w:szCs w:val="20"/>
              </w:rPr>
              <w:t xml:space="preserve"> imel davčno obveznost višjo za </w:t>
            </w:r>
            <w:r w:rsidR="00D85720">
              <w:rPr>
                <w:rFonts w:ascii="Arial" w:eastAsia="Calibri" w:hAnsi="Arial" w:cs="Arial"/>
                <w:sz w:val="20"/>
                <w:szCs w:val="20"/>
              </w:rPr>
              <w:t>5</w:t>
            </w:r>
            <w:r>
              <w:rPr>
                <w:rFonts w:ascii="Arial" w:eastAsia="Calibri" w:hAnsi="Arial" w:cs="Arial"/>
                <w:sz w:val="20"/>
                <w:szCs w:val="20"/>
              </w:rPr>
              <w:t>.</w:t>
            </w:r>
            <w:r w:rsidR="00D85720">
              <w:rPr>
                <w:rFonts w:ascii="Arial" w:eastAsia="Calibri" w:hAnsi="Arial" w:cs="Arial"/>
                <w:sz w:val="20"/>
                <w:szCs w:val="20"/>
              </w:rPr>
              <w:t>2</w:t>
            </w:r>
            <w:r>
              <w:rPr>
                <w:rFonts w:ascii="Arial" w:eastAsia="Calibri" w:hAnsi="Arial" w:cs="Arial"/>
                <w:sz w:val="20"/>
                <w:szCs w:val="20"/>
              </w:rPr>
              <w:t>00</w:t>
            </w:r>
            <w:r w:rsidR="00B63889">
              <w:rPr>
                <w:rFonts w:ascii="Arial" w:eastAsia="Calibri" w:hAnsi="Arial" w:cs="Arial"/>
                <w:sz w:val="20"/>
                <w:szCs w:val="20"/>
              </w:rPr>
              <w:t> </w:t>
            </w:r>
            <w:r>
              <w:rPr>
                <w:rFonts w:ascii="Arial" w:eastAsia="Calibri" w:hAnsi="Arial" w:cs="Arial"/>
                <w:sz w:val="20"/>
                <w:szCs w:val="20"/>
              </w:rPr>
              <w:t>EUR.</w:t>
            </w:r>
          </w:p>
          <w:p w14:paraId="1F253DC4" w14:textId="77777777" w:rsidR="003C61DE" w:rsidRDefault="003C61DE" w:rsidP="003C61DE">
            <w:pPr>
              <w:spacing w:line="276" w:lineRule="auto"/>
              <w:contextualSpacing/>
              <w:jc w:val="both"/>
              <w:rPr>
                <w:rFonts w:ascii="Arial" w:eastAsia="Calibri" w:hAnsi="Arial" w:cs="Arial"/>
                <w:sz w:val="20"/>
                <w:szCs w:val="20"/>
              </w:rPr>
            </w:pPr>
          </w:p>
          <w:p w14:paraId="72BF4977" w14:textId="14DA0818" w:rsidR="003C61DE" w:rsidRDefault="003C61DE" w:rsidP="003C61DE">
            <w:pPr>
              <w:spacing w:line="276" w:lineRule="auto"/>
              <w:contextualSpacing/>
              <w:jc w:val="both"/>
              <w:rPr>
                <w:rFonts w:ascii="Arial" w:eastAsia="Calibri" w:hAnsi="Arial" w:cs="Arial"/>
                <w:sz w:val="20"/>
                <w:szCs w:val="20"/>
              </w:rPr>
            </w:pPr>
            <w:r>
              <w:rPr>
                <w:rFonts w:ascii="Arial" w:eastAsia="Calibri" w:hAnsi="Arial" w:cs="Arial"/>
                <w:sz w:val="20"/>
                <w:szCs w:val="20"/>
              </w:rPr>
              <w:t xml:space="preserve">Zavezanec, pri katerem ni bila obvezno zavarovana v skladu z zakonom, ki ureja pokojninsko in invalidsko zavarovanje, na podlagi delovnega razmerja ali samozaposlitve vsaj ena oseba za polni delovni čas neprekinjeno najmanj devet mesecev in se po predlogu upoštevajo normirani odhodki v višini </w:t>
            </w:r>
            <w:r w:rsidR="00F06FD2">
              <w:rPr>
                <w:rFonts w:ascii="Arial" w:eastAsia="Calibri" w:hAnsi="Arial" w:cs="Arial"/>
                <w:sz w:val="20"/>
                <w:szCs w:val="20"/>
              </w:rPr>
              <w:t>4</w:t>
            </w:r>
            <w:r>
              <w:rPr>
                <w:rFonts w:ascii="Arial" w:eastAsia="Calibri" w:hAnsi="Arial" w:cs="Arial"/>
                <w:sz w:val="20"/>
                <w:szCs w:val="20"/>
              </w:rPr>
              <w:t>0</w:t>
            </w:r>
            <w:r w:rsidR="00B63889">
              <w:rPr>
                <w:rFonts w:ascii="Arial" w:eastAsia="Calibri" w:hAnsi="Arial" w:cs="Arial"/>
                <w:sz w:val="20"/>
                <w:szCs w:val="20"/>
              </w:rPr>
              <w:t> </w:t>
            </w:r>
            <w:r>
              <w:rPr>
                <w:rFonts w:ascii="Arial" w:eastAsia="Calibri" w:hAnsi="Arial" w:cs="Arial"/>
                <w:sz w:val="20"/>
                <w:szCs w:val="20"/>
              </w:rPr>
              <w:t>% prihodkov, vendar ne več kot 2</w:t>
            </w:r>
            <w:r w:rsidR="00F06FD2">
              <w:rPr>
                <w:rFonts w:ascii="Arial" w:eastAsia="Calibri" w:hAnsi="Arial" w:cs="Arial"/>
                <w:sz w:val="20"/>
                <w:szCs w:val="20"/>
              </w:rPr>
              <w:t>0</w:t>
            </w:r>
            <w:r>
              <w:rPr>
                <w:rFonts w:ascii="Arial" w:eastAsia="Calibri" w:hAnsi="Arial" w:cs="Arial"/>
                <w:sz w:val="20"/>
                <w:szCs w:val="20"/>
              </w:rPr>
              <w:t>.000</w:t>
            </w:r>
            <w:r w:rsidR="00B63889">
              <w:rPr>
                <w:rFonts w:ascii="Arial" w:eastAsia="Calibri" w:hAnsi="Arial" w:cs="Arial"/>
                <w:sz w:val="20"/>
                <w:szCs w:val="20"/>
              </w:rPr>
              <w:t> </w:t>
            </w:r>
            <w:r>
              <w:rPr>
                <w:rFonts w:ascii="Arial" w:eastAsia="Calibri" w:hAnsi="Arial" w:cs="Arial"/>
                <w:sz w:val="20"/>
                <w:szCs w:val="20"/>
              </w:rPr>
              <w:t xml:space="preserve">EUR, bi pomenilo, da bi se davčna obveznost posamezniku </w:t>
            </w:r>
            <w:r w:rsidR="00426889">
              <w:rPr>
                <w:rFonts w:ascii="Arial" w:eastAsia="Calibri" w:hAnsi="Arial" w:cs="Arial"/>
                <w:sz w:val="20"/>
                <w:szCs w:val="20"/>
              </w:rPr>
              <w:t>s prihodkom</w:t>
            </w:r>
            <w:r>
              <w:rPr>
                <w:rFonts w:ascii="Arial" w:eastAsia="Calibri" w:hAnsi="Arial" w:cs="Arial"/>
                <w:sz w:val="20"/>
                <w:szCs w:val="20"/>
              </w:rPr>
              <w:t xml:space="preserve"> v višini 15.000</w:t>
            </w:r>
            <w:r w:rsidR="00B63889">
              <w:rPr>
                <w:rFonts w:ascii="Arial" w:eastAsia="Calibri" w:hAnsi="Arial" w:cs="Arial"/>
                <w:sz w:val="20"/>
                <w:szCs w:val="20"/>
              </w:rPr>
              <w:t> </w:t>
            </w:r>
            <w:r>
              <w:rPr>
                <w:rFonts w:ascii="Arial" w:eastAsia="Calibri" w:hAnsi="Arial" w:cs="Arial"/>
                <w:sz w:val="20"/>
                <w:szCs w:val="20"/>
              </w:rPr>
              <w:t xml:space="preserve">EUR zvišala za </w:t>
            </w:r>
            <w:r w:rsidR="001F2C33">
              <w:rPr>
                <w:rFonts w:ascii="Arial" w:eastAsia="Calibri" w:hAnsi="Arial" w:cs="Arial"/>
                <w:sz w:val="20"/>
                <w:szCs w:val="20"/>
              </w:rPr>
              <w:t>1.2</w:t>
            </w:r>
            <w:r>
              <w:rPr>
                <w:rFonts w:ascii="Arial" w:eastAsia="Calibri" w:hAnsi="Arial" w:cs="Arial"/>
                <w:sz w:val="20"/>
                <w:szCs w:val="20"/>
              </w:rPr>
              <w:t>00</w:t>
            </w:r>
            <w:r w:rsidR="00B63889">
              <w:rPr>
                <w:rFonts w:ascii="Arial" w:eastAsia="Calibri" w:hAnsi="Arial" w:cs="Arial"/>
                <w:sz w:val="20"/>
                <w:szCs w:val="20"/>
              </w:rPr>
              <w:t> </w:t>
            </w:r>
            <w:r>
              <w:rPr>
                <w:rFonts w:ascii="Arial" w:eastAsia="Calibri" w:hAnsi="Arial" w:cs="Arial"/>
                <w:sz w:val="20"/>
                <w:szCs w:val="20"/>
              </w:rPr>
              <w:t xml:space="preserve">EUR, posamezniku </w:t>
            </w:r>
            <w:r w:rsidR="00426889">
              <w:rPr>
                <w:rFonts w:ascii="Arial" w:eastAsia="Calibri" w:hAnsi="Arial" w:cs="Arial"/>
                <w:sz w:val="20"/>
                <w:szCs w:val="20"/>
              </w:rPr>
              <w:t>s prihodkom</w:t>
            </w:r>
            <w:r>
              <w:rPr>
                <w:rFonts w:ascii="Arial" w:eastAsia="Calibri" w:hAnsi="Arial" w:cs="Arial"/>
                <w:sz w:val="20"/>
                <w:szCs w:val="20"/>
              </w:rPr>
              <w:t xml:space="preserve"> v višini 25.000</w:t>
            </w:r>
            <w:r w:rsidR="00B63889">
              <w:rPr>
                <w:rFonts w:ascii="Arial" w:eastAsia="Calibri" w:hAnsi="Arial" w:cs="Arial"/>
                <w:sz w:val="20"/>
                <w:szCs w:val="20"/>
              </w:rPr>
              <w:t> </w:t>
            </w:r>
            <w:r>
              <w:rPr>
                <w:rFonts w:ascii="Arial" w:eastAsia="Calibri" w:hAnsi="Arial" w:cs="Arial"/>
                <w:sz w:val="20"/>
                <w:szCs w:val="20"/>
              </w:rPr>
              <w:t xml:space="preserve">EUR bi se davčna obveznost zvišala za </w:t>
            </w:r>
            <w:r w:rsidR="001F2C33">
              <w:rPr>
                <w:rFonts w:ascii="Arial" w:eastAsia="Calibri" w:hAnsi="Arial" w:cs="Arial"/>
                <w:sz w:val="20"/>
                <w:szCs w:val="20"/>
              </w:rPr>
              <w:t>2</w:t>
            </w:r>
            <w:r>
              <w:rPr>
                <w:rFonts w:ascii="Arial" w:eastAsia="Calibri" w:hAnsi="Arial" w:cs="Arial"/>
                <w:sz w:val="20"/>
                <w:szCs w:val="20"/>
              </w:rPr>
              <w:t>.</w:t>
            </w:r>
            <w:r w:rsidR="001F2C33">
              <w:rPr>
                <w:rFonts w:ascii="Arial" w:eastAsia="Calibri" w:hAnsi="Arial" w:cs="Arial"/>
                <w:sz w:val="20"/>
                <w:szCs w:val="20"/>
              </w:rPr>
              <w:t>0</w:t>
            </w:r>
            <w:r>
              <w:rPr>
                <w:rFonts w:ascii="Arial" w:eastAsia="Calibri" w:hAnsi="Arial" w:cs="Arial"/>
                <w:sz w:val="20"/>
                <w:szCs w:val="20"/>
              </w:rPr>
              <w:t>00</w:t>
            </w:r>
            <w:r w:rsidR="00B63889">
              <w:rPr>
                <w:rFonts w:ascii="Arial" w:eastAsia="Calibri" w:hAnsi="Arial" w:cs="Arial"/>
                <w:sz w:val="20"/>
                <w:szCs w:val="20"/>
              </w:rPr>
              <w:t> </w:t>
            </w:r>
            <w:r>
              <w:rPr>
                <w:rFonts w:ascii="Arial" w:eastAsia="Calibri" w:hAnsi="Arial" w:cs="Arial"/>
                <w:sz w:val="20"/>
                <w:szCs w:val="20"/>
              </w:rPr>
              <w:t xml:space="preserve">EUR, posamezniku </w:t>
            </w:r>
            <w:r w:rsidR="00426889">
              <w:rPr>
                <w:rFonts w:ascii="Arial" w:eastAsia="Calibri" w:hAnsi="Arial" w:cs="Arial"/>
                <w:sz w:val="20"/>
                <w:szCs w:val="20"/>
              </w:rPr>
              <w:t>s prihodkom</w:t>
            </w:r>
            <w:r>
              <w:rPr>
                <w:rFonts w:ascii="Arial" w:eastAsia="Calibri" w:hAnsi="Arial" w:cs="Arial"/>
                <w:sz w:val="20"/>
                <w:szCs w:val="20"/>
              </w:rPr>
              <w:t xml:space="preserve"> 60.000</w:t>
            </w:r>
            <w:r w:rsidR="00B63889">
              <w:rPr>
                <w:rFonts w:ascii="Arial" w:eastAsia="Calibri" w:hAnsi="Arial" w:cs="Arial"/>
                <w:sz w:val="20"/>
                <w:szCs w:val="20"/>
              </w:rPr>
              <w:t> </w:t>
            </w:r>
            <w:r>
              <w:rPr>
                <w:rFonts w:ascii="Arial" w:eastAsia="Calibri" w:hAnsi="Arial" w:cs="Arial"/>
                <w:sz w:val="20"/>
                <w:szCs w:val="20"/>
              </w:rPr>
              <w:t xml:space="preserve">EUR bi se davčna obveznost zvišala za </w:t>
            </w:r>
            <w:r w:rsidR="001F2C33">
              <w:rPr>
                <w:rFonts w:ascii="Arial" w:eastAsia="Calibri" w:hAnsi="Arial" w:cs="Arial"/>
                <w:sz w:val="20"/>
                <w:szCs w:val="20"/>
              </w:rPr>
              <w:t>4</w:t>
            </w:r>
            <w:r>
              <w:rPr>
                <w:rFonts w:ascii="Arial" w:eastAsia="Calibri" w:hAnsi="Arial" w:cs="Arial"/>
                <w:sz w:val="20"/>
                <w:szCs w:val="20"/>
              </w:rPr>
              <w:t>.000</w:t>
            </w:r>
            <w:r w:rsidR="00B63889">
              <w:rPr>
                <w:rFonts w:ascii="Arial" w:eastAsia="Calibri" w:hAnsi="Arial" w:cs="Arial"/>
                <w:sz w:val="20"/>
                <w:szCs w:val="20"/>
              </w:rPr>
              <w:t> </w:t>
            </w:r>
            <w:r>
              <w:rPr>
                <w:rFonts w:ascii="Arial" w:eastAsia="Calibri" w:hAnsi="Arial" w:cs="Arial"/>
                <w:sz w:val="20"/>
                <w:szCs w:val="20"/>
              </w:rPr>
              <w:t xml:space="preserve">EUR, posamezniku </w:t>
            </w:r>
            <w:r w:rsidR="00426889">
              <w:rPr>
                <w:rFonts w:ascii="Arial" w:eastAsia="Calibri" w:hAnsi="Arial" w:cs="Arial"/>
                <w:sz w:val="20"/>
                <w:szCs w:val="20"/>
              </w:rPr>
              <w:t>s prihodkom</w:t>
            </w:r>
            <w:r>
              <w:rPr>
                <w:rFonts w:ascii="Arial" w:eastAsia="Calibri" w:hAnsi="Arial" w:cs="Arial"/>
                <w:sz w:val="20"/>
                <w:szCs w:val="20"/>
              </w:rPr>
              <w:t xml:space="preserve"> v višini 100.000</w:t>
            </w:r>
            <w:r w:rsidR="00B63889">
              <w:rPr>
                <w:rFonts w:ascii="Arial" w:eastAsia="Calibri" w:hAnsi="Arial" w:cs="Arial"/>
                <w:sz w:val="20"/>
                <w:szCs w:val="20"/>
              </w:rPr>
              <w:t> </w:t>
            </w:r>
            <w:r>
              <w:rPr>
                <w:rFonts w:ascii="Arial" w:eastAsia="Calibri" w:hAnsi="Arial" w:cs="Arial"/>
                <w:sz w:val="20"/>
                <w:szCs w:val="20"/>
              </w:rPr>
              <w:t xml:space="preserve">EUR pa bi se davčna obveznost zvišala za </w:t>
            </w:r>
            <w:r w:rsidR="001F2C33">
              <w:rPr>
                <w:rFonts w:ascii="Arial" w:eastAsia="Calibri" w:hAnsi="Arial" w:cs="Arial"/>
                <w:sz w:val="20"/>
                <w:szCs w:val="20"/>
              </w:rPr>
              <w:t>4</w:t>
            </w:r>
            <w:r>
              <w:rPr>
                <w:rFonts w:ascii="Arial" w:eastAsia="Calibri" w:hAnsi="Arial" w:cs="Arial"/>
                <w:sz w:val="20"/>
                <w:szCs w:val="20"/>
              </w:rPr>
              <w:t>.000</w:t>
            </w:r>
            <w:r w:rsidR="00B63889">
              <w:rPr>
                <w:rFonts w:ascii="Arial" w:eastAsia="Calibri" w:hAnsi="Arial" w:cs="Arial"/>
                <w:sz w:val="20"/>
                <w:szCs w:val="20"/>
              </w:rPr>
              <w:t> </w:t>
            </w:r>
            <w:r>
              <w:rPr>
                <w:rFonts w:ascii="Arial" w:eastAsia="Calibri" w:hAnsi="Arial" w:cs="Arial"/>
                <w:sz w:val="20"/>
                <w:szCs w:val="20"/>
              </w:rPr>
              <w:t>EUR.</w:t>
            </w:r>
          </w:p>
          <w:p w14:paraId="7FBC6868" w14:textId="630C7E14" w:rsidR="00C875AE" w:rsidRDefault="00C875AE" w:rsidP="004956A6">
            <w:pPr>
              <w:spacing w:after="0" w:line="276" w:lineRule="auto"/>
              <w:jc w:val="both"/>
              <w:rPr>
                <w:rFonts w:ascii="Arial" w:hAnsi="Arial" w:cs="Arial"/>
                <w:sz w:val="20"/>
                <w:szCs w:val="20"/>
              </w:rPr>
            </w:pPr>
          </w:p>
          <w:p w14:paraId="3E73E6E5" w14:textId="4A86E1EB" w:rsidR="0063557C" w:rsidRPr="0063557C" w:rsidRDefault="00B531DF" w:rsidP="0063557C">
            <w:pPr>
              <w:spacing w:after="0" w:line="276" w:lineRule="auto"/>
              <w:jc w:val="both"/>
              <w:rPr>
                <w:rFonts w:ascii="Arial" w:hAnsi="Arial" w:cs="Arial"/>
                <w:sz w:val="20"/>
                <w:szCs w:val="20"/>
              </w:rPr>
            </w:pPr>
            <w:r>
              <w:rPr>
                <w:rFonts w:ascii="Arial" w:hAnsi="Arial" w:cs="Arial"/>
                <w:sz w:val="20"/>
                <w:szCs w:val="20"/>
              </w:rPr>
              <w:t xml:space="preserve">S predlagano spremembo davčne obravnave kmetijskih subvencij, ki imajo naravo </w:t>
            </w:r>
            <w:r w:rsidR="0063557C">
              <w:rPr>
                <w:rFonts w:ascii="Arial" w:hAnsi="Arial" w:cs="Arial"/>
                <w:sz w:val="20"/>
                <w:szCs w:val="20"/>
              </w:rPr>
              <w:t xml:space="preserve">plačil za težje pridelovalne razmere, </w:t>
            </w:r>
            <w:r>
              <w:rPr>
                <w:rFonts w:ascii="Arial" w:hAnsi="Arial" w:cs="Arial"/>
                <w:sz w:val="20"/>
                <w:szCs w:val="20"/>
              </w:rPr>
              <w:t xml:space="preserve"> </w:t>
            </w:r>
            <w:r w:rsidR="0063557C" w:rsidRPr="0063557C">
              <w:rPr>
                <w:rFonts w:ascii="Arial" w:hAnsi="Arial" w:cs="Arial"/>
                <w:sz w:val="20"/>
                <w:szCs w:val="20"/>
              </w:rPr>
              <w:t>se bo kmetom, ki uveljavljajo taka plačila, davčna osnova nekoliko povečala, vendar bodo kmetje na drugi strani deležni dodatnih oprostitev pri sklepanju zavarovanj za svoje pridelke, dodatno pa se bodo oprostitve razširile predvsem na mlade kmete in s tem spodbudile hitrejše pomlajevanje vodstev kmetij.</w:t>
            </w:r>
            <w:r>
              <w:rPr>
                <w:rFonts w:ascii="Arial" w:hAnsi="Arial" w:cs="Arial"/>
                <w:sz w:val="20"/>
                <w:szCs w:val="20"/>
              </w:rPr>
              <w:t xml:space="preserve"> </w:t>
            </w:r>
            <w:r w:rsidR="00682D94">
              <w:rPr>
                <w:rFonts w:ascii="Arial" w:hAnsi="Arial" w:cs="Arial"/>
                <w:sz w:val="20"/>
                <w:szCs w:val="20"/>
              </w:rPr>
              <w:t>Ob upoštevanju povprečnega kmečkega gospodinjstva</w:t>
            </w:r>
            <w:r w:rsidR="00F2091D">
              <w:rPr>
                <w:rFonts w:ascii="Arial" w:hAnsi="Arial" w:cs="Arial"/>
                <w:sz w:val="20"/>
                <w:szCs w:val="20"/>
              </w:rPr>
              <w:t xml:space="preserve"> v obdavčitvi</w:t>
            </w:r>
            <w:r>
              <w:rPr>
                <w:rFonts w:ascii="Arial" w:hAnsi="Arial" w:cs="Arial"/>
                <w:sz w:val="20"/>
                <w:szCs w:val="20"/>
              </w:rPr>
              <w:t>,</w:t>
            </w:r>
            <w:r w:rsidR="00682D94">
              <w:rPr>
                <w:rFonts w:ascii="Arial" w:hAnsi="Arial" w:cs="Arial"/>
                <w:sz w:val="20"/>
                <w:szCs w:val="20"/>
              </w:rPr>
              <w:t xml:space="preserve"> ki letno izkazuje </w:t>
            </w:r>
            <w:r w:rsidR="0063557C">
              <w:rPr>
                <w:rFonts w:ascii="Arial" w:hAnsi="Arial" w:cs="Arial"/>
                <w:sz w:val="20"/>
                <w:szCs w:val="20"/>
              </w:rPr>
              <w:t>nekaj nad</w:t>
            </w:r>
            <w:r w:rsidR="00682D94">
              <w:rPr>
                <w:rFonts w:ascii="Arial" w:hAnsi="Arial" w:cs="Arial"/>
                <w:sz w:val="20"/>
                <w:szCs w:val="20"/>
              </w:rPr>
              <w:t xml:space="preserve"> </w:t>
            </w:r>
            <w:r w:rsidR="00F2091D">
              <w:rPr>
                <w:rFonts w:ascii="Arial" w:hAnsi="Arial" w:cs="Arial"/>
                <w:sz w:val="20"/>
                <w:szCs w:val="20"/>
              </w:rPr>
              <w:t>2</w:t>
            </w:r>
            <w:r w:rsidR="0063557C">
              <w:rPr>
                <w:rFonts w:ascii="Arial" w:hAnsi="Arial" w:cs="Arial"/>
                <w:sz w:val="20"/>
                <w:szCs w:val="20"/>
              </w:rPr>
              <w:t>00</w:t>
            </w:r>
            <w:r w:rsidR="00B63889">
              <w:rPr>
                <w:rFonts w:ascii="Arial" w:hAnsi="Arial" w:cs="Arial"/>
                <w:sz w:val="20"/>
                <w:szCs w:val="20"/>
              </w:rPr>
              <w:t> </w:t>
            </w:r>
            <w:r w:rsidR="00682D94">
              <w:rPr>
                <w:rFonts w:ascii="Arial" w:hAnsi="Arial" w:cs="Arial"/>
                <w:sz w:val="20"/>
                <w:szCs w:val="20"/>
              </w:rPr>
              <w:t xml:space="preserve">EUR katastrskega dohodka in </w:t>
            </w:r>
            <w:r w:rsidR="0063557C">
              <w:rPr>
                <w:rFonts w:ascii="Arial" w:hAnsi="Arial" w:cs="Arial"/>
                <w:sz w:val="20"/>
                <w:szCs w:val="20"/>
              </w:rPr>
              <w:t xml:space="preserve">manj kot </w:t>
            </w:r>
            <w:r w:rsidR="00F2091D">
              <w:rPr>
                <w:rFonts w:ascii="Arial" w:hAnsi="Arial" w:cs="Arial"/>
                <w:sz w:val="20"/>
                <w:szCs w:val="20"/>
              </w:rPr>
              <w:t>1.</w:t>
            </w:r>
            <w:r w:rsidR="0063557C">
              <w:rPr>
                <w:rFonts w:ascii="Arial" w:hAnsi="Arial" w:cs="Arial"/>
                <w:sz w:val="20"/>
                <w:szCs w:val="20"/>
              </w:rPr>
              <w:t>300</w:t>
            </w:r>
            <w:r w:rsidR="00B63889">
              <w:rPr>
                <w:rFonts w:ascii="Arial" w:hAnsi="Arial" w:cs="Arial"/>
                <w:sz w:val="20"/>
                <w:szCs w:val="20"/>
              </w:rPr>
              <w:t> </w:t>
            </w:r>
            <w:r w:rsidR="00682D94">
              <w:rPr>
                <w:rFonts w:ascii="Arial" w:hAnsi="Arial" w:cs="Arial"/>
                <w:sz w:val="20"/>
                <w:szCs w:val="20"/>
              </w:rPr>
              <w:t>EUR obdavč</w:t>
            </w:r>
            <w:r w:rsidR="00F2091D">
              <w:rPr>
                <w:rFonts w:ascii="Arial" w:hAnsi="Arial" w:cs="Arial"/>
                <w:sz w:val="20"/>
                <w:szCs w:val="20"/>
              </w:rPr>
              <w:t>l</w:t>
            </w:r>
            <w:r w:rsidR="00682D94">
              <w:rPr>
                <w:rFonts w:ascii="Arial" w:hAnsi="Arial" w:cs="Arial"/>
                <w:sz w:val="20"/>
                <w:szCs w:val="20"/>
              </w:rPr>
              <w:t xml:space="preserve">jivih subvencij, se bo letna davčna osnova od subvencij povišala </w:t>
            </w:r>
            <w:r w:rsidR="00F2091D">
              <w:rPr>
                <w:rFonts w:ascii="Arial" w:hAnsi="Arial" w:cs="Arial"/>
                <w:sz w:val="20"/>
                <w:szCs w:val="20"/>
              </w:rPr>
              <w:t xml:space="preserve">za </w:t>
            </w:r>
            <w:r w:rsidR="0063557C">
              <w:rPr>
                <w:rFonts w:ascii="Arial" w:hAnsi="Arial" w:cs="Arial"/>
                <w:sz w:val="20"/>
                <w:szCs w:val="20"/>
              </w:rPr>
              <w:t>manj kot 300</w:t>
            </w:r>
            <w:r w:rsidR="00B63889">
              <w:rPr>
                <w:rFonts w:ascii="Arial" w:hAnsi="Arial" w:cs="Arial"/>
                <w:sz w:val="20"/>
                <w:szCs w:val="20"/>
              </w:rPr>
              <w:t> </w:t>
            </w:r>
            <w:r w:rsidR="00682D94">
              <w:rPr>
                <w:rFonts w:ascii="Arial" w:hAnsi="Arial" w:cs="Arial"/>
                <w:sz w:val="20"/>
                <w:szCs w:val="20"/>
              </w:rPr>
              <w:t>EUR</w:t>
            </w:r>
            <w:r w:rsidR="00F2091D">
              <w:rPr>
                <w:rFonts w:ascii="Arial" w:hAnsi="Arial" w:cs="Arial"/>
                <w:sz w:val="20"/>
                <w:szCs w:val="20"/>
              </w:rPr>
              <w:t xml:space="preserve">, kar predstavlja okoli </w:t>
            </w:r>
            <w:r w:rsidR="0063557C">
              <w:rPr>
                <w:rFonts w:ascii="Arial" w:hAnsi="Arial" w:cs="Arial"/>
                <w:sz w:val="20"/>
                <w:szCs w:val="20"/>
              </w:rPr>
              <w:t>60</w:t>
            </w:r>
            <w:r w:rsidR="008A7761">
              <w:rPr>
                <w:rFonts w:ascii="Arial" w:hAnsi="Arial" w:cs="Arial"/>
                <w:sz w:val="20"/>
                <w:szCs w:val="20"/>
              </w:rPr>
              <w:t> </w:t>
            </w:r>
            <w:r w:rsidR="00F2091D">
              <w:rPr>
                <w:rFonts w:ascii="Arial" w:hAnsi="Arial" w:cs="Arial"/>
                <w:sz w:val="20"/>
                <w:szCs w:val="20"/>
              </w:rPr>
              <w:t>EUR dodatne davčne obveznosti.</w:t>
            </w:r>
            <w:r w:rsidR="00682D94">
              <w:rPr>
                <w:rFonts w:ascii="Arial" w:hAnsi="Arial" w:cs="Arial"/>
                <w:sz w:val="20"/>
                <w:szCs w:val="20"/>
              </w:rPr>
              <w:t xml:space="preserve"> </w:t>
            </w:r>
            <w:r w:rsidR="0063557C" w:rsidRPr="0063557C">
              <w:rPr>
                <w:rFonts w:ascii="Arial" w:hAnsi="Arial" w:cs="Arial"/>
                <w:sz w:val="20"/>
                <w:szCs w:val="20"/>
              </w:rPr>
              <w:t xml:space="preserve">Na večjih kmetijah bo dodatna davčna obveznost lahko znašala nekaj 100 </w:t>
            </w:r>
            <w:r w:rsidR="00C728C1">
              <w:rPr>
                <w:rFonts w:ascii="Arial" w:hAnsi="Arial" w:cs="Arial"/>
                <w:sz w:val="20"/>
                <w:szCs w:val="20"/>
              </w:rPr>
              <w:t>EUR letno</w:t>
            </w:r>
            <w:r w:rsidR="0063557C" w:rsidRPr="0063557C">
              <w:rPr>
                <w:rFonts w:ascii="Arial" w:hAnsi="Arial" w:cs="Arial"/>
                <w:sz w:val="20"/>
                <w:szCs w:val="20"/>
              </w:rPr>
              <w:t>. Vendar se bo lahko kompenzirala skozi dodatno oprostitev za subvencije za zavarovalne premije, ki na večjih kmetijah praviloma predstavljajo znaten proizvodni strošek.</w:t>
            </w:r>
            <w:r w:rsidR="00682D94">
              <w:rPr>
                <w:rFonts w:ascii="Arial" w:hAnsi="Arial" w:cs="Arial"/>
                <w:sz w:val="20"/>
                <w:szCs w:val="20"/>
              </w:rPr>
              <w:t xml:space="preserve"> </w:t>
            </w:r>
            <w:r>
              <w:rPr>
                <w:rFonts w:ascii="Arial" w:hAnsi="Arial" w:cs="Arial"/>
                <w:sz w:val="20"/>
                <w:szCs w:val="20"/>
              </w:rPr>
              <w:t xml:space="preserve">Predlagana sprememba bo vplivala na </w:t>
            </w:r>
            <w:r>
              <w:rPr>
                <w:rFonts w:ascii="Arial" w:hAnsi="Arial" w:cs="Arial"/>
                <w:sz w:val="20"/>
                <w:szCs w:val="20"/>
              </w:rPr>
              <w:lastRenderedPageBreak/>
              <w:t xml:space="preserve">davčne obveznosti zavezancev za dohodnino, na obveznosti iz naslova pokojninskega in zdravstvenega zavarovanja </w:t>
            </w:r>
            <w:r w:rsidR="00B63889">
              <w:rPr>
                <w:rFonts w:ascii="Arial" w:hAnsi="Arial" w:cs="Arial"/>
                <w:sz w:val="20"/>
                <w:szCs w:val="20"/>
              </w:rPr>
              <w:t>ter</w:t>
            </w:r>
            <w:r>
              <w:rPr>
                <w:rFonts w:ascii="Arial" w:hAnsi="Arial" w:cs="Arial"/>
                <w:sz w:val="20"/>
                <w:szCs w:val="20"/>
              </w:rPr>
              <w:t xml:space="preserve"> tudi drugih socialnih prispevkov za zavezance, ki so za te namene zavarovani iz naslova kmetijske dejavnosti. </w:t>
            </w:r>
            <w:r w:rsidR="00B63889">
              <w:rPr>
                <w:rFonts w:ascii="Arial" w:hAnsi="Arial" w:cs="Arial"/>
                <w:sz w:val="20"/>
                <w:szCs w:val="20"/>
              </w:rPr>
              <w:t>Po</w:t>
            </w:r>
            <w:r>
              <w:rPr>
                <w:rFonts w:ascii="Arial" w:hAnsi="Arial" w:cs="Arial"/>
                <w:sz w:val="20"/>
                <w:szCs w:val="20"/>
              </w:rPr>
              <w:t xml:space="preserve"> drugi strani bo sprememba vplivala </w:t>
            </w:r>
            <w:r w:rsidR="00B63889">
              <w:rPr>
                <w:rFonts w:ascii="Arial" w:hAnsi="Arial" w:cs="Arial"/>
                <w:sz w:val="20"/>
                <w:szCs w:val="20"/>
              </w:rPr>
              <w:t xml:space="preserve">tudi </w:t>
            </w:r>
            <w:r>
              <w:rPr>
                <w:rFonts w:ascii="Arial" w:hAnsi="Arial" w:cs="Arial"/>
                <w:sz w:val="20"/>
                <w:szCs w:val="20"/>
              </w:rPr>
              <w:t>na upravičenja iz naslova javnih sredstev.</w:t>
            </w:r>
            <w:r w:rsidR="0063557C" w:rsidRPr="0063557C">
              <w:rPr>
                <w:rFonts w:ascii="Arial" w:hAnsi="Arial" w:cs="Arial"/>
                <w:sz w:val="20"/>
                <w:szCs w:val="20"/>
              </w:rPr>
              <w:t xml:space="preserve"> Vendar se ocenjuje, da nove rešitve bistvenih sprememb na teh področjih ne bodo prinesle. </w:t>
            </w:r>
          </w:p>
          <w:p w14:paraId="4B421072" w14:textId="7F6DA997" w:rsidR="00B531DF" w:rsidRPr="006727E1" w:rsidRDefault="00B531DF" w:rsidP="00B531DF">
            <w:pPr>
              <w:spacing w:after="0" w:line="276" w:lineRule="auto"/>
              <w:jc w:val="both"/>
              <w:rPr>
                <w:rFonts w:ascii="Arial" w:hAnsi="Arial" w:cs="Arial"/>
                <w:sz w:val="20"/>
                <w:szCs w:val="20"/>
              </w:rPr>
            </w:pPr>
          </w:p>
          <w:p w14:paraId="11BD0FCA" w14:textId="7C5AA1F2" w:rsidR="007C0FD5" w:rsidRPr="00C40385" w:rsidRDefault="007C0FD5" w:rsidP="00C40385">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Odprava</w:t>
            </w:r>
            <w:r w:rsidRPr="004513FD">
              <w:rPr>
                <w:rFonts w:ascii="Arial" w:eastAsia="Times New Roman" w:hAnsi="Arial" w:cs="Arial"/>
                <w:sz w:val="20"/>
                <w:szCs w:val="20"/>
                <w:lang w:eastAsia="sl-SI"/>
              </w:rPr>
              <w:t xml:space="preserve"> možnosti vključevanja dohodkov iz kapitala in dohodkov iz oddajanja premoženja v najem v letno davčno osnovo bo </w:t>
            </w:r>
            <w:r>
              <w:rPr>
                <w:rFonts w:ascii="Arial" w:eastAsia="Times New Roman" w:hAnsi="Arial" w:cs="Arial"/>
                <w:sz w:val="20"/>
                <w:szCs w:val="20"/>
                <w:lang w:eastAsia="sl-SI"/>
              </w:rPr>
              <w:t>negativno</w:t>
            </w:r>
            <w:r w:rsidRPr="004513FD">
              <w:rPr>
                <w:rFonts w:ascii="Arial" w:eastAsia="Times New Roman" w:hAnsi="Arial" w:cs="Arial"/>
                <w:sz w:val="20"/>
                <w:szCs w:val="20"/>
                <w:lang w:eastAsia="sl-SI"/>
              </w:rPr>
              <w:t xml:space="preserve"> vplivala na zavezance, ki za zagotavljanje svoje eksistence dosegajo predvsem dohodke iz kapitala oziroma iz oddajanja premoženja v najem, s čimer se bo njihova davčna obveznost lahko </w:t>
            </w:r>
            <w:r>
              <w:rPr>
                <w:rFonts w:ascii="Arial" w:eastAsia="Times New Roman" w:hAnsi="Arial" w:cs="Arial"/>
                <w:sz w:val="20"/>
                <w:szCs w:val="20"/>
                <w:lang w:eastAsia="sl-SI"/>
              </w:rPr>
              <w:t>povečala.</w:t>
            </w:r>
          </w:p>
          <w:p w14:paraId="77226CFA" w14:textId="77777777" w:rsidR="009E76ED" w:rsidRPr="004513FD" w:rsidRDefault="009E76ED" w:rsidP="007A1ED6">
            <w:pPr>
              <w:spacing w:after="0" w:line="276" w:lineRule="auto"/>
              <w:jc w:val="both"/>
              <w:rPr>
                <w:rFonts w:ascii="Arial" w:eastAsia="Times New Roman" w:hAnsi="Arial" w:cs="Arial"/>
                <w:sz w:val="20"/>
                <w:szCs w:val="20"/>
                <w:lang w:eastAsia="sl-SI"/>
              </w:rPr>
            </w:pPr>
          </w:p>
        </w:tc>
      </w:tr>
      <w:tr w:rsidR="004513FD" w:rsidRPr="004513FD" w14:paraId="3981CE9F" w14:textId="77777777" w:rsidTr="00C106E6">
        <w:trPr>
          <w:trHeight w:val="80"/>
        </w:trPr>
        <w:tc>
          <w:tcPr>
            <w:tcW w:w="9434" w:type="dxa"/>
          </w:tcPr>
          <w:p w14:paraId="00FB0880"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lastRenderedPageBreak/>
              <w:t>6.5 Presoja posledic za dokumente razvojnega načrtovanja, in sicer za:</w:t>
            </w:r>
          </w:p>
        </w:tc>
      </w:tr>
      <w:tr w:rsidR="004513FD" w:rsidRPr="004513FD" w14:paraId="5AC2B644" w14:textId="77777777" w:rsidTr="00C106E6">
        <w:trPr>
          <w:trHeight w:val="767"/>
        </w:trPr>
        <w:tc>
          <w:tcPr>
            <w:tcW w:w="9434" w:type="dxa"/>
          </w:tcPr>
          <w:p w14:paraId="43E0857A" w14:textId="77777777" w:rsidR="004513FD" w:rsidRPr="004513FD" w:rsidRDefault="004513FD" w:rsidP="004513FD">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p>
          <w:p w14:paraId="176D64DA" w14:textId="77777777" w:rsidR="004513FD" w:rsidRPr="004513FD" w:rsidRDefault="004513FD" w:rsidP="004513FD">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r w:rsidRPr="004513FD">
              <w:rPr>
                <w:rFonts w:ascii="Arial" w:eastAsia="Times New Roman" w:hAnsi="Arial" w:cs="Arial"/>
                <w:sz w:val="20"/>
                <w:szCs w:val="20"/>
                <w:lang w:eastAsia="sl-SI"/>
              </w:rPr>
              <w:t>Predlog zakona ne vpliva na dokumente razvojnega načrtovanja.</w:t>
            </w:r>
          </w:p>
        </w:tc>
      </w:tr>
      <w:tr w:rsidR="004513FD" w:rsidRPr="004513FD" w14:paraId="2E23ACAD" w14:textId="77777777" w:rsidTr="00C106E6">
        <w:trPr>
          <w:trHeight w:val="206"/>
        </w:trPr>
        <w:tc>
          <w:tcPr>
            <w:tcW w:w="9434" w:type="dxa"/>
          </w:tcPr>
          <w:p w14:paraId="7AD73BF2" w14:textId="3E77F107" w:rsidR="004513FD" w:rsidRPr="004513FD" w:rsidRDefault="004513FD" w:rsidP="004513FD">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4513FD">
              <w:rPr>
                <w:rFonts w:ascii="Arial" w:eastAsia="Times New Roman" w:hAnsi="Arial" w:cs="Arial"/>
                <w:b/>
                <w:sz w:val="20"/>
                <w:szCs w:val="20"/>
                <w:lang w:eastAsia="sl-SI"/>
              </w:rPr>
              <w:t>6.6 Presoja posledic za druga področja</w:t>
            </w:r>
            <w:r w:rsidR="007B1BA4">
              <w:rPr>
                <w:rFonts w:ascii="Arial" w:eastAsia="Times New Roman" w:hAnsi="Arial" w:cs="Arial"/>
                <w:b/>
                <w:sz w:val="20"/>
                <w:szCs w:val="20"/>
                <w:lang w:eastAsia="sl-SI"/>
              </w:rPr>
              <w:t>:</w:t>
            </w:r>
          </w:p>
        </w:tc>
      </w:tr>
      <w:tr w:rsidR="004513FD" w:rsidRPr="004513FD" w14:paraId="348E92A9" w14:textId="77777777" w:rsidTr="00C106E6">
        <w:trPr>
          <w:trHeight w:val="660"/>
        </w:trPr>
        <w:tc>
          <w:tcPr>
            <w:tcW w:w="9434" w:type="dxa"/>
          </w:tcPr>
          <w:p w14:paraId="29A422C5" w14:textId="77777777" w:rsidR="004513FD" w:rsidRPr="004513FD" w:rsidRDefault="004513FD" w:rsidP="004513FD">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p>
          <w:p w14:paraId="18D6A2B4" w14:textId="77777777" w:rsidR="004513FD" w:rsidRPr="004513FD" w:rsidRDefault="004513FD" w:rsidP="004513FD">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r w:rsidRPr="004513FD">
              <w:rPr>
                <w:rFonts w:ascii="Arial" w:eastAsia="Times New Roman" w:hAnsi="Arial" w:cs="Arial"/>
                <w:sz w:val="20"/>
                <w:szCs w:val="20"/>
                <w:lang w:eastAsia="sl-SI"/>
              </w:rPr>
              <w:t>Predlog zakona ne vpliva na druga področja.</w:t>
            </w:r>
          </w:p>
          <w:p w14:paraId="7D2CA3A3" w14:textId="77777777" w:rsidR="004513FD" w:rsidRPr="004513FD" w:rsidRDefault="004513FD" w:rsidP="004513FD">
            <w:pPr>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p>
        </w:tc>
      </w:tr>
      <w:tr w:rsidR="004513FD" w:rsidRPr="004513FD" w14:paraId="14E15B8B" w14:textId="77777777" w:rsidTr="00C106E6">
        <w:tc>
          <w:tcPr>
            <w:tcW w:w="9434" w:type="dxa"/>
          </w:tcPr>
          <w:p w14:paraId="5C9D2D57"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t>6.7 Izvajanje sprejetega predpisa:</w:t>
            </w:r>
          </w:p>
        </w:tc>
      </w:tr>
      <w:tr w:rsidR="004513FD" w:rsidRPr="004513FD" w14:paraId="11813E43" w14:textId="77777777" w:rsidTr="00C106E6">
        <w:tc>
          <w:tcPr>
            <w:tcW w:w="9434" w:type="dxa"/>
          </w:tcPr>
          <w:p w14:paraId="24819D6B" w14:textId="77777777" w:rsidR="004513FD" w:rsidRPr="004513FD" w:rsidRDefault="004513FD" w:rsidP="004513FD">
            <w:pPr>
              <w:overflowPunct w:val="0"/>
              <w:autoSpaceDE w:val="0"/>
              <w:autoSpaceDN w:val="0"/>
              <w:adjustRightInd w:val="0"/>
              <w:spacing w:after="0" w:line="276" w:lineRule="auto"/>
              <w:jc w:val="both"/>
              <w:textAlignment w:val="baseline"/>
              <w:rPr>
                <w:rFonts w:ascii="Arial" w:eastAsia="Calibri" w:hAnsi="Arial" w:cs="Arial"/>
                <w:sz w:val="20"/>
                <w:szCs w:val="20"/>
                <w:lang w:eastAsia="sl-SI"/>
              </w:rPr>
            </w:pPr>
          </w:p>
          <w:p w14:paraId="1B80D502" w14:textId="77777777" w:rsidR="004513FD" w:rsidRPr="004513FD" w:rsidRDefault="004513FD" w:rsidP="004513FD">
            <w:pPr>
              <w:numPr>
                <w:ilvl w:val="0"/>
                <w:numId w:val="7"/>
              </w:numPr>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sidRPr="004513FD">
              <w:rPr>
                <w:rFonts w:ascii="Arial" w:eastAsia="Calibri" w:hAnsi="Arial" w:cs="Arial"/>
                <w:sz w:val="20"/>
                <w:szCs w:val="20"/>
                <w:lang w:eastAsia="sl-SI"/>
              </w:rPr>
              <w:t>Predstavitev sprejetega zakona:</w:t>
            </w:r>
          </w:p>
          <w:p w14:paraId="38787DFA" w14:textId="77777777" w:rsidR="004513FD" w:rsidRPr="004513FD" w:rsidRDefault="004513FD" w:rsidP="004513FD">
            <w:pPr>
              <w:overflowPunct w:val="0"/>
              <w:autoSpaceDE w:val="0"/>
              <w:autoSpaceDN w:val="0"/>
              <w:adjustRightInd w:val="0"/>
              <w:spacing w:after="0" w:line="276" w:lineRule="auto"/>
              <w:ind w:left="720"/>
              <w:contextualSpacing/>
              <w:jc w:val="both"/>
              <w:textAlignment w:val="baseline"/>
              <w:rPr>
                <w:rFonts w:ascii="Arial" w:eastAsia="Calibri" w:hAnsi="Arial" w:cs="Arial"/>
                <w:sz w:val="20"/>
                <w:szCs w:val="20"/>
                <w:lang w:eastAsia="sl-SI"/>
              </w:rPr>
            </w:pPr>
          </w:p>
          <w:p w14:paraId="0185A7E8" w14:textId="77777777" w:rsidR="004513FD" w:rsidRPr="004513FD" w:rsidRDefault="004513FD" w:rsidP="004513FD">
            <w:pPr>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sidRPr="004513FD">
              <w:rPr>
                <w:rFonts w:ascii="Arial" w:eastAsia="Calibri" w:hAnsi="Arial" w:cs="Arial"/>
                <w:sz w:val="20"/>
                <w:szCs w:val="20"/>
                <w:lang w:eastAsia="sl-SI"/>
              </w:rPr>
              <w:t>Za izvajanje zakona je pristojna Finančna uprava Republike Slovenije, ki bo na običajen način zagotovila tudi obveščanje zavezancev o novostih v predlogu zakona.</w:t>
            </w:r>
          </w:p>
          <w:p w14:paraId="7F8718B7" w14:textId="77777777" w:rsidR="004513FD" w:rsidRPr="004513FD" w:rsidRDefault="004513FD" w:rsidP="004513FD">
            <w:pPr>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7CCC0F7A" w14:textId="77777777" w:rsidR="004513FD" w:rsidRPr="004513FD" w:rsidRDefault="004513FD" w:rsidP="004513FD">
            <w:pPr>
              <w:numPr>
                <w:ilvl w:val="0"/>
                <w:numId w:val="7"/>
              </w:numPr>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sidRPr="004513FD">
              <w:rPr>
                <w:rFonts w:ascii="Arial" w:eastAsia="Calibri" w:hAnsi="Arial" w:cs="Arial"/>
                <w:sz w:val="20"/>
                <w:szCs w:val="20"/>
                <w:lang w:eastAsia="sl-SI"/>
              </w:rPr>
              <w:t>Spremljanje izvajanja sprejetega predpisa:</w:t>
            </w:r>
          </w:p>
          <w:p w14:paraId="3B7AAF63" w14:textId="77777777" w:rsidR="004513FD" w:rsidRPr="004513FD" w:rsidRDefault="004513FD" w:rsidP="004513FD">
            <w:pPr>
              <w:overflowPunct w:val="0"/>
              <w:autoSpaceDE w:val="0"/>
              <w:autoSpaceDN w:val="0"/>
              <w:adjustRightInd w:val="0"/>
              <w:spacing w:after="0" w:line="276" w:lineRule="auto"/>
              <w:ind w:left="720"/>
              <w:contextualSpacing/>
              <w:jc w:val="both"/>
              <w:textAlignment w:val="baseline"/>
              <w:rPr>
                <w:rFonts w:ascii="Arial" w:eastAsia="Calibri" w:hAnsi="Arial" w:cs="Arial"/>
                <w:sz w:val="20"/>
                <w:szCs w:val="20"/>
                <w:lang w:eastAsia="sl-SI"/>
              </w:rPr>
            </w:pPr>
          </w:p>
          <w:p w14:paraId="6CA72A60" w14:textId="77777777" w:rsidR="004513FD" w:rsidRPr="004513FD" w:rsidRDefault="004513FD" w:rsidP="004513FD">
            <w:pPr>
              <w:overflowPunct w:val="0"/>
              <w:autoSpaceDE w:val="0"/>
              <w:autoSpaceDN w:val="0"/>
              <w:adjustRightInd w:val="0"/>
              <w:spacing w:after="0" w:line="276" w:lineRule="auto"/>
              <w:contextualSpacing/>
              <w:jc w:val="both"/>
              <w:textAlignment w:val="baseline"/>
              <w:rPr>
                <w:rFonts w:ascii="Arial" w:eastAsia="Times New Roman" w:hAnsi="Arial" w:cs="Arial"/>
                <w:sz w:val="20"/>
                <w:szCs w:val="20"/>
                <w:lang w:eastAsia="sl-SI"/>
              </w:rPr>
            </w:pPr>
            <w:r w:rsidRPr="004513FD">
              <w:rPr>
                <w:rFonts w:ascii="Arial" w:eastAsia="Times New Roman" w:hAnsi="Arial" w:cs="Arial"/>
                <w:sz w:val="20"/>
                <w:szCs w:val="20"/>
                <w:lang w:eastAsia="sl-SI"/>
              </w:rPr>
              <w:t xml:space="preserve">Izvajanje zakona spremlja Ministrstvo za finance v skladu s svojimi pristojnostmi. </w:t>
            </w:r>
          </w:p>
          <w:p w14:paraId="641194AB" w14:textId="77777777" w:rsidR="004513FD" w:rsidRPr="004513FD" w:rsidRDefault="004513FD" w:rsidP="004513FD">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p>
        </w:tc>
      </w:tr>
      <w:tr w:rsidR="004513FD" w:rsidRPr="004513FD" w14:paraId="3037A02C" w14:textId="77777777" w:rsidTr="00C106E6">
        <w:trPr>
          <w:trHeight w:val="9634"/>
        </w:trPr>
        <w:tc>
          <w:tcPr>
            <w:tcW w:w="9434" w:type="dxa"/>
          </w:tcPr>
          <w:p w14:paraId="263E5786"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lastRenderedPageBreak/>
              <w:t>6.8 Druge pomembne okoliščine v zvezi z vprašanji, ki jih ureja predlog zakona:</w:t>
            </w:r>
          </w:p>
          <w:p w14:paraId="40B07896"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p>
          <w:p w14:paraId="4D0EE237" w14:textId="77777777" w:rsidR="004513FD" w:rsidRPr="004513FD" w:rsidRDefault="004513FD" w:rsidP="004513FD">
            <w:pPr>
              <w:suppressAutoHyphens/>
              <w:overflowPunct w:val="0"/>
              <w:autoSpaceDE w:val="0"/>
              <w:autoSpaceDN w:val="0"/>
              <w:adjustRightInd w:val="0"/>
              <w:spacing w:after="0" w:line="276" w:lineRule="auto"/>
              <w:jc w:val="both"/>
              <w:textAlignment w:val="baseline"/>
              <w:outlineLvl w:val="3"/>
              <w:rPr>
                <w:rFonts w:ascii="Arial" w:eastAsia="Times New Roman" w:hAnsi="Arial" w:cs="Arial"/>
                <w:sz w:val="20"/>
                <w:szCs w:val="20"/>
                <w:lang w:eastAsia="sl-SI"/>
              </w:rPr>
            </w:pPr>
            <w:r w:rsidRPr="004513FD">
              <w:rPr>
                <w:rFonts w:ascii="Arial" w:eastAsia="Times New Roman" w:hAnsi="Arial" w:cs="Arial"/>
                <w:sz w:val="20"/>
                <w:szCs w:val="20"/>
                <w:lang w:eastAsia="sl-SI"/>
              </w:rPr>
              <w:t>/</w:t>
            </w:r>
          </w:p>
          <w:p w14:paraId="4F093C02"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p>
          <w:p w14:paraId="7674D7A6" w14:textId="77777777" w:rsidR="00EA472C" w:rsidRPr="004513FD" w:rsidRDefault="00EA472C" w:rsidP="00EA472C">
            <w:pPr>
              <w:suppressAutoHyphens/>
              <w:overflowPunct w:val="0"/>
              <w:autoSpaceDE w:val="0"/>
              <w:autoSpaceDN w:val="0"/>
              <w:adjustRightInd w:val="0"/>
              <w:spacing w:after="0" w:line="276" w:lineRule="auto"/>
              <w:jc w:val="both"/>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t>6.9 Podatek o zunanjem strokovnjaku oziroma pravni osebi, ki je sodelovala pri pripravi predloga zakona (osebno ime in naziv fizične osebe ali firma in naslov pravne osebe)</w:t>
            </w:r>
            <w:r>
              <w:rPr>
                <w:rFonts w:ascii="Arial" w:eastAsia="Times New Roman" w:hAnsi="Arial" w:cs="Arial"/>
                <w:b/>
                <w:sz w:val="20"/>
                <w:szCs w:val="20"/>
                <w:lang w:eastAsia="sl-SI"/>
              </w:rPr>
              <w:t>, in znesku plačila za ta namen</w:t>
            </w:r>
          </w:p>
          <w:p w14:paraId="7B81EFAA" w14:textId="77777777" w:rsidR="00EA472C" w:rsidRPr="004513FD" w:rsidRDefault="00EA472C" w:rsidP="00EA472C">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p>
          <w:p w14:paraId="42D45068" w14:textId="77777777" w:rsidR="00EA472C" w:rsidRPr="004513FD" w:rsidRDefault="00EA472C" w:rsidP="00EA472C">
            <w:pPr>
              <w:suppressAutoHyphens/>
              <w:overflowPunct w:val="0"/>
              <w:autoSpaceDE w:val="0"/>
              <w:autoSpaceDN w:val="0"/>
              <w:adjustRightInd w:val="0"/>
              <w:spacing w:after="0" w:line="276" w:lineRule="auto"/>
              <w:contextualSpacing/>
              <w:jc w:val="both"/>
              <w:textAlignment w:val="baseline"/>
              <w:outlineLvl w:val="3"/>
              <w:rPr>
                <w:rFonts w:ascii="Arial" w:eastAsia="Times New Roman" w:hAnsi="Arial" w:cs="Arial"/>
                <w:sz w:val="20"/>
                <w:szCs w:val="20"/>
                <w:lang w:eastAsia="sl-SI"/>
              </w:rPr>
            </w:pPr>
            <w:r w:rsidRPr="004513FD">
              <w:rPr>
                <w:rFonts w:ascii="Arial" w:eastAsia="Times New Roman" w:hAnsi="Arial" w:cs="Arial"/>
                <w:sz w:val="20"/>
                <w:szCs w:val="20"/>
                <w:lang w:eastAsia="sl-SI"/>
              </w:rPr>
              <w:t xml:space="preserve">Pri pripravi predloga zakona zunanji strokovnjaki </w:t>
            </w:r>
            <w:r>
              <w:rPr>
                <w:rFonts w:ascii="Arial" w:eastAsia="Times New Roman" w:hAnsi="Arial" w:cs="Arial"/>
                <w:sz w:val="20"/>
                <w:szCs w:val="20"/>
                <w:lang w:eastAsia="sl-SI"/>
              </w:rPr>
              <w:t xml:space="preserve">oziroma pravne osebe </w:t>
            </w:r>
            <w:r w:rsidRPr="004513FD">
              <w:rPr>
                <w:rFonts w:ascii="Arial" w:eastAsia="Times New Roman" w:hAnsi="Arial" w:cs="Arial"/>
                <w:sz w:val="20"/>
                <w:szCs w:val="20"/>
                <w:lang w:eastAsia="sl-SI"/>
              </w:rPr>
              <w:t>niso sodelovali.</w:t>
            </w:r>
          </w:p>
          <w:p w14:paraId="3293E354" w14:textId="77777777" w:rsidR="004513FD" w:rsidRPr="004513FD" w:rsidRDefault="004513FD" w:rsidP="004513FD">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p>
          <w:p w14:paraId="6E84D7B1" w14:textId="77777777" w:rsidR="004513FD" w:rsidRPr="004513FD" w:rsidRDefault="004513FD" w:rsidP="004513FD">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p>
          <w:p w14:paraId="79539AC2"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t>7. Prikaz sodelovanja javnosti pri pripravi predloga zakona:</w:t>
            </w:r>
          </w:p>
          <w:p w14:paraId="7E4429BE" w14:textId="63A3A537" w:rsidR="002A0C91" w:rsidRDefault="002A0C91" w:rsidP="002A0C91">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5D4AC172" w14:textId="77777777" w:rsidR="00076F4A" w:rsidRPr="00B56E7D" w:rsidRDefault="00076F4A"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sidRPr="00B56E7D">
              <w:rPr>
                <w:rFonts w:ascii="Arial" w:eastAsia="Calibri" w:hAnsi="Arial" w:cs="Arial"/>
                <w:sz w:val="20"/>
                <w:szCs w:val="20"/>
                <w:lang w:eastAsia="sl-SI"/>
              </w:rPr>
              <w:t>Predlog zakona je bil objavljen na spletnem naslovu:</w:t>
            </w:r>
          </w:p>
          <w:p w14:paraId="17EC171F" w14:textId="77777777" w:rsidR="00076F4A" w:rsidRPr="002A0C91" w:rsidRDefault="00A46113"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hyperlink r:id="rId16" w:history="1">
              <w:r w:rsidR="00076F4A" w:rsidRPr="00525CA8">
                <w:rPr>
                  <w:rStyle w:val="Hiperpovezava"/>
                  <w:rFonts w:ascii="Arial" w:hAnsi="Arial" w:cs="Arial"/>
                  <w:sz w:val="20"/>
                  <w:szCs w:val="20"/>
                </w:rPr>
                <w:t>https://e-uprava.gov.si/drzava-in-druzba/e-demokracija/predlogi-predpisov/predlog-predpisa.html?id=14500</w:t>
              </w:r>
            </w:hyperlink>
            <w:r w:rsidR="00076F4A">
              <w:rPr>
                <w:rFonts w:ascii="Arial" w:hAnsi="Arial" w:cs="Arial"/>
                <w:sz w:val="20"/>
                <w:szCs w:val="20"/>
              </w:rPr>
              <w:t xml:space="preserve">. </w:t>
            </w:r>
          </w:p>
          <w:p w14:paraId="573FB888" w14:textId="77777777" w:rsidR="00076F4A" w:rsidRDefault="00076F4A"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4297230E" w14:textId="53E8ABAC" w:rsidR="00076F4A" w:rsidRPr="004513FD" w:rsidRDefault="00076F4A"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Pr>
                <w:rFonts w:ascii="Arial" w:eastAsia="Calibri" w:hAnsi="Arial" w:cs="Arial"/>
                <w:sz w:val="20"/>
                <w:szCs w:val="20"/>
                <w:lang w:eastAsia="sl-SI"/>
              </w:rPr>
              <w:t>J</w:t>
            </w:r>
            <w:r w:rsidRPr="002A0C91">
              <w:rPr>
                <w:rFonts w:ascii="Arial" w:eastAsia="Calibri" w:hAnsi="Arial" w:cs="Arial"/>
                <w:sz w:val="20"/>
                <w:szCs w:val="20"/>
                <w:lang w:eastAsia="sl-SI"/>
              </w:rPr>
              <w:t>av</w:t>
            </w:r>
            <w:r>
              <w:rPr>
                <w:rFonts w:ascii="Arial" w:eastAsia="Calibri" w:hAnsi="Arial" w:cs="Arial"/>
                <w:sz w:val="20"/>
                <w:szCs w:val="20"/>
                <w:lang w:eastAsia="sl-SI"/>
              </w:rPr>
              <w:t>na</w:t>
            </w:r>
            <w:r w:rsidRPr="002A0C91">
              <w:rPr>
                <w:rFonts w:ascii="Arial" w:eastAsia="Calibri" w:hAnsi="Arial" w:cs="Arial"/>
                <w:sz w:val="20"/>
                <w:szCs w:val="20"/>
                <w:lang w:eastAsia="sl-SI"/>
              </w:rPr>
              <w:t xml:space="preserve"> predstavit</w:t>
            </w:r>
            <w:r>
              <w:rPr>
                <w:rFonts w:ascii="Arial" w:eastAsia="Calibri" w:hAnsi="Arial" w:cs="Arial"/>
                <w:sz w:val="20"/>
                <w:szCs w:val="20"/>
                <w:lang w:eastAsia="sl-SI"/>
              </w:rPr>
              <w:t>e</w:t>
            </w:r>
            <w:r w:rsidRPr="002A0C91">
              <w:rPr>
                <w:rFonts w:ascii="Arial" w:eastAsia="Calibri" w:hAnsi="Arial" w:cs="Arial"/>
                <w:sz w:val="20"/>
                <w:szCs w:val="20"/>
                <w:lang w:eastAsia="sl-SI"/>
              </w:rPr>
              <w:t>v, v kat</w:t>
            </w:r>
            <w:r>
              <w:rPr>
                <w:rFonts w:ascii="Arial" w:eastAsia="Calibri" w:hAnsi="Arial" w:cs="Arial"/>
                <w:sz w:val="20"/>
                <w:szCs w:val="20"/>
                <w:lang w:eastAsia="sl-SI"/>
              </w:rPr>
              <w:t>eri</w:t>
            </w:r>
            <w:r w:rsidRPr="002A0C91">
              <w:rPr>
                <w:rFonts w:ascii="Arial" w:eastAsia="Calibri" w:hAnsi="Arial" w:cs="Arial"/>
                <w:sz w:val="20"/>
                <w:szCs w:val="20"/>
                <w:lang w:eastAsia="sl-SI"/>
              </w:rPr>
              <w:t xml:space="preserve"> je bilo mogoče sporočiti mnenja, predloge in pripombe</w:t>
            </w:r>
            <w:r>
              <w:rPr>
                <w:rFonts w:ascii="Arial" w:eastAsia="Calibri" w:hAnsi="Arial" w:cs="Arial"/>
                <w:sz w:val="20"/>
                <w:szCs w:val="20"/>
                <w:lang w:eastAsia="sl-SI"/>
              </w:rPr>
              <w:t>,</w:t>
            </w:r>
            <w:r w:rsidRPr="002A0C91">
              <w:rPr>
                <w:rFonts w:ascii="Arial" w:eastAsia="Calibri" w:hAnsi="Arial" w:cs="Arial"/>
                <w:sz w:val="20"/>
                <w:szCs w:val="20"/>
                <w:lang w:eastAsia="sl-SI"/>
              </w:rPr>
              <w:t xml:space="preserve"> </w:t>
            </w:r>
            <w:r>
              <w:rPr>
                <w:rFonts w:ascii="Arial" w:eastAsia="Calibri" w:hAnsi="Arial" w:cs="Arial"/>
                <w:sz w:val="20"/>
                <w:szCs w:val="20"/>
                <w:lang w:eastAsia="sl-SI"/>
              </w:rPr>
              <w:t>se je začela 1.</w:t>
            </w:r>
            <w:r w:rsidR="00BB7A41">
              <w:rPr>
                <w:rFonts w:ascii="Arial" w:eastAsia="Calibri" w:hAnsi="Arial" w:cs="Arial"/>
                <w:sz w:val="20"/>
                <w:szCs w:val="20"/>
                <w:lang w:eastAsia="sl-SI"/>
              </w:rPr>
              <w:t> </w:t>
            </w:r>
            <w:r>
              <w:rPr>
                <w:rFonts w:ascii="Arial" w:eastAsia="Calibri" w:hAnsi="Arial" w:cs="Arial"/>
                <w:sz w:val="20"/>
                <w:szCs w:val="20"/>
                <w:lang w:eastAsia="sl-SI"/>
              </w:rPr>
              <w:t>8.</w:t>
            </w:r>
            <w:r w:rsidR="00BB7A41">
              <w:rPr>
                <w:rFonts w:ascii="Arial" w:eastAsia="Calibri" w:hAnsi="Arial" w:cs="Arial"/>
                <w:sz w:val="20"/>
                <w:szCs w:val="20"/>
                <w:lang w:eastAsia="sl-SI"/>
              </w:rPr>
              <w:t> </w:t>
            </w:r>
            <w:r>
              <w:rPr>
                <w:rFonts w:ascii="Arial" w:eastAsia="Calibri" w:hAnsi="Arial" w:cs="Arial"/>
                <w:sz w:val="20"/>
                <w:szCs w:val="20"/>
                <w:lang w:eastAsia="sl-SI"/>
              </w:rPr>
              <w:t>2022 in je trajala do 19.</w:t>
            </w:r>
            <w:r w:rsidR="00BB7A41">
              <w:rPr>
                <w:rFonts w:ascii="Arial" w:eastAsia="Calibri" w:hAnsi="Arial" w:cs="Arial"/>
                <w:sz w:val="20"/>
                <w:szCs w:val="20"/>
                <w:lang w:eastAsia="sl-SI"/>
              </w:rPr>
              <w:t> </w:t>
            </w:r>
            <w:r>
              <w:rPr>
                <w:rFonts w:ascii="Arial" w:eastAsia="Calibri" w:hAnsi="Arial" w:cs="Arial"/>
                <w:sz w:val="20"/>
                <w:szCs w:val="20"/>
                <w:lang w:eastAsia="sl-SI"/>
              </w:rPr>
              <w:t>8.</w:t>
            </w:r>
            <w:r w:rsidR="00BB7A41">
              <w:rPr>
                <w:rFonts w:ascii="Arial" w:eastAsia="Calibri" w:hAnsi="Arial" w:cs="Arial"/>
                <w:sz w:val="20"/>
                <w:szCs w:val="20"/>
                <w:lang w:eastAsia="sl-SI"/>
              </w:rPr>
              <w:t> </w:t>
            </w:r>
            <w:r>
              <w:rPr>
                <w:rFonts w:ascii="Arial" w:eastAsia="Calibri" w:hAnsi="Arial" w:cs="Arial"/>
                <w:sz w:val="20"/>
                <w:szCs w:val="20"/>
                <w:lang w:eastAsia="sl-SI"/>
              </w:rPr>
              <w:t>2022.</w:t>
            </w:r>
            <w:r w:rsidRPr="002A0C91">
              <w:rPr>
                <w:rFonts w:ascii="Arial" w:eastAsia="Calibri" w:hAnsi="Arial" w:cs="Arial"/>
                <w:sz w:val="20"/>
                <w:szCs w:val="20"/>
                <w:lang w:eastAsia="sl-SI"/>
              </w:rPr>
              <w:t xml:space="preserve"> </w:t>
            </w:r>
          </w:p>
          <w:p w14:paraId="3B28AE45" w14:textId="77777777" w:rsidR="00076F4A" w:rsidRDefault="00076F4A"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22B27345" w14:textId="200ECF23" w:rsidR="00076F4A" w:rsidRPr="0016553D" w:rsidRDefault="00076F4A"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sidRPr="0016553D">
              <w:rPr>
                <w:rFonts w:ascii="Arial" w:eastAsia="Calibri" w:hAnsi="Arial" w:cs="Arial"/>
                <w:sz w:val="20"/>
                <w:szCs w:val="20"/>
                <w:lang w:eastAsia="sl-SI"/>
              </w:rPr>
              <w:t>Mnenja, predloge in pripombo so podala gospodarska in sindikalna združenja, predstavniki zainteresirane in strokovne javnosti ter tudi posamezniki.</w:t>
            </w:r>
          </w:p>
          <w:p w14:paraId="32FCEE9E" w14:textId="77777777" w:rsidR="00076F4A" w:rsidRPr="0016553D" w:rsidRDefault="00076F4A"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2C5AE0FE" w14:textId="77777777" w:rsidR="00076F4A" w:rsidRPr="0016553D" w:rsidRDefault="00076F4A"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sidRPr="0016553D">
              <w:rPr>
                <w:rFonts w:ascii="Arial" w:eastAsia="Calibri" w:hAnsi="Arial" w:cs="Arial"/>
                <w:sz w:val="20"/>
                <w:szCs w:val="20"/>
                <w:lang w:eastAsia="sl-SI"/>
              </w:rPr>
              <w:t xml:space="preserve">Pripombe so </w:t>
            </w:r>
            <w:r>
              <w:rPr>
                <w:rFonts w:ascii="Arial" w:eastAsia="Calibri" w:hAnsi="Arial" w:cs="Arial"/>
                <w:sz w:val="20"/>
                <w:szCs w:val="20"/>
                <w:lang w:eastAsia="sl-SI"/>
              </w:rPr>
              <w:t xml:space="preserve">v navedenem roku </w:t>
            </w:r>
            <w:r w:rsidRPr="0016553D">
              <w:rPr>
                <w:rFonts w:ascii="Arial" w:eastAsia="Calibri" w:hAnsi="Arial" w:cs="Arial"/>
                <w:sz w:val="20"/>
                <w:szCs w:val="20"/>
                <w:lang w:eastAsia="sl-SI"/>
              </w:rPr>
              <w:t>podali:</w:t>
            </w:r>
          </w:p>
          <w:p w14:paraId="35762F97" w14:textId="77777777" w:rsidR="00076F4A" w:rsidRPr="00EA472C"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proofErr w:type="spellStart"/>
            <w:r w:rsidRPr="00EA472C">
              <w:rPr>
                <w:rFonts w:ascii="Arial" w:eastAsia="Calibri" w:hAnsi="Arial" w:cs="Arial"/>
                <w:sz w:val="20"/>
                <w:szCs w:val="20"/>
              </w:rPr>
              <w:t>iConsult</w:t>
            </w:r>
            <w:proofErr w:type="spellEnd"/>
            <w:r w:rsidRPr="00EA472C">
              <w:rPr>
                <w:rFonts w:ascii="Arial" w:eastAsia="Calibri" w:hAnsi="Arial" w:cs="Arial"/>
                <w:sz w:val="20"/>
                <w:szCs w:val="20"/>
              </w:rPr>
              <w:t xml:space="preserve"> </w:t>
            </w:r>
            <w:proofErr w:type="spellStart"/>
            <w:r w:rsidRPr="00EA472C">
              <w:rPr>
                <w:rFonts w:ascii="Arial" w:eastAsia="Calibri" w:hAnsi="Arial" w:cs="Arial"/>
                <w:sz w:val="20"/>
                <w:szCs w:val="20"/>
              </w:rPr>
              <w:t>d.o.o</w:t>
            </w:r>
            <w:proofErr w:type="spellEnd"/>
            <w:r>
              <w:rPr>
                <w:rFonts w:ascii="Arial" w:eastAsia="Calibri" w:hAnsi="Arial" w:cs="Arial"/>
                <w:sz w:val="20"/>
                <w:szCs w:val="20"/>
              </w:rPr>
              <w:t>.,</w:t>
            </w:r>
          </w:p>
          <w:p w14:paraId="120C79FE" w14:textId="77777777" w:rsidR="00076F4A" w:rsidRPr="00B56E7D"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Reprezentativne delodajalske organizacije, Trgovinska zbornica Slovenije, Gospodarska zbornica Slovenije, Obrtno-podjetniška zbornica Slovenije, Združenje delodajalcev Slovenije in Združenje delodajalcev obrti in podjetnikov Slovenije</w:t>
            </w:r>
            <w:r>
              <w:rPr>
                <w:rFonts w:ascii="Arial" w:eastAsia="Calibri" w:hAnsi="Arial" w:cs="Arial"/>
                <w:sz w:val="20"/>
                <w:szCs w:val="20"/>
              </w:rPr>
              <w:t>,</w:t>
            </w:r>
          </w:p>
          <w:p w14:paraId="03B0B95A" w14:textId="77777777" w:rsidR="00076F4A" w:rsidRPr="00B56E7D"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 xml:space="preserve">KSS </w:t>
            </w:r>
            <w:r>
              <w:rPr>
                <w:rFonts w:ascii="Arial" w:eastAsia="Calibri" w:hAnsi="Arial" w:cs="Arial"/>
                <w:sz w:val="20"/>
                <w:szCs w:val="20"/>
              </w:rPr>
              <w:t>Pergam,</w:t>
            </w:r>
          </w:p>
          <w:p w14:paraId="2DC36E63" w14:textId="77777777" w:rsidR="00076F4A" w:rsidRPr="00B56E7D"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Zveza računovodij, finančnikov in revizorjev Slovenije</w:t>
            </w:r>
            <w:r>
              <w:rPr>
                <w:rFonts w:ascii="Arial" w:eastAsia="Calibri" w:hAnsi="Arial" w:cs="Arial"/>
                <w:sz w:val="20"/>
                <w:szCs w:val="20"/>
              </w:rPr>
              <w:t>,</w:t>
            </w:r>
          </w:p>
          <w:p w14:paraId="3D6EAAC0" w14:textId="77777777" w:rsidR="00076F4A" w:rsidRPr="00EA472C"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EA472C">
              <w:rPr>
                <w:rFonts w:ascii="Arial" w:eastAsia="Calibri" w:hAnsi="Arial" w:cs="Arial"/>
                <w:sz w:val="20"/>
                <w:szCs w:val="20"/>
              </w:rPr>
              <w:t>Zveze svobodnih sindikatov Slovenije in Konfederacije sindikatov javnega sektorja Slovenije</w:t>
            </w:r>
            <w:r>
              <w:rPr>
                <w:rFonts w:ascii="Arial" w:eastAsia="Calibri" w:hAnsi="Arial" w:cs="Arial"/>
                <w:sz w:val="20"/>
                <w:szCs w:val="20"/>
              </w:rPr>
              <w:t>,</w:t>
            </w:r>
          </w:p>
          <w:p w14:paraId="599958F9" w14:textId="77777777" w:rsidR="00076F4A" w:rsidRPr="005B01DA"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EA472C">
              <w:rPr>
                <w:rFonts w:ascii="Arial" w:eastAsia="Calibri" w:hAnsi="Arial" w:cs="Arial"/>
                <w:sz w:val="20"/>
                <w:szCs w:val="20"/>
              </w:rPr>
              <w:t>Kmetijsko gozdarska zbornica Slovenije, Sindikat kmetov Slovenije, Zadružna zveze Slovenije, Zveza slovenske podeželske mladine in Zveza kmeti</w:t>
            </w:r>
            <w:r w:rsidRPr="005B01DA">
              <w:rPr>
                <w:rFonts w:ascii="Arial" w:eastAsia="Calibri" w:hAnsi="Arial" w:cs="Arial"/>
                <w:sz w:val="20"/>
                <w:szCs w:val="20"/>
              </w:rPr>
              <w:t>c Slovenije</w:t>
            </w:r>
            <w:r>
              <w:rPr>
                <w:rFonts w:ascii="Arial" w:eastAsia="Calibri" w:hAnsi="Arial" w:cs="Arial"/>
                <w:sz w:val="20"/>
                <w:szCs w:val="20"/>
              </w:rPr>
              <w:t>,</w:t>
            </w:r>
          </w:p>
          <w:p w14:paraId="6AF71E66" w14:textId="77777777" w:rsidR="00076F4A" w:rsidRPr="00B56E7D"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Gospodarska zbornica Slovenije</w:t>
            </w:r>
            <w:r>
              <w:rPr>
                <w:rFonts w:ascii="Arial" w:eastAsia="Calibri" w:hAnsi="Arial" w:cs="Arial"/>
                <w:sz w:val="20"/>
                <w:szCs w:val="20"/>
              </w:rPr>
              <w:t>,</w:t>
            </w:r>
          </w:p>
          <w:p w14:paraId="25561602" w14:textId="77777777" w:rsidR="00076F4A" w:rsidRPr="00B56E7D"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Združenje delodajalcev Slovenije</w:t>
            </w:r>
            <w:r>
              <w:rPr>
                <w:rFonts w:ascii="Arial" w:eastAsia="Calibri" w:hAnsi="Arial" w:cs="Arial"/>
                <w:sz w:val="20"/>
                <w:szCs w:val="20"/>
              </w:rPr>
              <w:t>,</w:t>
            </w:r>
          </w:p>
          <w:p w14:paraId="72971461" w14:textId="77777777" w:rsidR="00076F4A" w:rsidRPr="00B56E7D"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Slovenska zveza sindikatov Alternativa</w:t>
            </w:r>
            <w:r>
              <w:rPr>
                <w:rFonts w:ascii="Arial" w:eastAsia="Calibri" w:hAnsi="Arial" w:cs="Arial"/>
                <w:sz w:val="20"/>
                <w:szCs w:val="20"/>
              </w:rPr>
              <w:t>,</w:t>
            </w:r>
            <w:r w:rsidRPr="00B56E7D">
              <w:rPr>
                <w:rFonts w:ascii="Arial" w:eastAsia="Calibri" w:hAnsi="Arial" w:cs="Arial"/>
                <w:sz w:val="20"/>
                <w:szCs w:val="20"/>
              </w:rPr>
              <w:t xml:space="preserve"> </w:t>
            </w:r>
          </w:p>
          <w:p w14:paraId="28F5BC49" w14:textId="77777777" w:rsidR="00076F4A" w:rsidRPr="00B56E7D"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proofErr w:type="spellStart"/>
            <w:r w:rsidRPr="00B56E7D">
              <w:rPr>
                <w:rFonts w:ascii="Arial" w:eastAsia="Calibri" w:hAnsi="Arial" w:cs="Arial"/>
                <w:sz w:val="20"/>
                <w:szCs w:val="20"/>
              </w:rPr>
              <w:t>AmCham</w:t>
            </w:r>
            <w:proofErr w:type="spellEnd"/>
            <w:r w:rsidRPr="00B56E7D">
              <w:rPr>
                <w:rFonts w:ascii="Arial" w:eastAsia="Calibri" w:hAnsi="Arial" w:cs="Arial"/>
                <w:sz w:val="20"/>
                <w:szCs w:val="20"/>
              </w:rPr>
              <w:t xml:space="preserve"> Slovenija</w:t>
            </w:r>
            <w:r>
              <w:rPr>
                <w:rFonts w:ascii="Arial" w:eastAsia="Calibri" w:hAnsi="Arial" w:cs="Arial"/>
                <w:sz w:val="20"/>
                <w:szCs w:val="20"/>
              </w:rPr>
              <w:t>,</w:t>
            </w:r>
          </w:p>
          <w:p w14:paraId="7644F77C" w14:textId="77777777" w:rsidR="00076F4A" w:rsidRPr="00B56E7D"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Obrtno-podjetniška zbornica Slovenije</w:t>
            </w:r>
            <w:r>
              <w:rPr>
                <w:rFonts w:ascii="Arial" w:eastAsia="Calibri" w:hAnsi="Arial" w:cs="Arial"/>
                <w:sz w:val="20"/>
                <w:szCs w:val="20"/>
              </w:rPr>
              <w:t>,</w:t>
            </w:r>
          </w:p>
          <w:p w14:paraId="4ED74E60" w14:textId="77777777" w:rsidR="00076F4A" w:rsidRPr="006708D5"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Gospodarska zbornica Slovenije – Zbornica za poslovanje z nepremičninami, ZUN-Združenje upravnikov nepremičnin</w:t>
            </w:r>
            <w:r>
              <w:rPr>
                <w:rFonts w:ascii="Arial" w:eastAsia="Calibri" w:hAnsi="Arial" w:cs="Arial"/>
                <w:sz w:val="20"/>
                <w:szCs w:val="20"/>
              </w:rPr>
              <w:t>,</w:t>
            </w:r>
          </w:p>
          <w:p w14:paraId="34E69C4E" w14:textId="77777777" w:rsidR="00076F4A" w:rsidRPr="00B56E7D"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Trgovinska zbornica Slovenije</w:t>
            </w:r>
            <w:r>
              <w:rPr>
                <w:rFonts w:ascii="Arial" w:eastAsia="Calibri" w:hAnsi="Arial" w:cs="Arial"/>
                <w:sz w:val="20"/>
                <w:szCs w:val="20"/>
              </w:rPr>
              <w:t>,</w:t>
            </w:r>
          </w:p>
          <w:p w14:paraId="0E07379A" w14:textId="77777777" w:rsidR="00076F4A" w:rsidRPr="00B56E7D"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Zbornica davčnih svetovalcev Slovenije</w:t>
            </w:r>
            <w:r>
              <w:rPr>
                <w:rFonts w:ascii="Arial" w:eastAsia="Calibri" w:hAnsi="Arial" w:cs="Arial"/>
                <w:sz w:val="20"/>
                <w:szCs w:val="20"/>
              </w:rPr>
              <w:t>,</w:t>
            </w:r>
          </w:p>
          <w:p w14:paraId="45ECCB90" w14:textId="77777777" w:rsidR="00076F4A" w:rsidRPr="006708D5"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Klub slovenskih podjetnikov</w:t>
            </w:r>
            <w:r>
              <w:rPr>
                <w:rFonts w:ascii="Arial" w:eastAsia="Calibri" w:hAnsi="Arial" w:cs="Arial"/>
                <w:sz w:val="20"/>
                <w:szCs w:val="20"/>
              </w:rPr>
              <w:t>,</w:t>
            </w:r>
          </w:p>
          <w:p w14:paraId="284A2B21" w14:textId="77777777" w:rsidR="00076F4A" w:rsidRPr="00B56E7D"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Nacionalni svet invalidskih organizacij Slovenije</w:t>
            </w:r>
            <w:r>
              <w:rPr>
                <w:rFonts w:ascii="Arial" w:eastAsia="Calibri" w:hAnsi="Arial" w:cs="Arial"/>
                <w:sz w:val="20"/>
                <w:szCs w:val="20"/>
              </w:rPr>
              <w:t>,</w:t>
            </w:r>
          </w:p>
          <w:p w14:paraId="40656655" w14:textId="77777777" w:rsidR="00076F4A" w:rsidRPr="006708D5"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Center za informiranje, sodelovanje in razvoj nevladnih organizacij</w:t>
            </w:r>
            <w:r>
              <w:rPr>
                <w:rFonts w:ascii="Arial" w:eastAsia="Calibri" w:hAnsi="Arial" w:cs="Arial"/>
                <w:sz w:val="20"/>
                <w:szCs w:val="20"/>
              </w:rPr>
              <w:t>,</w:t>
            </w:r>
          </w:p>
          <w:p w14:paraId="0D13A073" w14:textId="77777777" w:rsidR="00076F4A" w:rsidRPr="00B56E7D"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Zveza reprezentativnih sindikatov Slovenije</w:t>
            </w:r>
            <w:r>
              <w:rPr>
                <w:rFonts w:ascii="Arial" w:eastAsia="Calibri" w:hAnsi="Arial" w:cs="Arial"/>
                <w:sz w:val="20"/>
                <w:szCs w:val="20"/>
              </w:rPr>
              <w:t>,</w:t>
            </w:r>
          </w:p>
          <w:p w14:paraId="44FF1FE3" w14:textId="77777777" w:rsidR="00076F4A" w:rsidRPr="00B56E7D"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Zveza slepih in slabovidnih Slovenije</w:t>
            </w:r>
            <w:r>
              <w:rPr>
                <w:rFonts w:ascii="Arial" w:eastAsia="Calibri" w:hAnsi="Arial" w:cs="Arial"/>
                <w:sz w:val="20"/>
                <w:szCs w:val="20"/>
              </w:rPr>
              <w:t>,</w:t>
            </w:r>
          </w:p>
          <w:p w14:paraId="0A772594" w14:textId="732D2989" w:rsidR="00076F4A" w:rsidRPr="00EA472C"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EA472C">
              <w:rPr>
                <w:rFonts w:ascii="Arial" w:eastAsia="Calibri" w:hAnsi="Arial" w:cs="Arial"/>
                <w:sz w:val="20"/>
                <w:szCs w:val="20"/>
              </w:rPr>
              <w:t xml:space="preserve">FIABCI Slovenija </w:t>
            </w:r>
            <w:r w:rsidR="00BB7A41">
              <w:rPr>
                <w:rFonts w:ascii="Arial" w:eastAsia="Calibri" w:hAnsi="Arial" w:cs="Arial"/>
                <w:sz w:val="20"/>
                <w:szCs w:val="20"/>
              </w:rPr>
              <w:t>–</w:t>
            </w:r>
            <w:r w:rsidRPr="00EA472C">
              <w:rPr>
                <w:rFonts w:ascii="Arial" w:eastAsia="Calibri" w:hAnsi="Arial" w:cs="Arial"/>
                <w:sz w:val="20"/>
                <w:szCs w:val="20"/>
              </w:rPr>
              <w:t xml:space="preserve"> Slovensko nepremičninsko združenje</w:t>
            </w:r>
            <w:r>
              <w:rPr>
                <w:rFonts w:ascii="Arial" w:eastAsia="Calibri" w:hAnsi="Arial" w:cs="Arial"/>
                <w:sz w:val="20"/>
                <w:szCs w:val="20"/>
              </w:rPr>
              <w:t>,</w:t>
            </w:r>
          </w:p>
          <w:p w14:paraId="17E957A4" w14:textId="77777777" w:rsidR="00076F4A"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sidRPr="00B56E7D">
              <w:rPr>
                <w:rFonts w:ascii="Arial" w:eastAsia="Calibri" w:hAnsi="Arial" w:cs="Arial"/>
                <w:sz w:val="20"/>
                <w:szCs w:val="20"/>
              </w:rPr>
              <w:t>Davčno svetovalna zbornica Slovenije</w:t>
            </w:r>
            <w:r>
              <w:rPr>
                <w:rFonts w:ascii="Arial" w:eastAsia="Calibri" w:hAnsi="Arial" w:cs="Arial"/>
                <w:sz w:val="20"/>
                <w:szCs w:val="20"/>
              </w:rPr>
              <w:t>,</w:t>
            </w:r>
          </w:p>
          <w:p w14:paraId="6DD3DCE2" w14:textId="6FD9F8D2" w:rsidR="00076F4A" w:rsidRPr="002A061E"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Pr>
                <w:rFonts w:ascii="Arial" w:eastAsia="Calibri" w:hAnsi="Arial" w:cs="Arial"/>
                <w:sz w:val="20"/>
                <w:szCs w:val="20"/>
              </w:rPr>
              <w:t>1</w:t>
            </w:r>
            <w:r w:rsidR="0037646A">
              <w:rPr>
                <w:rFonts w:ascii="Arial" w:eastAsia="Calibri" w:hAnsi="Arial" w:cs="Arial"/>
                <w:sz w:val="20"/>
                <w:szCs w:val="20"/>
              </w:rPr>
              <w:t>5</w:t>
            </w:r>
            <w:r w:rsidRPr="002A061E">
              <w:rPr>
                <w:rFonts w:ascii="Arial" w:eastAsia="Calibri" w:hAnsi="Arial" w:cs="Arial"/>
                <w:sz w:val="20"/>
                <w:szCs w:val="20"/>
              </w:rPr>
              <w:t xml:space="preserve"> fizičnih oseb in</w:t>
            </w:r>
          </w:p>
          <w:p w14:paraId="73CDADAE" w14:textId="77777777" w:rsidR="00076F4A" w:rsidRPr="006708D5" w:rsidRDefault="00076F4A" w:rsidP="00076F4A">
            <w:pPr>
              <w:pStyle w:val="Odstavekseznama"/>
              <w:widowControl w:val="0"/>
              <w:numPr>
                <w:ilvl w:val="0"/>
                <w:numId w:val="22"/>
              </w:numPr>
              <w:overflowPunct w:val="0"/>
              <w:autoSpaceDE w:val="0"/>
              <w:autoSpaceDN w:val="0"/>
              <w:adjustRightInd w:val="0"/>
              <w:spacing w:line="276" w:lineRule="auto"/>
              <w:contextualSpacing/>
              <w:jc w:val="both"/>
              <w:textAlignment w:val="baseline"/>
              <w:rPr>
                <w:rFonts w:ascii="Arial" w:eastAsia="Calibri" w:hAnsi="Arial" w:cs="Arial"/>
                <w:sz w:val="20"/>
                <w:szCs w:val="20"/>
              </w:rPr>
            </w:pPr>
            <w:r>
              <w:rPr>
                <w:rFonts w:ascii="Arial" w:eastAsia="Calibri" w:hAnsi="Arial" w:cs="Arial"/>
                <w:sz w:val="20"/>
                <w:szCs w:val="20"/>
              </w:rPr>
              <w:t>3</w:t>
            </w:r>
            <w:r w:rsidRPr="002A061E">
              <w:rPr>
                <w:rFonts w:ascii="Arial" w:eastAsia="Calibri" w:hAnsi="Arial" w:cs="Arial"/>
                <w:sz w:val="20"/>
                <w:szCs w:val="20"/>
              </w:rPr>
              <w:t xml:space="preserve"> anonimn</w:t>
            </w:r>
            <w:r>
              <w:rPr>
                <w:rFonts w:ascii="Arial" w:eastAsia="Calibri" w:hAnsi="Arial" w:cs="Arial"/>
                <w:sz w:val="20"/>
                <w:szCs w:val="20"/>
              </w:rPr>
              <w:t>e</w:t>
            </w:r>
            <w:r w:rsidRPr="002A061E">
              <w:rPr>
                <w:rFonts w:ascii="Arial" w:eastAsia="Calibri" w:hAnsi="Arial" w:cs="Arial"/>
                <w:sz w:val="20"/>
                <w:szCs w:val="20"/>
              </w:rPr>
              <w:t xml:space="preserve"> oseb</w:t>
            </w:r>
            <w:r>
              <w:rPr>
                <w:rFonts w:ascii="Arial" w:eastAsia="Calibri" w:hAnsi="Arial" w:cs="Arial"/>
                <w:sz w:val="20"/>
                <w:szCs w:val="20"/>
              </w:rPr>
              <w:t>e</w:t>
            </w:r>
            <w:r w:rsidRPr="002A061E">
              <w:rPr>
                <w:rFonts w:ascii="Arial" w:eastAsia="Calibri" w:hAnsi="Arial" w:cs="Arial"/>
                <w:sz w:val="20"/>
                <w:szCs w:val="20"/>
              </w:rPr>
              <w:t>.</w:t>
            </w:r>
          </w:p>
          <w:p w14:paraId="348CD57C" w14:textId="77777777" w:rsidR="00076F4A" w:rsidRPr="0016553D" w:rsidRDefault="00076F4A"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19E6D7D5" w14:textId="77777777" w:rsidR="00076F4A" w:rsidRDefault="00076F4A"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sidRPr="0016553D">
              <w:rPr>
                <w:rFonts w:ascii="Arial" w:eastAsia="Calibri" w:hAnsi="Arial" w:cs="Arial"/>
                <w:sz w:val="20"/>
                <w:szCs w:val="20"/>
                <w:lang w:eastAsia="sl-SI"/>
              </w:rPr>
              <w:lastRenderedPageBreak/>
              <w:t xml:space="preserve">Prejete pripombe </w:t>
            </w:r>
            <w:r>
              <w:rPr>
                <w:rFonts w:ascii="Arial" w:eastAsia="Calibri" w:hAnsi="Arial" w:cs="Arial"/>
                <w:sz w:val="20"/>
                <w:szCs w:val="20"/>
                <w:lang w:eastAsia="sl-SI"/>
              </w:rPr>
              <w:t xml:space="preserve">so bile delno </w:t>
            </w:r>
            <w:r w:rsidRPr="0016553D">
              <w:rPr>
                <w:rFonts w:ascii="Arial" w:eastAsia="Calibri" w:hAnsi="Arial" w:cs="Arial"/>
                <w:sz w:val="20"/>
                <w:szCs w:val="20"/>
                <w:lang w:eastAsia="sl-SI"/>
              </w:rPr>
              <w:t>upoštevane.</w:t>
            </w:r>
          </w:p>
          <w:p w14:paraId="63F18EB2" w14:textId="77777777" w:rsidR="0064652C" w:rsidRPr="0016553D" w:rsidRDefault="0064652C"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47F2BB6E" w14:textId="29372E1B" w:rsidR="00076F4A" w:rsidRPr="008407DA" w:rsidRDefault="00076F4A" w:rsidP="00076F4A">
            <w:pPr>
              <w:pStyle w:val="Neotevilenodstavek"/>
              <w:widowControl w:val="0"/>
              <w:spacing w:before="0" w:after="0" w:line="276" w:lineRule="auto"/>
              <w:contextualSpacing/>
              <w:rPr>
                <w:iCs/>
                <w:sz w:val="20"/>
                <w:szCs w:val="20"/>
              </w:rPr>
            </w:pPr>
            <w:r w:rsidRPr="008407DA">
              <w:rPr>
                <w:iCs/>
                <w:sz w:val="20"/>
                <w:szCs w:val="20"/>
              </w:rPr>
              <w:t>Pri pripravi zakona so bile proučene vse pripombe in predlogi fizičnih oseb, zainteresirane javnosti in strokovne javnosti. Nekatere pripombe in predlogi so bili upoštevani, nekaterih pa ni bilo mogoče upoštevati, saj se nekateri niso nanašali na vsebine, ki so pr</w:t>
            </w:r>
            <w:r>
              <w:rPr>
                <w:iCs/>
                <w:sz w:val="20"/>
                <w:szCs w:val="20"/>
              </w:rPr>
              <w:t xml:space="preserve">edmet tokratnih sprememb </w:t>
            </w:r>
            <w:r w:rsidR="00BF1841">
              <w:rPr>
                <w:iCs/>
                <w:sz w:val="20"/>
                <w:szCs w:val="20"/>
              </w:rPr>
              <w:t>ZDoh-2</w:t>
            </w:r>
            <w:r>
              <w:rPr>
                <w:iCs/>
                <w:sz w:val="20"/>
                <w:szCs w:val="20"/>
              </w:rPr>
              <w:t>.</w:t>
            </w:r>
            <w:r w:rsidRPr="008407DA">
              <w:rPr>
                <w:iCs/>
                <w:sz w:val="20"/>
                <w:szCs w:val="20"/>
              </w:rPr>
              <w:t xml:space="preserve"> </w:t>
            </w:r>
            <w:r>
              <w:rPr>
                <w:iCs/>
                <w:sz w:val="20"/>
                <w:szCs w:val="20"/>
              </w:rPr>
              <w:t>N</w:t>
            </w:r>
            <w:r w:rsidRPr="008407DA">
              <w:rPr>
                <w:iCs/>
                <w:sz w:val="20"/>
                <w:szCs w:val="20"/>
              </w:rPr>
              <w:t xml:space="preserve">ekateri predlogi in pripombe </w:t>
            </w:r>
            <w:r w:rsidR="00BB7A41">
              <w:rPr>
                <w:iCs/>
                <w:sz w:val="20"/>
                <w:szCs w:val="20"/>
              </w:rPr>
              <w:t>se</w:t>
            </w:r>
            <w:r w:rsidRPr="008407DA">
              <w:rPr>
                <w:iCs/>
                <w:sz w:val="20"/>
                <w:szCs w:val="20"/>
              </w:rPr>
              <w:t xml:space="preserve"> niso skladali s cilji predloga zakona. Obširneje je poročilo o prejetih pripombah, predlogih in mnenjih ter </w:t>
            </w:r>
            <w:r>
              <w:rPr>
                <w:iCs/>
                <w:sz w:val="20"/>
                <w:szCs w:val="20"/>
              </w:rPr>
              <w:t>odziv nanje</w:t>
            </w:r>
            <w:r w:rsidRPr="008407DA">
              <w:rPr>
                <w:iCs/>
                <w:sz w:val="20"/>
                <w:szCs w:val="20"/>
              </w:rPr>
              <w:t xml:space="preserve"> vsebovano v prilogi </w:t>
            </w:r>
            <w:r w:rsidRPr="008407DA">
              <w:rPr>
                <w:sz w:val="20"/>
                <w:szCs w:val="20"/>
              </w:rPr>
              <w:t>Poročilo o prejetih pripombah, predlogih in mnenjih na predlog Zakona o spremembah in dopolnitvah Zakona o dohodnini ter o njihovem upoštevanju – zainteresirana javnost</w:t>
            </w:r>
            <w:r w:rsidRPr="008407DA">
              <w:rPr>
                <w:iCs/>
                <w:sz w:val="20"/>
                <w:szCs w:val="20"/>
              </w:rPr>
              <w:t>.</w:t>
            </w:r>
          </w:p>
          <w:p w14:paraId="460D3584" w14:textId="77777777" w:rsidR="00076F4A" w:rsidRDefault="00076F4A"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p>
          <w:p w14:paraId="16BB4707" w14:textId="2E2B86F7" w:rsidR="0016553D" w:rsidRPr="0016553D" w:rsidRDefault="00076F4A" w:rsidP="00076F4A">
            <w:pPr>
              <w:widowControl w:val="0"/>
              <w:overflowPunct w:val="0"/>
              <w:autoSpaceDE w:val="0"/>
              <w:autoSpaceDN w:val="0"/>
              <w:adjustRightInd w:val="0"/>
              <w:spacing w:after="0" w:line="276" w:lineRule="auto"/>
              <w:contextualSpacing/>
              <w:jc w:val="both"/>
              <w:textAlignment w:val="baseline"/>
              <w:rPr>
                <w:rFonts w:ascii="Arial" w:eastAsia="Calibri" w:hAnsi="Arial" w:cs="Arial"/>
                <w:sz w:val="20"/>
                <w:szCs w:val="20"/>
                <w:lang w:eastAsia="sl-SI"/>
              </w:rPr>
            </w:pPr>
            <w:r>
              <w:rPr>
                <w:rFonts w:ascii="Arial" w:eastAsia="Calibri" w:hAnsi="Arial" w:cs="Arial"/>
                <w:sz w:val="20"/>
                <w:szCs w:val="20"/>
                <w:lang w:eastAsia="sl-SI"/>
              </w:rPr>
              <w:t>Po opravljeni javni obravnavi je bil predlog zakona 24.</w:t>
            </w:r>
            <w:r w:rsidR="00BB7A41">
              <w:rPr>
                <w:rFonts w:ascii="Arial" w:eastAsia="Calibri" w:hAnsi="Arial" w:cs="Arial"/>
                <w:sz w:val="20"/>
                <w:szCs w:val="20"/>
                <w:lang w:eastAsia="sl-SI"/>
              </w:rPr>
              <w:t> </w:t>
            </w:r>
            <w:r>
              <w:rPr>
                <w:rFonts w:ascii="Arial" w:eastAsia="Calibri" w:hAnsi="Arial" w:cs="Arial"/>
                <w:sz w:val="20"/>
                <w:szCs w:val="20"/>
                <w:lang w:eastAsia="sl-SI"/>
              </w:rPr>
              <w:t>avgusta 2022</w:t>
            </w:r>
            <w:r w:rsidR="00BB7A41">
              <w:rPr>
                <w:rFonts w:ascii="Arial" w:eastAsia="Calibri" w:hAnsi="Arial" w:cs="Arial"/>
                <w:sz w:val="20"/>
                <w:szCs w:val="20"/>
                <w:lang w:eastAsia="sl-SI"/>
              </w:rPr>
              <w:t xml:space="preserve"> in 7.</w:t>
            </w:r>
            <w:r w:rsidR="00BF1841">
              <w:rPr>
                <w:rFonts w:ascii="Arial" w:eastAsia="Calibri" w:hAnsi="Arial" w:cs="Arial"/>
                <w:sz w:val="20"/>
                <w:szCs w:val="20"/>
                <w:lang w:eastAsia="sl-SI"/>
              </w:rPr>
              <w:t> </w:t>
            </w:r>
            <w:r w:rsidR="00BB7A41">
              <w:rPr>
                <w:rFonts w:ascii="Arial" w:eastAsia="Calibri" w:hAnsi="Arial" w:cs="Arial"/>
                <w:sz w:val="20"/>
                <w:szCs w:val="20"/>
                <w:lang w:eastAsia="sl-SI"/>
              </w:rPr>
              <w:t>septembra 2022</w:t>
            </w:r>
            <w:r>
              <w:rPr>
                <w:rFonts w:ascii="Arial" w:eastAsia="Calibri" w:hAnsi="Arial" w:cs="Arial"/>
                <w:sz w:val="20"/>
                <w:szCs w:val="20"/>
                <w:lang w:eastAsia="sl-SI"/>
              </w:rPr>
              <w:t xml:space="preserve"> obravnavan na </w:t>
            </w:r>
            <w:r w:rsidRPr="003134F7">
              <w:rPr>
                <w:rFonts w:ascii="Arial" w:eastAsia="Calibri" w:hAnsi="Arial" w:cs="Arial"/>
                <w:sz w:val="20"/>
                <w:szCs w:val="20"/>
                <w:lang w:eastAsia="sl-SI"/>
              </w:rPr>
              <w:t>Strokovn</w:t>
            </w:r>
            <w:r>
              <w:rPr>
                <w:rFonts w:ascii="Arial" w:eastAsia="Calibri" w:hAnsi="Arial" w:cs="Arial"/>
                <w:sz w:val="20"/>
                <w:szCs w:val="20"/>
                <w:lang w:eastAsia="sl-SI"/>
              </w:rPr>
              <w:t>em</w:t>
            </w:r>
            <w:r w:rsidRPr="003134F7">
              <w:rPr>
                <w:rFonts w:ascii="Arial" w:eastAsia="Calibri" w:hAnsi="Arial" w:cs="Arial"/>
                <w:sz w:val="20"/>
                <w:szCs w:val="20"/>
                <w:lang w:eastAsia="sl-SI"/>
              </w:rPr>
              <w:t xml:space="preserve"> odbor</w:t>
            </w:r>
            <w:r w:rsidR="00BF1841">
              <w:rPr>
                <w:rFonts w:ascii="Arial" w:eastAsia="Calibri" w:hAnsi="Arial" w:cs="Arial"/>
                <w:sz w:val="20"/>
                <w:szCs w:val="20"/>
                <w:lang w:eastAsia="sl-SI"/>
              </w:rPr>
              <w:t>u</w:t>
            </w:r>
            <w:r w:rsidRPr="003134F7">
              <w:rPr>
                <w:rFonts w:ascii="Arial" w:eastAsia="Calibri" w:hAnsi="Arial" w:cs="Arial"/>
                <w:sz w:val="20"/>
                <w:szCs w:val="20"/>
                <w:lang w:eastAsia="sl-SI"/>
              </w:rPr>
              <w:t xml:space="preserve"> za finance in gospodarstvo za obravnavo novele Zakona o dohodnini, novele Zakona o trošarinah, novele Zakona o davčnem postopku in novele Zakona o finančni upravi</w:t>
            </w:r>
            <w:r>
              <w:rPr>
                <w:rFonts w:ascii="Arial" w:eastAsia="Calibri" w:hAnsi="Arial" w:cs="Arial"/>
                <w:sz w:val="20"/>
                <w:szCs w:val="20"/>
                <w:lang w:eastAsia="sl-SI"/>
              </w:rPr>
              <w:t xml:space="preserve"> pri Ekonomsko-socialnem svetu, 26.</w:t>
            </w:r>
            <w:r w:rsidR="00BB7A41">
              <w:rPr>
                <w:rFonts w:ascii="Arial" w:eastAsia="Calibri" w:hAnsi="Arial" w:cs="Arial"/>
                <w:sz w:val="20"/>
                <w:szCs w:val="20"/>
                <w:lang w:eastAsia="sl-SI"/>
              </w:rPr>
              <w:t> </w:t>
            </w:r>
            <w:r>
              <w:rPr>
                <w:rFonts w:ascii="Arial" w:eastAsia="Calibri" w:hAnsi="Arial" w:cs="Arial"/>
                <w:sz w:val="20"/>
                <w:szCs w:val="20"/>
                <w:lang w:eastAsia="sl-SI"/>
              </w:rPr>
              <w:t xml:space="preserve">avgusta 2022 pa tudi na </w:t>
            </w:r>
            <w:r w:rsidRPr="003134F7">
              <w:rPr>
                <w:rFonts w:ascii="Arial" w:eastAsia="Calibri" w:hAnsi="Arial" w:cs="Arial"/>
                <w:sz w:val="20"/>
                <w:szCs w:val="20"/>
                <w:lang w:eastAsia="sl-SI"/>
              </w:rPr>
              <w:t>Ekonomsko-socialnem svetu</w:t>
            </w:r>
            <w:r>
              <w:rPr>
                <w:rFonts w:ascii="Arial" w:eastAsia="Calibri" w:hAnsi="Arial" w:cs="Arial"/>
                <w:sz w:val="20"/>
                <w:szCs w:val="20"/>
                <w:lang w:eastAsia="sl-SI"/>
              </w:rPr>
              <w:t>.</w:t>
            </w:r>
          </w:p>
          <w:p w14:paraId="163B3DF3" w14:textId="77777777" w:rsidR="004513FD" w:rsidRPr="004513FD" w:rsidRDefault="004513FD" w:rsidP="004513FD">
            <w:pPr>
              <w:suppressAutoHyphens/>
              <w:overflowPunct w:val="0"/>
              <w:autoSpaceDE w:val="0"/>
              <w:autoSpaceDN w:val="0"/>
              <w:adjustRightInd w:val="0"/>
              <w:spacing w:after="0" w:line="276" w:lineRule="auto"/>
              <w:textAlignment w:val="baseline"/>
              <w:outlineLvl w:val="3"/>
              <w:rPr>
                <w:rFonts w:ascii="Arial" w:eastAsia="Times New Roman" w:hAnsi="Arial" w:cs="Times New Roman"/>
                <w:sz w:val="20"/>
                <w:lang w:eastAsia="sl-SI"/>
              </w:rPr>
            </w:pPr>
          </w:p>
          <w:p w14:paraId="79C442A1" w14:textId="77777777" w:rsidR="004513FD" w:rsidRPr="004513FD" w:rsidRDefault="004513FD" w:rsidP="004513FD">
            <w:pPr>
              <w:suppressAutoHyphens/>
              <w:overflowPunct w:val="0"/>
              <w:autoSpaceDE w:val="0"/>
              <w:autoSpaceDN w:val="0"/>
              <w:adjustRightInd w:val="0"/>
              <w:spacing w:after="0" w:line="276" w:lineRule="auto"/>
              <w:jc w:val="both"/>
              <w:textAlignment w:val="baseline"/>
              <w:outlineLvl w:val="3"/>
              <w:rPr>
                <w:rFonts w:ascii="Arial" w:eastAsia="Times New Roman" w:hAnsi="Arial" w:cs="Arial"/>
                <w:b/>
                <w:sz w:val="20"/>
                <w:szCs w:val="20"/>
                <w:lang w:eastAsia="sl-SI"/>
              </w:rPr>
            </w:pPr>
            <w:r w:rsidRPr="004513FD">
              <w:rPr>
                <w:rFonts w:ascii="Arial" w:eastAsia="Times New Roman" w:hAnsi="Arial" w:cs="Arial"/>
                <w:b/>
                <w:sz w:val="20"/>
                <w:szCs w:val="20"/>
                <w:lang w:eastAsia="sl-SI"/>
              </w:rPr>
              <w:t>8. Navedba, kateri predstavniki predlagatelja bodo sodelovali pri delu državnega zbora in delovnih teles</w:t>
            </w:r>
          </w:p>
          <w:p w14:paraId="233F0EA8" w14:textId="77777777" w:rsidR="009B39FB" w:rsidRPr="009B39FB" w:rsidRDefault="009B39FB" w:rsidP="00076F4A">
            <w:pPr>
              <w:numPr>
                <w:ilvl w:val="0"/>
                <w:numId w:val="20"/>
              </w:numPr>
              <w:overflowPunct w:val="0"/>
              <w:autoSpaceDE w:val="0"/>
              <w:autoSpaceDN w:val="0"/>
              <w:adjustRightInd w:val="0"/>
              <w:spacing w:after="0" w:line="276" w:lineRule="auto"/>
              <w:contextualSpacing/>
              <w:jc w:val="both"/>
              <w:textAlignment w:val="baseline"/>
              <w:rPr>
                <w:rFonts w:ascii="Arial" w:eastAsia="Times New Roman" w:hAnsi="Arial" w:cs="Arial"/>
                <w:color w:val="000000"/>
                <w:sz w:val="20"/>
                <w:szCs w:val="20"/>
                <w:lang w:eastAsia="sl-SI"/>
              </w:rPr>
            </w:pPr>
            <w:r w:rsidRPr="009B39FB">
              <w:rPr>
                <w:rFonts w:ascii="Arial" w:eastAsia="Times New Roman" w:hAnsi="Arial" w:cs="Arial"/>
                <w:color w:val="000000"/>
                <w:sz w:val="20"/>
                <w:szCs w:val="20"/>
                <w:lang w:eastAsia="sl-SI"/>
              </w:rPr>
              <w:t>Klemen Boštjančič, minister, Ministrstvo za finance,</w:t>
            </w:r>
          </w:p>
          <w:p w14:paraId="452215FA" w14:textId="77777777" w:rsidR="009B39FB" w:rsidRPr="009B39FB" w:rsidRDefault="009B39FB" w:rsidP="00076F4A">
            <w:pPr>
              <w:numPr>
                <w:ilvl w:val="0"/>
                <w:numId w:val="20"/>
              </w:numPr>
              <w:overflowPunct w:val="0"/>
              <w:autoSpaceDE w:val="0"/>
              <w:autoSpaceDN w:val="0"/>
              <w:adjustRightInd w:val="0"/>
              <w:spacing w:after="0" w:line="276" w:lineRule="auto"/>
              <w:contextualSpacing/>
              <w:jc w:val="both"/>
              <w:textAlignment w:val="baseline"/>
              <w:rPr>
                <w:rFonts w:ascii="Arial" w:eastAsia="Times New Roman" w:hAnsi="Arial" w:cs="Arial"/>
                <w:color w:val="000000"/>
                <w:sz w:val="20"/>
                <w:szCs w:val="20"/>
                <w:lang w:eastAsia="sl-SI"/>
              </w:rPr>
            </w:pPr>
            <w:r w:rsidRPr="009B39FB">
              <w:rPr>
                <w:rFonts w:ascii="Arial" w:eastAsia="Times New Roman" w:hAnsi="Arial" w:cs="Arial"/>
                <w:color w:val="000000"/>
                <w:sz w:val="20"/>
                <w:szCs w:val="20"/>
                <w:lang w:eastAsia="sl-SI"/>
              </w:rPr>
              <w:t>mag. Saša Jazbec, državna sekretarka, Ministrstvo za finance,</w:t>
            </w:r>
          </w:p>
          <w:p w14:paraId="47B1F495" w14:textId="77777777" w:rsidR="009B39FB" w:rsidRPr="009B39FB" w:rsidRDefault="009B39FB" w:rsidP="00076F4A">
            <w:pPr>
              <w:numPr>
                <w:ilvl w:val="0"/>
                <w:numId w:val="20"/>
              </w:numPr>
              <w:overflowPunct w:val="0"/>
              <w:autoSpaceDE w:val="0"/>
              <w:autoSpaceDN w:val="0"/>
              <w:adjustRightInd w:val="0"/>
              <w:spacing w:after="0" w:line="276" w:lineRule="auto"/>
              <w:contextualSpacing/>
              <w:jc w:val="both"/>
              <w:textAlignment w:val="baseline"/>
              <w:rPr>
                <w:rFonts w:ascii="Arial" w:eastAsia="Times New Roman" w:hAnsi="Arial" w:cs="Arial"/>
                <w:color w:val="000000"/>
                <w:sz w:val="20"/>
                <w:szCs w:val="20"/>
                <w:lang w:eastAsia="sl-SI"/>
              </w:rPr>
            </w:pPr>
            <w:r w:rsidRPr="009B39FB">
              <w:rPr>
                <w:rFonts w:ascii="Arial" w:eastAsia="Times New Roman" w:hAnsi="Arial" w:cs="Arial"/>
                <w:color w:val="000000"/>
                <w:sz w:val="20"/>
                <w:szCs w:val="20"/>
                <w:lang w:eastAsia="sl-SI"/>
              </w:rPr>
              <w:t>Tilen Božič, državni sekretar, Ministrstvo za finance,</w:t>
            </w:r>
          </w:p>
          <w:p w14:paraId="1100CD07" w14:textId="56E59084" w:rsidR="009B39FB" w:rsidRPr="009B39FB" w:rsidRDefault="009B39FB" w:rsidP="00076F4A">
            <w:pPr>
              <w:numPr>
                <w:ilvl w:val="0"/>
                <w:numId w:val="20"/>
              </w:numPr>
              <w:overflowPunct w:val="0"/>
              <w:autoSpaceDE w:val="0"/>
              <w:autoSpaceDN w:val="0"/>
              <w:adjustRightInd w:val="0"/>
              <w:spacing w:after="0" w:line="276" w:lineRule="auto"/>
              <w:contextualSpacing/>
              <w:jc w:val="both"/>
              <w:textAlignment w:val="baseline"/>
              <w:rPr>
                <w:rFonts w:ascii="Arial" w:eastAsia="Times New Roman" w:hAnsi="Arial" w:cs="Arial"/>
                <w:color w:val="000000"/>
                <w:sz w:val="20"/>
                <w:szCs w:val="20"/>
                <w:lang w:eastAsia="sl-SI"/>
              </w:rPr>
            </w:pPr>
            <w:r w:rsidRPr="009B39FB">
              <w:rPr>
                <w:rFonts w:ascii="Arial" w:eastAsia="Times New Roman" w:hAnsi="Arial" w:cs="Arial"/>
                <w:color w:val="000000"/>
                <w:sz w:val="20"/>
                <w:szCs w:val="20"/>
                <w:lang w:eastAsia="sl-SI"/>
              </w:rPr>
              <w:t>mag. Tina Humar, generalna direktorica Direktorata za sistem davčnih, carinskih in drugih javnih prihodkov, Ministrstvo za finance,</w:t>
            </w:r>
          </w:p>
          <w:p w14:paraId="66C6314D" w14:textId="3FE5E92D" w:rsidR="009B39FB" w:rsidRPr="009B39FB" w:rsidRDefault="009B39FB" w:rsidP="00076F4A">
            <w:pPr>
              <w:numPr>
                <w:ilvl w:val="0"/>
                <w:numId w:val="20"/>
              </w:numPr>
              <w:overflowPunct w:val="0"/>
              <w:autoSpaceDE w:val="0"/>
              <w:autoSpaceDN w:val="0"/>
              <w:adjustRightInd w:val="0"/>
              <w:spacing w:after="0" w:line="276" w:lineRule="auto"/>
              <w:contextualSpacing/>
              <w:jc w:val="both"/>
              <w:textAlignment w:val="baseline"/>
              <w:rPr>
                <w:rFonts w:ascii="Arial" w:eastAsia="Times New Roman" w:hAnsi="Arial" w:cs="Arial"/>
                <w:color w:val="000000"/>
                <w:sz w:val="20"/>
                <w:szCs w:val="20"/>
                <w:lang w:eastAsia="sl-SI"/>
              </w:rPr>
            </w:pPr>
            <w:r w:rsidRPr="009B39FB">
              <w:rPr>
                <w:rFonts w:ascii="Arial" w:eastAsia="Times New Roman" w:hAnsi="Arial" w:cs="Arial"/>
                <w:color w:val="000000"/>
                <w:sz w:val="20"/>
                <w:szCs w:val="20"/>
                <w:lang w:eastAsia="sl-SI"/>
              </w:rPr>
              <w:t>mag. Petra Istenič, vodja Sektorja za sistem obdavčitve dohodkov in premoženja, Ministrstvo za finance,</w:t>
            </w:r>
          </w:p>
          <w:p w14:paraId="37CF8BEC" w14:textId="1F58403E" w:rsidR="004513FD" w:rsidRPr="004513FD" w:rsidRDefault="009B39FB" w:rsidP="00076F4A">
            <w:pPr>
              <w:numPr>
                <w:ilvl w:val="0"/>
                <w:numId w:val="20"/>
              </w:num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sz w:val="20"/>
                <w:szCs w:val="20"/>
                <w:lang w:eastAsia="sl-SI"/>
              </w:rPr>
            </w:pPr>
            <w:r w:rsidRPr="009B39FB">
              <w:rPr>
                <w:rFonts w:ascii="Arial" w:eastAsia="Times New Roman" w:hAnsi="Arial" w:cs="Arial"/>
                <w:color w:val="000000"/>
                <w:sz w:val="20"/>
                <w:szCs w:val="20"/>
                <w:lang w:eastAsia="sl-SI"/>
              </w:rPr>
              <w:t>Meta Šinkovec, vodja Sektorja za analize in koordinacijo davčne politike</w:t>
            </w:r>
            <w:r w:rsidR="00DC26D8">
              <w:rPr>
                <w:rFonts w:ascii="Arial" w:eastAsia="Times New Roman" w:hAnsi="Arial" w:cs="Arial"/>
                <w:color w:val="000000"/>
                <w:sz w:val="20"/>
                <w:szCs w:val="20"/>
                <w:lang w:eastAsia="sl-SI"/>
              </w:rPr>
              <w:t>, Ministrstvo za finance</w:t>
            </w:r>
            <w:r w:rsidRPr="009B39FB">
              <w:rPr>
                <w:rFonts w:ascii="Arial" w:eastAsia="Times New Roman" w:hAnsi="Arial" w:cs="Arial"/>
                <w:color w:val="000000"/>
                <w:sz w:val="20"/>
                <w:szCs w:val="20"/>
                <w:lang w:eastAsia="sl-SI"/>
              </w:rPr>
              <w:t>.</w:t>
            </w:r>
          </w:p>
        </w:tc>
      </w:tr>
    </w:tbl>
    <w:p w14:paraId="14244C18" w14:textId="259A36E3" w:rsidR="004513FD" w:rsidRDefault="004513FD"/>
    <w:p w14:paraId="28385A4A" w14:textId="77777777" w:rsidR="004513FD" w:rsidRDefault="004513FD">
      <w:r>
        <w:br w:type="page"/>
      </w:r>
    </w:p>
    <w:tbl>
      <w:tblPr>
        <w:tblW w:w="0" w:type="auto"/>
        <w:tblLook w:val="04A0" w:firstRow="1" w:lastRow="0" w:firstColumn="1" w:lastColumn="0" w:noHBand="0" w:noVBand="1"/>
      </w:tblPr>
      <w:tblGrid>
        <w:gridCol w:w="9072"/>
      </w:tblGrid>
      <w:tr w:rsidR="004513FD" w:rsidRPr="00D942E3" w14:paraId="49E61210" w14:textId="77777777" w:rsidTr="13B2E1A2">
        <w:trPr>
          <w:trHeight w:val="2135"/>
        </w:trPr>
        <w:tc>
          <w:tcPr>
            <w:tcW w:w="9070" w:type="dxa"/>
          </w:tcPr>
          <w:p w14:paraId="33AC7349" w14:textId="40C0D8C2" w:rsidR="004513FD" w:rsidRPr="00F120D9" w:rsidRDefault="004513FD" w:rsidP="00F120D9">
            <w:pPr>
              <w:spacing w:after="0"/>
              <w:rPr>
                <w:rFonts w:ascii="Arial" w:hAnsi="Arial" w:cs="Arial"/>
                <w:b/>
                <w:bCs/>
                <w:sz w:val="20"/>
                <w:szCs w:val="20"/>
              </w:rPr>
            </w:pPr>
            <w:bookmarkStart w:id="3" w:name="_Hlk69380754"/>
            <w:r>
              <w:lastRenderedPageBreak/>
              <w:br w:type="page"/>
            </w:r>
            <w:r w:rsidRPr="001D4E2D">
              <w:rPr>
                <w:rFonts w:ascii="Arial" w:hAnsi="Arial" w:cs="Arial"/>
                <w:b/>
                <w:bCs/>
                <w:sz w:val="20"/>
                <w:szCs w:val="20"/>
              </w:rPr>
              <w:t>I</w:t>
            </w:r>
            <w:r w:rsidR="007B565A" w:rsidRPr="00BA5E7B">
              <w:rPr>
                <w:rFonts w:ascii="Arial" w:hAnsi="Arial" w:cs="Arial"/>
                <w:b/>
                <w:bCs/>
                <w:sz w:val="20"/>
                <w:szCs w:val="20"/>
              </w:rPr>
              <w:t>I</w:t>
            </w:r>
            <w:r w:rsidRPr="00C93536">
              <w:rPr>
                <w:rFonts w:ascii="Arial" w:hAnsi="Arial" w:cs="Arial"/>
                <w:b/>
                <w:bCs/>
                <w:sz w:val="20"/>
                <w:szCs w:val="20"/>
              </w:rPr>
              <w:t>. BESEDILO ČLENOV</w:t>
            </w:r>
          </w:p>
          <w:p w14:paraId="3161F5D3" w14:textId="77777777" w:rsidR="00A06DBB" w:rsidRDefault="00A06DBB" w:rsidP="00680A87">
            <w:pPr>
              <w:spacing w:after="0" w:line="276" w:lineRule="auto"/>
              <w:jc w:val="both"/>
              <w:rPr>
                <w:rFonts w:ascii="Arial" w:hAnsi="Arial" w:cs="Arial"/>
                <w:sz w:val="20"/>
                <w:szCs w:val="20"/>
              </w:rPr>
            </w:pPr>
          </w:p>
          <w:p w14:paraId="58239E82" w14:textId="722F394A" w:rsidR="00B92BBC" w:rsidRDefault="00B92BBC"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t>člen</w:t>
            </w:r>
          </w:p>
          <w:p w14:paraId="533AE2A3" w14:textId="77777777" w:rsidR="00A06DBB" w:rsidRDefault="00A06DBB" w:rsidP="00680A87">
            <w:pPr>
              <w:spacing w:after="0" w:line="276" w:lineRule="auto"/>
              <w:jc w:val="both"/>
              <w:rPr>
                <w:rFonts w:ascii="Arial" w:hAnsi="Arial" w:cs="Arial"/>
                <w:sz w:val="20"/>
                <w:szCs w:val="20"/>
              </w:rPr>
            </w:pPr>
          </w:p>
          <w:p w14:paraId="2EDAF15D" w14:textId="3395DED8" w:rsidR="00336E2D" w:rsidRDefault="00107E93" w:rsidP="00336E2D">
            <w:pPr>
              <w:spacing w:after="0" w:line="276" w:lineRule="auto"/>
              <w:jc w:val="both"/>
              <w:rPr>
                <w:rFonts w:ascii="Arial" w:hAnsi="Arial" w:cs="Arial"/>
                <w:sz w:val="20"/>
                <w:szCs w:val="20"/>
              </w:rPr>
            </w:pPr>
            <w:r w:rsidRPr="00107E93">
              <w:rPr>
                <w:rFonts w:ascii="Arial" w:hAnsi="Arial" w:cs="Arial"/>
                <w:sz w:val="20"/>
                <w:szCs w:val="20"/>
              </w:rPr>
              <w:t>V Zakonu o dohodnini (Uradni list RS, št.</w:t>
            </w:r>
            <w:r w:rsidR="00BB7A41">
              <w:rPr>
                <w:rFonts w:ascii="Arial" w:hAnsi="Arial" w:cs="Arial"/>
                <w:sz w:val="20"/>
                <w:szCs w:val="20"/>
              </w:rPr>
              <w:t> </w:t>
            </w:r>
            <w:r w:rsidRPr="00107E93">
              <w:rPr>
                <w:rFonts w:ascii="Arial" w:hAnsi="Arial" w:cs="Arial"/>
                <w:sz w:val="20"/>
                <w:szCs w:val="20"/>
              </w:rPr>
              <w:t xml:space="preserve">13/11 – uradno prečiščeno besedilo, 9/11 – ZUKD-1, 9/12 – </w:t>
            </w:r>
            <w:proofErr w:type="spellStart"/>
            <w:r w:rsidRPr="00107E93">
              <w:rPr>
                <w:rFonts w:ascii="Arial" w:hAnsi="Arial" w:cs="Arial"/>
                <w:sz w:val="20"/>
                <w:szCs w:val="20"/>
              </w:rPr>
              <w:t>odl</w:t>
            </w:r>
            <w:proofErr w:type="spellEnd"/>
            <w:r w:rsidRPr="00107E93">
              <w:rPr>
                <w:rFonts w:ascii="Arial" w:hAnsi="Arial" w:cs="Arial"/>
                <w:sz w:val="20"/>
                <w:szCs w:val="20"/>
              </w:rPr>
              <w:t xml:space="preserve">. US, 24/12, 30/12, 40/12 – ZUJF, 75/12, 94/12, 96/13, 29/14 – </w:t>
            </w:r>
            <w:proofErr w:type="spellStart"/>
            <w:r w:rsidRPr="00107E93">
              <w:rPr>
                <w:rFonts w:ascii="Arial" w:hAnsi="Arial" w:cs="Arial"/>
                <w:sz w:val="20"/>
                <w:szCs w:val="20"/>
              </w:rPr>
              <w:t>odl</w:t>
            </w:r>
            <w:proofErr w:type="spellEnd"/>
            <w:r w:rsidRPr="00107E93">
              <w:rPr>
                <w:rFonts w:ascii="Arial" w:hAnsi="Arial" w:cs="Arial"/>
                <w:sz w:val="20"/>
                <w:szCs w:val="20"/>
              </w:rPr>
              <w:t xml:space="preserve">. US, 50/14, 23/15, 55/15, 63/16, 69/17, 21/19, 28/19, 66/19 in 39/22) </w:t>
            </w:r>
            <w:r>
              <w:rPr>
                <w:rFonts w:ascii="Arial" w:hAnsi="Arial" w:cs="Arial"/>
                <w:sz w:val="20"/>
                <w:szCs w:val="20"/>
              </w:rPr>
              <w:t>se v</w:t>
            </w:r>
            <w:r w:rsidR="00B531DF" w:rsidRPr="00B531DF">
              <w:rPr>
                <w:rFonts w:ascii="Arial" w:hAnsi="Arial" w:cs="Arial"/>
                <w:sz w:val="20"/>
                <w:szCs w:val="20"/>
              </w:rPr>
              <w:t xml:space="preserve"> 26.</w:t>
            </w:r>
            <w:r w:rsidR="00BB7A41">
              <w:rPr>
                <w:rFonts w:ascii="Arial" w:hAnsi="Arial" w:cs="Arial"/>
                <w:sz w:val="20"/>
                <w:szCs w:val="20"/>
              </w:rPr>
              <w:t> </w:t>
            </w:r>
            <w:r w:rsidR="00B531DF" w:rsidRPr="00B531DF">
              <w:rPr>
                <w:rFonts w:ascii="Arial" w:hAnsi="Arial" w:cs="Arial"/>
                <w:sz w:val="20"/>
                <w:szCs w:val="20"/>
              </w:rPr>
              <w:t xml:space="preserve">členu </w:t>
            </w:r>
            <w:r w:rsidR="00336E2D" w:rsidRPr="00336E2D">
              <w:rPr>
                <w:rFonts w:ascii="Arial" w:hAnsi="Arial" w:cs="Arial"/>
                <w:sz w:val="20"/>
                <w:szCs w:val="20"/>
              </w:rPr>
              <w:t>2. točka spremeni tako, da se glasi:</w:t>
            </w:r>
          </w:p>
          <w:p w14:paraId="2DCF04EB" w14:textId="77777777" w:rsidR="00336E2D" w:rsidRPr="00336E2D" w:rsidRDefault="00336E2D" w:rsidP="00336E2D">
            <w:pPr>
              <w:spacing w:after="0" w:line="276" w:lineRule="auto"/>
              <w:jc w:val="both"/>
              <w:rPr>
                <w:rFonts w:ascii="Arial" w:hAnsi="Arial" w:cs="Arial"/>
                <w:sz w:val="20"/>
                <w:szCs w:val="20"/>
              </w:rPr>
            </w:pPr>
          </w:p>
          <w:p w14:paraId="206A531B" w14:textId="77777777" w:rsidR="00336E2D" w:rsidRPr="00336E2D" w:rsidRDefault="00336E2D" w:rsidP="00336E2D">
            <w:pPr>
              <w:spacing w:after="0" w:line="276" w:lineRule="auto"/>
              <w:jc w:val="both"/>
              <w:rPr>
                <w:rFonts w:ascii="Arial" w:hAnsi="Arial" w:cs="Arial"/>
                <w:sz w:val="20"/>
                <w:szCs w:val="20"/>
              </w:rPr>
            </w:pPr>
            <w:r w:rsidRPr="00336E2D">
              <w:rPr>
                <w:rFonts w:ascii="Arial" w:hAnsi="Arial" w:cs="Arial"/>
                <w:sz w:val="20"/>
                <w:szCs w:val="20"/>
              </w:rPr>
              <w:t xml:space="preserve">»2. </w:t>
            </w:r>
            <w:r w:rsidRPr="00336E2D">
              <w:rPr>
                <w:rFonts w:ascii="Arial" w:hAnsi="Arial" w:cs="Arial"/>
                <w:sz w:val="20"/>
                <w:szCs w:val="20"/>
                <w:lang w:val="x-none"/>
              </w:rPr>
              <w:t>dohodke, ki so izplačani za ukrepe kmetijske politike, vezane na izvajanje tehnologij, ki presegajo obvezne standarde, določene za posamezne ukrepe kmetijske politike s predpisi Evropske unije, in sicer:</w:t>
            </w:r>
          </w:p>
          <w:p w14:paraId="2A02FB61" w14:textId="77777777" w:rsidR="00336E2D" w:rsidRPr="00336E2D" w:rsidRDefault="00336E2D" w:rsidP="00336E2D">
            <w:pPr>
              <w:numPr>
                <w:ilvl w:val="0"/>
                <w:numId w:val="36"/>
              </w:numPr>
              <w:spacing w:after="0" w:line="276" w:lineRule="auto"/>
              <w:jc w:val="both"/>
              <w:rPr>
                <w:rFonts w:ascii="Arial" w:hAnsi="Arial" w:cs="Arial"/>
                <w:sz w:val="20"/>
                <w:szCs w:val="20"/>
              </w:rPr>
            </w:pPr>
            <w:r w:rsidRPr="00336E2D">
              <w:rPr>
                <w:rFonts w:ascii="Arial" w:hAnsi="Arial" w:cs="Arial"/>
                <w:sz w:val="20"/>
                <w:szCs w:val="20"/>
              </w:rPr>
              <w:t>plačila iz sheme za podnebje, okolje in dobrobit živali, kot jih določa 31. člen Uredbe (EU) št.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435/1, 6. december 2021; v nadaljnjem besedilu: Uredba (EU) št. 2021/2115),</w:t>
            </w:r>
          </w:p>
          <w:p w14:paraId="4F727BC9" w14:textId="77777777" w:rsidR="00336E2D" w:rsidRPr="00336E2D" w:rsidRDefault="00336E2D" w:rsidP="00336E2D">
            <w:pPr>
              <w:numPr>
                <w:ilvl w:val="0"/>
                <w:numId w:val="36"/>
              </w:numPr>
              <w:spacing w:after="0" w:line="276" w:lineRule="auto"/>
              <w:jc w:val="both"/>
              <w:rPr>
                <w:rFonts w:ascii="Arial" w:hAnsi="Arial" w:cs="Arial"/>
                <w:sz w:val="20"/>
                <w:szCs w:val="20"/>
              </w:rPr>
            </w:pPr>
            <w:r w:rsidRPr="00336E2D">
              <w:rPr>
                <w:rFonts w:ascii="Arial" w:hAnsi="Arial" w:cs="Arial"/>
                <w:sz w:val="20"/>
                <w:szCs w:val="20"/>
              </w:rPr>
              <w:t xml:space="preserve">plačila za izpolnjevanje </w:t>
            </w:r>
            <w:proofErr w:type="spellStart"/>
            <w:r w:rsidRPr="00336E2D">
              <w:rPr>
                <w:rFonts w:ascii="Arial" w:hAnsi="Arial" w:cs="Arial"/>
                <w:sz w:val="20"/>
                <w:szCs w:val="20"/>
              </w:rPr>
              <w:t>okoljskih</w:t>
            </w:r>
            <w:proofErr w:type="spellEnd"/>
            <w:r w:rsidRPr="00336E2D">
              <w:rPr>
                <w:rFonts w:ascii="Arial" w:hAnsi="Arial" w:cs="Arial"/>
                <w:sz w:val="20"/>
                <w:szCs w:val="20"/>
              </w:rPr>
              <w:t>, podnebnih in drugih upravljavskih obveznosti, kot jih določa 70. člen Uredbe (EU) št. 2021/2115,</w:t>
            </w:r>
          </w:p>
          <w:p w14:paraId="7603B169" w14:textId="03D9FC77" w:rsidR="00336E2D" w:rsidRPr="00336E2D" w:rsidRDefault="00336E2D" w:rsidP="00336E2D">
            <w:pPr>
              <w:numPr>
                <w:ilvl w:val="0"/>
                <w:numId w:val="36"/>
              </w:numPr>
              <w:spacing w:after="0" w:line="276" w:lineRule="auto"/>
              <w:jc w:val="both"/>
              <w:rPr>
                <w:rFonts w:ascii="Arial" w:hAnsi="Arial" w:cs="Arial"/>
                <w:sz w:val="20"/>
                <w:szCs w:val="20"/>
              </w:rPr>
            </w:pPr>
            <w:r w:rsidRPr="00336E2D">
              <w:rPr>
                <w:rFonts w:ascii="Arial" w:hAnsi="Arial" w:cs="Arial"/>
                <w:sz w:val="20"/>
                <w:szCs w:val="20"/>
              </w:rPr>
              <w:t>plačila za naravne in druge omejitve, značilne za posamezno območje, kot jih določa 71. člen Uredbe (EU) št. 2021/2115, v višini 50 % plačila</w:t>
            </w:r>
            <w:r>
              <w:rPr>
                <w:rFonts w:ascii="Arial" w:hAnsi="Arial" w:cs="Arial"/>
                <w:sz w:val="20"/>
                <w:szCs w:val="20"/>
              </w:rPr>
              <w:t>,</w:t>
            </w:r>
          </w:p>
          <w:p w14:paraId="06B9F425" w14:textId="3692D0A9" w:rsidR="00336E2D" w:rsidRPr="00336E2D" w:rsidRDefault="00336E2D" w:rsidP="00336E2D">
            <w:pPr>
              <w:numPr>
                <w:ilvl w:val="0"/>
                <w:numId w:val="36"/>
              </w:numPr>
              <w:spacing w:after="0" w:line="276" w:lineRule="auto"/>
              <w:jc w:val="both"/>
              <w:rPr>
                <w:rFonts w:ascii="Arial" w:hAnsi="Arial" w:cs="Arial"/>
                <w:sz w:val="20"/>
                <w:szCs w:val="20"/>
              </w:rPr>
            </w:pPr>
            <w:r w:rsidRPr="00336E2D">
              <w:rPr>
                <w:rFonts w:ascii="Arial" w:hAnsi="Arial" w:cs="Arial"/>
                <w:sz w:val="20"/>
                <w:szCs w:val="20"/>
              </w:rPr>
              <w:t>plačila za slabosti, značilne za posamezno območje, ki izhajajo iz nekaterih obveznih zahtev, kot jih določa 72. člen Uredbe (EU) št. 2021/2115</w:t>
            </w:r>
            <w:r w:rsidR="0056438C">
              <w:rPr>
                <w:rFonts w:ascii="Arial" w:hAnsi="Arial" w:cs="Arial"/>
                <w:sz w:val="20"/>
                <w:szCs w:val="20"/>
              </w:rPr>
              <w:t>;</w:t>
            </w:r>
            <w:r w:rsidRPr="00336E2D">
              <w:rPr>
                <w:rFonts w:ascii="Arial" w:hAnsi="Arial" w:cs="Arial"/>
                <w:sz w:val="20"/>
                <w:szCs w:val="20"/>
              </w:rPr>
              <w:t>«.</w:t>
            </w:r>
          </w:p>
          <w:p w14:paraId="26D7F19B" w14:textId="77777777" w:rsidR="00336E2D" w:rsidRPr="00336E2D" w:rsidRDefault="00336E2D" w:rsidP="00336E2D">
            <w:pPr>
              <w:spacing w:after="0" w:line="276" w:lineRule="auto"/>
              <w:jc w:val="both"/>
              <w:rPr>
                <w:rFonts w:ascii="Arial" w:hAnsi="Arial" w:cs="Arial"/>
                <w:sz w:val="20"/>
                <w:szCs w:val="20"/>
              </w:rPr>
            </w:pPr>
          </w:p>
          <w:p w14:paraId="455C89B2" w14:textId="77777777" w:rsidR="00336E2D" w:rsidRPr="00336E2D" w:rsidRDefault="00336E2D" w:rsidP="00336E2D">
            <w:pPr>
              <w:spacing w:after="0" w:line="276" w:lineRule="auto"/>
              <w:jc w:val="both"/>
              <w:rPr>
                <w:rFonts w:ascii="Arial" w:hAnsi="Arial" w:cs="Arial"/>
                <w:sz w:val="20"/>
                <w:szCs w:val="20"/>
              </w:rPr>
            </w:pPr>
            <w:r w:rsidRPr="00336E2D">
              <w:rPr>
                <w:rFonts w:ascii="Arial" w:hAnsi="Arial" w:cs="Arial"/>
                <w:sz w:val="20"/>
                <w:szCs w:val="20"/>
              </w:rPr>
              <w:t>V 3. točki se podpičje nadomesti z vejico in doda besedilo, ki se glasi:</w:t>
            </w:r>
          </w:p>
          <w:p w14:paraId="0A1B48F6" w14:textId="32B54A0F" w:rsidR="00336E2D" w:rsidRDefault="00336E2D" w:rsidP="00336E2D">
            <w:pPr>
              <w:spacing w:after="0" w:line="276" w:lineRule="auto"/>
              <w:jc w:val="both"/>
              <w:rPr>
                <w:rFonts w:ascii="Arial" w:hAnsi="Arial" w:cs="Arial"/>
                <w:sz w:val="20"/>
                <w:szCs w:val="20"/>
              </w:rPr>
            </w:pPr>
            <w:r w:rsidRPr="00336E2D">
              <w:rPr>
                <w:rFonts w:ascii="Arial" w:hAnsi="Arial" w:cs="Arial"/>
                <w:sz w:val="20"/>
                <w:szCs w:val="20"/>
              </w:rPr>
              <w:t xml:space="preserve"> »ki vključujejo plačila, kot jih določa 73. člen Uredbe (EU) št. 2021/2115 ter plačila, kot jih določa 75. člen Uredbe (EU) št. 2021/2115, v delu, ki se izkazano namenijo dolgoročnim vlaganjem, vključno s poplačili deležev drugim upravičencem v skladu s pogodbo ob prevzemu kmetije s strani mladega kmeta, s katerimi mladi kmet pridobi osnovna sredstva kmetije, ki so </w:t>
            </w:r>
            <w:r w:rsidR="008720B3">
              <w:rPr>
                <w:rFonts w:ascii="Arial" w:hAnsi="Arial" w:cs="Arial"/>
                <w:sz w:val="20"/>
                <w:szCs w:val="20"/>
              </w:rPr>
              <w:t xml:space="preserve">lahko </w:t>
            </w:r>
            <w:r w:rsidRPr="00336E2D">
              <w:rPr>
                <w:rFonts w:ascii="Arial" w:hAnsi="Arial" w:cs="Arial"/>
                <w:sz w:val="20"/>
                <w:szCs w:val="20"/>
              </w:rPr>
              <w:t>predmet podpore skladno s 73. členom Uredbe (EU) št. 2021/2115;«.</w:t>
            </w:r>
          </w:p>
          <w:p w14:paraId="74F028F3" w14:textId="77777777" w:rsidR="00336E2D" w:rsidRPr="00336E2D" w:rsidRDefault="00336E2D" w:rsidP="00336E2D">
            <w:pPr>
              <w:spacing w:after="0" w:line="276" w:lineRule="auto"/>
              <w:jc w:val="both"/>
              <w:rPr>
                <w:rFonts w:ascii="Arial" w:hAnsi="Arial" w:cs="Arial"/>
                <w:sz w:val="20"/>
                <w:szCs w:val="20"/>
              </w:rPr>
            </w:pPr>
          </w:p>
          <w:p w14:paraId="53CAA9EE" w14:textId="77777777" w:rsidR="00336E2D" w:rsidRPr="00336E2D" w:rsidRDefault="00336E2D" w:rsidP="00336E2D">
            <w:pPr>
              <w:spacing w:after="0" w:line="276" w:lineRule="auto"/>
              <w:jc w:val="both"/>
              <w:rPr>
                <w:rFonts w:ascii="Arial" w:hAnsi="Arial" w:cs="Arial"/>
                <w:sz w:val="20"/>
                <w:szCs w:val="20"/>
              </w:rPr>
            </w:pPr>
            <w:r w:rsidRPr="00336E2D">
              <w:rPr>
                <w:rFonts w:ascii="Arial" w:hAnsi="Arial" w:cs="Arial"/>
                <w:sz w:val="20"/>
                <w:szCs w:val="20"/>
              </w:rPr>
              <w:t>V 5. točki se podpičje nadomesti z vejico in doda besedilo, ki se glasi:</w:t>
            </w:r>
          </w:p>
          <w:p w14:paraId="20E601E1" w14:textId="77777777" w:rsidR="00336E2D" w:rsidRPr="00336E2D" w:rsidRDefault="00336E2D" w:rsidP="00336E2D">
            <w:pPr>
              <w:spacing w:after="0" w:line="276" w:lineRule="auto"/>
              <w:jc w:val="both"/>
              <w:rPr>
                <w:rFonts w:ascii="Arial" w:hAnsi="Arial" w:cs="Arial"/>
                <w:sz w:val="20"/>
                <w:szCs w:val="20"/>
              </w:rPr>
            </w:pPr>
            <w:r w:rsidRPr="00336E2D">
              <w:rPr>
                <w:rFonts w:ascii="Arial" w:hAnsi="Arial" w:cs="Arial"/>
                <w:sz w:val="20"/>
                <w:szCs w:val="20"/>
              </w:rPr>
              <w:t>»ter plačila za sofinanciranje zavarovalnih premij;«.</w:t>
            </w:r>
          </w:p>
          <w:p w14:paraId="2EA0B394" w14:textId="77777777" w:rsidR="00B531DF" w:rsidRDefault="00B531DF" w:rsidP="005C1F6F">
            <w:pPr>
              <w:spacing w:after="0" w:line="276" w:lineRule="auto"/>
              <w:jc w:val="both"/>
              <w:rPr>
                <w:rFonts w:ascii="Arial" w:hAnsi="Arial" w:cs="Arial"/>
                <w:sz w:val="20"/>
                <w:szCs w:val="20"/>
              </w:rPr>
            </w:pPr>
          </w:p>
          <w:p w14:paraId="45E29A98" w14:textId="1C64A77B" w:rsidR="00B531DF" w:rsidRPr="00037553" w:rsidRDefault="00B531DF" w:rsidP="00BF1841">
            <w:pPr>
              <w:pStyle w:val="Odstavekseznama"/>
              <w:numPr>
                <w:ilvl w:val="0"/>
                <w:numId w:val="21"/>
              </w:numPr>
              <w:spacing w:line="276" w:lineRule="auto"/>
              <w:contextualSpacing/>
              <w:jc w:val="center"/>
              <w:rPr>
                <w:rFonts w:ascii="Arial" w:hAnsi="Arial" w:cs="Arial"/>
                <w:sz w:val="20"/>
                <w:szCs w:val="20"/>
              </w:rPr>
            </w:pPr>
            <w:r w:rsidRPr="00BF1841">
              <w:rPr>
                <w:rFonts w:ascii="Arial" w:hAnsi="Arial" w:cs="Arial"/>
                <w:sz w:val="20"/>
                <w:szCs w:val="20"/>
              </w:rPr>
              <w:t>člen</w:t>
            </w:r>
          </w:p>
          <w:p w14:paraId="7F17300E" w14:textId="77777777" w:rsidR="00B531DF" w:rsidRPr="00037553" w:rsidRDefault="00B531DF" w:rsidP="00137D9C">
            <w:pPr>
              <w:spacing w:after="0" w:line="276" w:lineRule="auto"/>
              <w:jc w:val="both"/>
              <w:rPr>
                <w:rFonts w:ascii="Arial" w:hAnsi="Arial" w:cs="Arial"/>
                <w:sz w:val="20"/>
                <w:szCs w:val="20"/>
              </w:rPr>
            </w:pPr>
          </w:p>
          <w:p w14:paraId="5575EDA3" w14:textId="54606317" w:rsidR="00BF1841" w:rsidRPr="00037553" w:rsidRDefault="00B531DF" w:rsidP="00037553">
            <w:pPr>
              <w:spacing w:after="0"/>
              <w:rPr>
                <w:rFonts w:ascii="Arial" w:hAnsi="Arial" w:cs="Arial"/>
                <w:sz w:val="20"/>
                <w:szCs w:val="20"/>
              </w:rPr>
            </w:pPr>
            <w:bookmarkStart w:id="4" w:name="_Hlk113527850"/>
            <w:r w:rsidRPr="00037553">
              <w:rPr>
                <w:rFonts w:ascii="Arial" w:hAnsi="Arial" w:cs="Arial"/>
                <w:sz w:val="20"/>
                <w:szCs w:val="20"/>
              </w:rPr>
              <w:t xml:space="preserve">V </w:t>
            </w:r>
            <w:r w:rsidR="00A06DBB" w:rsidRPr="00037553">
              <w:rPr>
                <w:rFonts w:ascii="Arial" w:hAnsi="Arial" w:cs="Arial"/>
                <w:sz w:val="20"/>
                <w:szCs w:val="20"/>
              </w:rPr>
              <w:t>44.</w:t>
            </w:r>
            <w:r w:rsidR="002447E3" w:rsidRPr="00037553">
              <w:rPr>
                <w:rFonts w:ascii="Arial" w:hAnsi="Arial" w:cs="Arial"/>
                <w:sz w:val="20"/>
                <w:szCs w:val="20"/>
              </w:rPr>
              <w:t> </w:t>
            </w:r>
            <w:r w:rsidR="00A06DBB" w:rsidRPr="00037553">
              <w:rPr>
                <w:rFonts w:ascii="Arial" w:hAnsi="Arial" w:cs="Arial"/>
                <w:sz w:val="20"/>
                <w:szCs w:val="20"/>
              </w:rPr>
              <w:t xml:space="preserve">členu </w:t>
            </w:r>
            <w:r w:rsidRPr="00037553">
              <w:rPr>
                <w:rFonts w:ascii="Arial" w:hAnsi="Arial" w:cs="Arial"/>
                <w:sz w:val="20"/>
                <w:szCs w:val="20"/>
              </w:rPr>
              <w:t xml:space="preserve">se </w:t>
            </w:r>
            <w:r w:rsidR="00A06DBB" w:rsidRPr="00037553">
              <w:rPr>
                <w:rFonts w:ascii="Arial" w:hAnsi="Arial" w:cs="Arial"/>
                <w:sz w:val="20"/>
                <w:szCs w:val="20"/>
              </w:rPr>
              <w:t>v prvem odstavku</w:t>
            </w:r>
            <w:r w:rsidR="00BF1841" w:rsidRPr="00037553">
              <w:rPr>
                <w:rFonts w:ascii="Arial" w:hAnsi="Arial" w:cs="Arial"/>
                <w:sz w:val="20"/>
                <w:szCs w:val="20"/>
              </w:rPr>
              <w:t xml:space="preserve"> </w:t>
            </w:r>
            <w:r w:rsidR="000B774D" w:rsidRPr="00037553">
              <w:rPr>
                <w:rFonts w:ascii="Arial" w:hAnsi="Arial" w:cs="Arial"/>
                <w:sz w:val="20"/>
                <w:szCs w:val="20"/>
              </w:rPr>
              <w:t>10.</w:t>
            </w:r>
            <w:r w:rsidR="00BB7A41" w:rsidRPr="00037553">
              <w:rPr>
                <w:rFonts w:ascii="Arial" w:hAnsi="Arial" w:cs="Arial"/>
                <w:sz w:val="20"/>
                <w:szCs w:val="20"/>
              </w:rPr>
              <w:t> </w:t>
            </w:r>
            <w:r w:rsidR="000B774D" w:rsidRPr="00037553">
              <w:rPr>
                <w:rFonts w:ascii="Arial" w:hAnsi="Arial" w:cs="Arial"/>
                <w:sz w:val="20"/>
                <w:szCs w:val="20"/>
              </w:rPr>
              <w:t>točka spremeni tako, da se glasi:</w:t>
            </w:r>
          </w:p>
          <w:p w14:paraId="6D3BD1AC" w14:textId="0785E874" w:rsidR="000B774D" w:rsidRDefault="000B774D" w:rsidP="00DC26D8">
            <w:pPr>
              <w:spacing w:after="0"/>
              <w:jc w:val="both"/>
              <w:rPr>
                <w:rFonts w:ascii="Arial" w:hAnsi="Arial" w:cs="Arial"/>
                <w:sz w:val="20"/>
                <w:szCs w:val="20"/>
              </w:rPr>
            </w:pPr>
            <w:r w:rsidRPr="00BF1841">
              <w:rPr>
                <w:rFonts w:ascii="Arial" w:hAnsi="Arial" w:cs="Arial"/>
                <w:sz w:val="20"/>
                <w:szCs w:val="20"/>
              </w:rPr>
              <w:t>»10. nadomestilo za uporabo lastnih sredstev pri delu na domu v skladu s predpisi, ki urejajo delovna razmerja, pod pogojem, da je določeno s posebnimi predpisi ali na podlagi kolektivne pogodbe oziroma splošnega akta delodajalca, največ</w:t>
            </w:r>
            <w:r w:rsidRPr="000B774D">
              <w:rPr>
                <w:rFonts w:ascii="Arial" w:hAnsi="Arial" w:cs="Arial"/>
                <w:sz w:val="20"/>
                <w:szCs w:val="20"/>
              </w:rPr>
              <w:t xml:space="preserve"> do višine </w:t>
            </w:r>
            <w:r w:rsidR="00D548F8">
              <w:rPr>
                <w:rFonts w:ascii="Arial" w:hAnsi="Arial" w:cs="Arial"/>
                <w:sz w:val="20"/>
                <w:szCs w:val="20"/>
              </w:rPr>
              <w:t>0,</w:t>
            </w:r>
            <w:r w:rsidR="00055A58">
              <w:rPr>
                <w:rFonts w:ascii="Arial" w:hAnsi="Arial" w:cs="Arial"/>
                <w:sz w:val="20"/>
                <w:szCs w:val="20"/>
              </w:rPr>
              <w:t>20</w:t>
            </w:r>
            <w:r w:rsidR="00BB7A41">
              <w:rPr>
                <w:rFonts w:ascii="Arial" w:hAnsi="Arial" w:cs="Arial"/>
                <w:sz w:val="20"/>
                <w:szCs w:val="20"/>
              </w:rPr>
              <w:t> </w:t>
            </w:r>
            <w:r w:rsidRPr="000B774D">
              <w:rPr>
                <w:rFonts w:ascii="Arial" w:hAnsi="Arial" w:cs="Arial"/>
                <w:sz w:val="20"/>
                <w:szCs w:val="20"/>
              </w:rPr>
              <w:t xml:space="preserve">% zadnje znane povprečne letne plače zaposlenih v Sloveniji, preračunane na </w:t>
            </w:r>
            <w:r w:rsidR="00D548F8">
              <w:rPr>
                <w:rFonts w:ascii="Arial" w:hAnsi="Arial" w:cs="Arial"/>
                <w:sz w:val="20"/>
                <w:szCs w:val="20"/>
              </w:rPr>
              <w:t>mesec</w:t>
            </w:r>
            <w:r w:rsidRPr="000B774D">
              <w:rPr>
                <w:rFonts w:ascii="Arial" w:hAnsi="Arial" w:cs="Arial"/>
                <w:sz w:val="20"/>
                <w:szCs w:val="20"/>
              </w:rPr>
              <w:t>, za vsak dan dela na domu.«</w:t>
            </w:r>
            <w:r w:rsidR="00BF1841">
              <w:rPr>
                <w:rFonts w:ascii="Arial" w:hAnsi="Arial" w:cs="Arial"/>
                <w:sz w:val="20"/>
                <w:szCs w:val="20"/>
              </w:rPr>
              <w:t>.</w:t>
            </w:r>
          </w:p>
          <w:p w14:paraId="080F0228" w14:textId="42D26BDB" w:rsidR="000B774D" w:rsidRDefault="000B774D">
            <w:pPr>
              <w:spacing w:after="0" w:line="276" w:lineRule="auto"/>
              <w:jc w:val="both"/>
              <w:rPr>
                <w:rFonts w:ascii="Arial" w:hAnsi="Arial" w:cs="Arial"/>
                <w:sz w:val="20"/>
                <w:szCs w:val="20"/>
              </w:rPr>
            </w:pPr>
          </w:p>
          <w:p w14:paraId="721EDA47" w14:textId="1E917647" w:rsidR="000B774D" w:rsidRPr="00037553" w:rsidRDefault="00BF1841" w:rsidP="00037553">
            <w:pPr>
              <w:spacing w:line="276" w:lineRule="auto"/>
              <w:jc w:val="both"/>
              <w:rPr>
                <w:rFonts w:ascii="Arial" w:hAnsi="Arial" w:cs="Arial"/>
                <w:sz w:val="20"/>
                <w:szCs w:val="20"/>
              </w:rPr>
            </w:pPr>
            <w:r>
              <w:rPr>
                <w:rFonts w:ascii="Arial" w:hAnsi="Arial" w:cs="Arial"/>
                <w:sz w:val="20"/>
                <w:szCs w:val="20"/>
              </w:rPr>
              <w:t>V</w:t>
            </w:r>
            <w:r w:rsidR="00081240" w:rsidRPr="00037553">
              <w:rPr>
                <w:rFonts w:ascii="Arial" w:hAnsi="Arial" w:cs="Arial"/>
                <w:sz w:val="20"/>
                <w:szCs w:val="20"/>
              </w:rPr>
              <w:t xml:space="preserve"> </w:t>
            </w:r>
            <w:r w:rsidR="00A06DBB" w:rsidRPr="00037553">
              <w:rPr>
                <w:rFonts w:ascii="Arial" w:hAnsi="Arial" w:cs="Arial"/>
                <w:sz w:val="20"/>
                <w:szCs w:val="20"/>
              </w:rPr>
              <w:t>12.</w:t>
            </w:r>
            <w:r w:rsidR="002447E3" w:rsidRPr="00037553">
              <w:rPr>
                <w:rFonts w:ascii="Arial" w:hAnsi="Arial" w:cs="Arial"/>
                <w:sz w:val="20"/>
                <w:szCs w:val="20"/>
              </w:rPr>
              <w:t> </w:t>
            </w:r>
            <w:r w:rsidR="00A06DBB" w:rsidRPr="00037553">
              <w:rPr>
                <w:rFonts w:ascii="Arial" w:hAnsi="Arial" w:cs="Arial"/>
                <w:sz w:val="20"/>
                <w:szCs w:val="20"/>
              </w:rPr>
              <w:t>točk</w:t>
            </w:r>
            <w:r w:rsidR="00081240" w:rsidRPr="00037553">
              <w:rPr>
                <w:rFonts w:ascii="Arial" w:hAnsi="Arial" w:cs="Arial"/>
                <w:sz w:val="20"/>
                <w:szCs w:val="20"/>
              </w:rPr>
              <w:t xml:space="preserve">i </w:t>
            </w:r>
            <w:r>
              <w:rPr>
                <w:rFonts w:ascii="Arial" w:hAnsi="Arial" w:cs="Arial"/>
                <w:sz w:val="20"/>
                <w:szCs w:val="20"/>
              </w:rPr>
              <w:t xml:space="preserve">se </w:t>
            </w:r>
            <w:r w:rsidR="00081240" w:rsidRPr="00037553">
              <w:rPr>
                <w:rFonts w:ascii="Arial" w:hAnsi="Arial" w:cs="Arial"/>
                <w:sz w:val="20"/>
                <w:szCs w:val="20"/>
              </w:rPr>
              <w:t>za besedilom »v denarju ali naravi« doda besedilo »</w:t>
            </w:r>
            <w:r w:rsidR="00C4557F" w:rsidRPr="00037553">
              <w:rPr>
                <w:rFonts w:ascii="Arial" w:hAnsi="Arial" w:cs="Arial"/>
                <w:sz w:val="20"/>
                <w:szCs w:val="20"/>
              </w:rPr>
              <w:t xml:space="preserve">največ </w:t>
            </w:r>
            <w:r w:rsidR="00537ADE" w:rsidRPr="00037553">
              <w:rPr>
                <w:rFonts w:ascii="Arial" w:hAnsi="Arial" w:cs="Arial"/>
                <w:sz w:val="20"/>
                <w:szCs w:val="20"/>
              </w:rPr>
              <w:t>dva</w:t>
            </w:r>
            <w:r w:rsidR="00081240" w:rsidRPr="00037553">
              <w:rPr>
                <w:rFonts w:ascii="Arial" w:hAnsi="Arial" w:cs="Arial"/>
                <w:sz w:val="20"/>
                <w:szCs w:val="20"/>
              </w:rPr>
              <w:t>krat v koledarskem letu« ter črta besedilo »oziroma do višine 100 % povprečne mesečne plače delavca, vključno z nadomestili plače, izplačanih za zadnjih 12 mesecev pri delodajalcu, če je to za zavezanca ugodneje«.</w:t>
            </w:r>
          </w:p>
          <w:p w14:paraId="78308414" w14:textId="77777777" w:rsidR="00B00C31" w:rsidRDefault="00B00C31" w:rsidP="00CA2033">
            <w:pPr>
              <w:spacing w:after="0" w:line="276" w:lineRule="auto"/>
              <w:ind w:left="360"/>
              <w:jc w:val="both"/>
              <w:rPr>
                <w:rFonts w:ascii="Arial" w:hAnsi="Arial" w:cs="Arial"/>
                <w:sz w:val="20"/>
                <w:szCs w:val="20"/>
              </w:rPr>
            </w:pPr>
          </w:p>
          <w:p w14:paraId="5AFF95E1" w14:textId="687A125D" w:rsidR="000B774D" w:rsidRDefault="00B00C31" w:rsidP="00442C73">
            <w:pPr>
              <w:spacing w:after="0" w:line="276" w:lineRule="auto"/>
              <w:jc w:val="both"/>
              <w:rPr>
                <w:rFonts w:ascii="Arial" w:hAnsi="Arial" w:cs="Arial"/>
                <w:sz w:val="20"/>
                <w:szCs w:val="20"/>
              </w:rPr>
            </w:pPr>
            <w:r w:rsidRPr="00B00C31">
              <w:rPr>
                <w:rFonts w:ascii="Arial" w:hAnsi="Arial" w:cs="Arial"/>
                <w:sz w:val="20"/>
                <w:szCs w:val="20"/>
              </w:rPr>
              <w:t>V tretjem odstavku se za besedo »mesečne« doda besedilo »oziroma letne«.</w:t>
            </w:r>
          </w:p>
          <w:p w14:paraId="2E1F6FCC" w14:textId="62C94710" w:rsidR="00ED7E63" w:rsidRDefault="00ED7E63" w:rsidP="00442C73">
            <w:pPr>
              <w:spacing w:after="0" w:line="276" w:lineRule="auto"/>
              <w:jc w:val="both"/>
              <w:rPr>
                <w:rFonts w:ascii="Arial" w:hAnsi="Arial" w:cs="Arial"/>
                <w:sz w:val="20"/>
                <w:szCs w:val="20"/>
              </w:rPr>
            </w:pPr>
          </w:p>
          <w:p w14:paraId="5EB82506" w14:textId="1CAB303D" w:rsidR="00ED7E63" w:rsidRDefault="00ED7E63" w:rsidP="00442C73">
            <w:pPr>
              <w:spacing w:after="0" w:line="276" w:lineRule="auto"/>
              <w:jc w:val="both"/>
              <w:rPr>
                <w:rFonts w:ascii="Arial" w:hAnsi="Arial" w:cs="Arial"/>
                <w:sz w:val="20"/>
                <w:szCs w:val="20"/>
              </w:rPr>
            </w:pPr>
          </w:p>
          <w:p w14:paraId="6E6653EC" w14:textId="77777777" w:rsidR="00ED7E63" w:rsidRPr="00CA2033" w:rsidRDefault="00ED7E63" w:rsidP="00442C73">
            <w:pPr>
              <w:spacing w:after="0" w:line="276" w:lineRule="auto"/>
              <w:jc w:val="both"/>
              <w:rPr>
                <w:rFonts w:ascii="Arial" w:hAnsi="Arial" w:cs="Arial"/>
                <w:sz w:val="20"/>
                <w:szCs w:val="20"/>
              </w:rPr>
            </w:pPr>
          </w:p>
          <w:bookmarkEnd w:id="4"/>
          <w:p w14:paraId="5DCCA3D3" w14:textId="6A5E2243" w:rsidR="00726FC2" w:rsidRDefault="00726FC2" w:rsidP="00CA2033">
            <w:pPr>
              <w:spacing w:after="0" w:line="276" w:lineRule="auto"/>
              <w:jc w:val="both"/>
              <w:rPr>
                <w:rFonts w:ascii="Arial" w:hAnsi="Arial" w:cs="Arial"/>
                <w:sz w:val="20"/>
                <w:szCs w:val="20"/>
              </w:rPr>
            </w:pPr>
          </w:p>
          <w:p w14:paraId="3E66A106" w14:textId="6B71AEF5" w:rsidR="00817D13" w:rsidRDefault="00817D13"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lastRenderedPageBreak/>
              <w:t>člen</w:t>
            </w:r>
          </w:p>
          <w:p w14:paraId="22470541" w14:textId="19A154AD" w:rsidR="00726FC2" w:rsidRDefault="00726FC2" w:rsidP="005C1F6F">
            <w:pPr>
              <w:spacing w:after="0" w:line="276" w:lineRule="auto"/>
              <w:jc w:val="both"/>
              <w:rPr>
                <w:rFonts w:ascii="Arial" w:hAnsi="Arial" w:cs="Arial"/>
                <w:sz w:val="20"/>
                <w:szCs w:val="20"/>
              </w:rPr>
            </w:pPr>
          </w:p>
          <w:p w14:paraId="22079C3E" w14:textId="0351DBE7" w:rsidR="008F1C29" w:rsidRDefault="00726FC2" w:rsidP="005C1F6F">
            <w:pPr>
              <w:spacing w:after="0" w:line="276" w:lineRule="auto"/>
              <w:jc w:val="both"/>
              <w:rPr>
                <w:rFonts w:ascii="Arial" w:hAnsi="Arial" w:cs="Arial"/>
                <w:sz w:val="20"/>
                <w:szCs w:val="20"/>
              </w:rPr>
            </w:pPr>
            <w:r>
              <w:rPr>
                <w:rFonts w:ascii="Arial" w:hAnsi="Arial" w:cs="Arial"/>
                <w:sz w:val="20"/>
                <w:szCs w:val="20"/>
              </w:rPr>
              <w:t xml:space="preserve">V </w:t>
            </w:r>
            <w:r w:rsidR="005B20BD">
              <w:rPr>
                <w:rFonts w:ascii="Arial" w:hAnsi="Arial" w:cs="Arial"/>
                <w:sz w:val="20"/>
                <w:szCs w:val="20"/>
              </w:rPr>
              <w:t>4</w:t>
            </w:r>
            <w:r>
              <w:rPr>
                <w:rFonts w:ascii="Arial" w:hAnsi="Arial" w:cs="Arial"/>
                <w:sz w:val="20"/>
                <w:szCs w:val="20"/>
              </w:rPr>
              <w:t>8.</w:t>
            </w:r>
            <w:r w:rsidR="001F5978">
              <w:rPr>
                <w:rFonts w:ascii="Arial" w:hAnsi="Arial" w:cs="Arial"/>
                <w:sz w:val="20"/>
                <w:szCs w:val="20"/>
              </w:rPr>
              <w:t> </w:t>
            </w:r>
            <w:r>
              <w:rPr>
                <w:rFonts w:ascii="Arial" w:hAnsi="Arial" w:cs="Arial"/>
                <w:sz w:val="20"/>
                <w:szCs w:val="20"/>
              </w:rPr>
              <w:t xml:space="preserve">členu se v tretjem odstavku </w:t>
            </w:r>
            <w:r w:rsidR="00EC1882">
              <w:rPr>
                <w:rFonts w:ascii="Arial" w:hAnsi="Arial" w:cs="Arial"/>
                <w:sz w:val="20"/>
                <w:szCs w:val="20"/>
              </w:rPr>
              <w:t>v drugi alineji besedilo »za polni delovni čas, neprekinjeno najmanj pet mesecev« nadomesti z besedilom »</w:t>
            </w:r>
            <w:r w:rsidR="008F1C29">
              <w:rPr>
                <w:rFonts w:ascii="Arial" w:hAnsi="Arial" w:cs="Arial"/>
                <w:sz w:val="20"/>
                <w:szCs w:val="20"/>
              </w:rPr>
              <w:t>na podlagi delovnega razmerja ali samoz</w:t>
            </w:r>
            <w:r w:rsidR="00165D3D">
              <w:rPr>
                <w:rFonts w:ascii="Arial" w:hAnsi="Arial" w:cs="Arial"/>
                <w:sz w:val="20"/>
                <w:szCs w:val="20"/>
              </w:rPr>
              <w:t>a</w:t>
            </w:r>
            <w:r w:rsidR="008F1C29">
              <w:rPr>
                <w:rFonts w:ascii="Arial" w:hAnsi="Arial" w:cs="Arial"/>
                <w:sz w:val="20"/>
                <w:szCs w:val="20"/>
              </w:rPr>
              <w:t>poslitve za polni delovni čas, neprekinjeno najmanj devet mesecev«.</w:t>
            </w:r>
          </w:p>
          <w:p w14:paraId="3087080D" w14:textId="77777777" w:rsidR="00E27B2D" w:rsidRDefault="00E27B2D" w:rsidP="005C1F6F">
            <w:pPr>
              <w:spacing w:after="0" w:line="276" w:lineRule="auto"/>
              <w:jc w:val="both"/>
              <w:rPr>
                <w:rFonts w:ascii="Arial" w:hAnsi="Arial" w:cs="Arial"/>
                <w:sz w:val="20"/>
                <w:szCs w:val="20"/>
              </w:rPr>
            </w:pPr>
          </w:p>
          <w:p w14:paraId="023C30CF" w14:textId="766DD9CC" w:rsidR="00817D13" w:rsidRDefault="00817D13"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t>člen</w:t>
            </w:r>
          </w:p>
          <w:p w14:paraId="38E1C116" w14:textId="47B9350B" w:rsidR="00C12473" w:rsidRDefault="00C12473" w:rsidP="005C1F6F">
            <w:pPr>
              <w:spacing w:after="0" w:line="276" w:lineRule="auto"/>
              <w:jc w:val="both"/>
              <w:rPr>
                <w:rFonts w:ascii="Arial" w:hAnsi="Arial" w:cs="Arial"/>
                <w:sz w:val="20"/>
                <w:szCs w:val="20"/>
              </w:rPr>
            </w:pPr>
          </w:p>
          <w:p w14:paraId="0C803434" w14:textId="6F495FBE" w:rsidR="00C875AE" w:rsidRPr="00C875AE" w:rsidRDefault="00C875AE" w:rsidP="00C875AE">
            <w:pPr>
              <w:spacing w:after="0" w:line="276" w:lineRule="auto"/>
              <w:contextualSpacing/>
              <w:rPr>
                <w:rFonts w:ascii="Arial" w:hAnsi="Arial" w:cs="Arial"/>
                <w:sz w:val="20"/>
                <w:szCs w:val="20"/>
              </w:rPr>
            </w:pPr>
            <w:bookmarkStart w:id="5" w:name="_Hlk113531985"/>
            <w:bookmarkStart w:id="6" w:name="_Hlk113531530"/>
            <w:r w:rsidRPr="00C875AE">
              <w:rPr>
                <w:rFonts w:ascii="Arial" w:hAnsi="Arial" w:cs="Arial"/>
                <w:sz w:val="20"/>
                <w:szCs w:val="20"/>
              </w:rPr>
              <w:t>Besedilo 59.</w:t>
            </w:r>
            <w:r w:rsidR="001F5978">
              <w:rPr>
                <w:rFonts w:ascii="Arial" w:hAnsi="Arial" w:cs="Arial"/>
                <w:sz w:val="20"/>
                <w:szCs w:val="20"/>
              </w:rPr>
              <w:t> </w:t>
            </w:r>
            <w:r w:rsidRPr="00C875AE">
              <w:rPr>
                <w:rFonts w:ascii="Arial" w:hAnsi="Arial" w:cs="Arial"/>
                <w:sz w:val="20"/>
                <w:szCs w:val="20"/>
              </w:rPr>
              <w:t>člena se spremeni tako, da se glasi:</w:t>
            </w:r>
          </w:p>
          <w:bookmarkEnd w:id="5"/>
          <w:p w14:paraId="2D5F61D8" w14:textId="77777777" w:rsidR="00C875AE" w:rsidRPr="00C875AE" w:rsidRDefault="00C875AE" w:rsidP="00C875AE">
            <w:pPr>
              <w:spacing w:after="0" w:line="276" w:lineRule="auto"/>
              <w:contextualSpacing/>
              <w:rPr>
                <w:rFonts w:ascii="Arial" w:hAnsi="Arial" w:cs="Arial"/>
                <w:sz w:val="20"/>
                <w:szCs w:val="20"/>
              </w:rPr>
            </w:pPr>
          </w:p>
          <w:p w14:paraId="3F3962BA" w14:textId="6CEAFDDF"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»(1) Pri ugotavljanju davčne osnove zavezanca iz tretjega in četrtega odstavka 48.</w:t>
            </w:r>
            <w:r w:rsidR="001F5978">
              <w:rPr>
                <w:rFonts w:ascii="Arial" w:hAnsi="Arial" w:cs="Arial"/>
                <w:sz w:val="20"/>
                <w:szCs w:val="20"/>
              </w:rPr>
              <w:t> </w:t>
            </w:r>
            <w:r w:rsidRPr="00C875AE">
              <w:rPr>
                <w:rFonts w:ascii="Arial" w:hAnsi="Arial" w:cs="Arial"/>
                <w:sz w:val="20"/>
                <w:szCs w:val="20"/>
              </w:rPr>
              <w:t>člena tega zakona se upoštevajo normirani odhodki, če je bila v davčnem letu, za katero se ugotavlja davčna osnova, pri zavezancu v skladu z zakonom, ki ureja pokojninsko in invalidsko zavarovanje, obvezno zavarovana na podlagi delovnega razmerja ali samozaposlitve vsaj ena oseba za polni delovni čas neprekinjeno najmanj devet mesecev, v naslednji višini:</w:t>
            </w:r>
          </w:p>
          <w:p w14:paraId="178D4972" w14:textId="77777777" w:rsidR="00C875AE" w:rsidRPr="00C875AE" w:rsidRDefault="00C875AE" w:rsidP="00C875AE">
            <w:pPr>
              <w:spacing w:after="0" w:line="276" w:lineRule="auto"/>
              <w:contextualSpacing/>
              <w:jc w:val="both"/>
              <w:rPr>
                <w:rFonts w:ascii="Arial" w:hAnsi="Arial" w:cs="Arial"/>
                <w:sz w:val="20"/>
                <w:szCs w:val="20"/>
              </w:rPr>
            </w:pPr>
          </w:p>
          <w:tbl>
            <w:tblPr>
              <w:tblW w:w="8837" w:type="dxa"/>
              <w:tblCellMar>
                <w:left w:w="0" w:type="dxa"/>
                <w:right w:w="0" w:type="dxa"/>
              </w:tblCellMar>
              <w:tblLook w:val="04A0" w:firstRow="1" w:lastRow="0" w:firstColumn="1" w:lastColumn="0" w:noHBand="0" w:noVBand="1"/>
            </w:tblPr>
            <w:tblGrid>
              <w:gridCol w:w="2012"/>
              <w:gridCol w:w="2126"/>
              <w:gridCol w:w="1559"/>
              <w:gridCol w:w="1276"/>
              <w:gridCol w:w="1864"/>
            </w:tblGrid>
            <w:tr w:rsidR="00C875AE" w:rsidRPr="00C875AE" w14:paraId="29FF39AF" w14:textId="77777777" w:rsidTr="00442C73">
              <w:trPr>
                <w:trHeight w:val="350"/>
              </w:trPr>
              <w:tc>
                <w:tcPr>
                  <w:tcW w:w="413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476605" w14:textId="53AC9F14"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Če znašajo prihodki iz dejavnosti, za leto, za katero se ugotavlja davčna osnova</w:t>
                  </w:r>
                  <w:r w:rsidR="00BF1841">
                    <w:rPr>
                      <w:rFonts w:ascii="Arial" w:hAnsi="Arial" w:cs="Arial"/>
                      <w:sz w:val="20"/>
                      <w:szCs w:val="20"/>
                    </w:rPr>
                    <w:t>,</w:t>
                  </w:r>
                  <w:r w:rsidRPr="00C875AE">
                    <w:rPr>
                      <w:rFonts w:ascii="Arial" w:hAnsi="Arial" w:cs="Arial"/>
                      <w:sz w:val="20"/>
                      <w:szCs w:val="20"/>
                    </w:rPr>
                    <w:t xml:space="preserve"> v eurih</w:t>
                  </w:r>
                </w:p>
              </w:tc>
              <w:tc>
                <w:tcPr>
                  <w:tcW w:w="4699" w:type="dxa"/>
                  <w:gridSpan w:val="3"/>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8218BDC" w14:textId="0808575D" w:rsidR="00C875AE" w:rsidRPr="00C875AE" w:rsidRDefault="00C875AE" w:rsidP="00442C73">
                  <w:pPr>
                    <w:spacing w:after="0" w:line="276" w:lineRule="auto"/>
                    <w:contextualSpacing/>
                    <w:jc w:val="center"/>
                    <w:rPr>
                      <w:rFonts w:ascii="Arial" w:hAnsi="Arial" w:cs="Arial"/>
                      <w:sz w:val="20"/>
                      <w:szCs w:val="20"/>
                    </w:rPr>
                  </w:pPr>
                  <w:r w:rsidRPr="00C875AE">
                    <w:rPr>
                      <w:rFonts w:ascii="Arial" w:hAnsi="Arial" w:cs="Arial"/>
                      <w:sz w:val="20"/>
                      <w:szCs w:val="20"/>
                    </w:rPr>
                    <w:t>% prihodkov</w:t>
                  </w:r>
                </w:p>
              </w:tc>
            </w:tr>
            <w:tr w:rsidR="00C875AE" w:rsidRPr="00C875AE" w14:paraId="6BA0953E" w14:textId="77777777" w:rsidTr="00442C73">
              <w:trPr>
                <w:trHeight w:val="350"/>
              </w:trPr>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54C258" w14:textId="77777777"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nad</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086A8" w14:textId="77777777"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do</w:t>
                  </w:r>
                </w:p>
              </w:tc>
              <w:tc>
                <w:tcPr>
                  <w:tcW w:w="4699" w:type="dxa"/>
                  <w:gridSpan w:val="3"/>
                  <w:vMerge/>
                  <w:tcBorders>
                    <w:left w:val="nil"/>
                    <w:bottom w:val="single" w:sz="8" w:space="0" w:color="auto"/>
                    <w:right w:val="single" w:sz="8" w:space="0" w:color="auto"/>
                  </w:tcBorders>
                  <w:vAlign w:val="center"/>
                  <w:hideMark/>
                </w:tcPr>
                <w:p w14:paraId="5C2AA8F5" w14:textId="77777777" w:rsidR="00C875AE" w:rsidRPr="00C875AE" w:rsidRDefault="00C875AE" w:rsidP="00C875AE">
                  <w:pPr>
                    <w:spacing w:after="0" w:line="276" w:lineRule="auto"/>
                    <w:contextualSpacing/>
                    <w:jc w:val="both"/>
                    <w:rPr>
                      <w:rFonts w:ascii="Arial" w:hAnsi="Arial" w:cs="Arial"/>
                      <w:sz w:val="20"/>
                      <w:szCs w:val="20"/>
                    </w:rPr>
                  </w:pPr>
                </w:p>
              </w:tc>
            </w:tr>
            <w:tr w:rsidR="00C875AE" w:rsidRPr="00C875AE" w14:paraId="08D3F073" w14:textId="77777777" w:rsidTr="00442C73">
              <w:trPr>
                <w:trHeight w:val="350"/>
              </w:trPr>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8A6E5A" w14:textId="77777777"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82BDD" w14:textId="74AEA0A7" w:rsidR="00C875AE" w:rsidRPr="00C875AE" w:rsidRDefault="00545DD6" w:rsidP="00C875AE">
                  <w:pPr>
                    <w:spacing w:after="0" w:line="276" w:lineRule="auto"/>
                    <w:contextualSpacing/>
                    <w:jc w:val="both"/>
                    <w:rPr>
                      <w:rFonts w:ascii="Arial" w:hAnsi="Arial" w:cs="Arial"/>
                      <w:sz w:val="20"/>
                      <w:szCs w:val="20"/>
                    </w:rPr>
                  </w:pPr>
                  <w:r>
                    <w:rPr>
                      <w:rFonts w:ascii="Arial" w:hAnsi="Arial" w:cs="Arial"/>
                      <w:sz w:val="20"/>
                      <w:szCs w:val="20"/>
                    </w:rPr>
                    <w:t>3</w:t>
                  </w:r>
                  <w:r w:rsidR="00C875AE" w:rsidRPr="00C875AE">
                    <w:rPr>
                      <w:rFonts w:ascii="Arial" w:hAnsi="Arial" w:cs="Arial"/>
                      <w:sz w:val="20"/>
                      <w:szCs w:val="20"/>
                    </w:rPr>
                    <w:t>5.000,00</w:t>
                  </w:r>
                </w:p>
              </w:tc>
              <w:tc>
                <w:tcPr>
                  <w:tcW w:w="1559" w:type="dxa"/>
                  <w:tcBorders>
                    <w:top w:val="nil"/>
                    <w:left w:val="nil"/>
                    <w:bottom w:val="single" w:sz="8" w:space="0" w:color="auto"/>
                    <w:right w:val="single" w:sz="4" w:space="0" w:color="auto"/>
                  </w:tcBorders>
                  <w:tcMar>
                    <w:top w:w="0" w:type="dxa"/>
                    <w:left w:w="108" w:type="dxa"/>
                    <w:bottom w:w="0" w:type="dxa"/>
                    <w:right w:w="108" w:type="dxa"/>
                  </w:tcMar>
                  <w:vAlign w:val="center"/>
                </w:tcPr>
                <w:p w14:paraId="6377ADD3" w14:textId="0E1A4BFA"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80</w:t>
                  </w:r>
                  <w:r w:rsidR="001F5978">
                    <w:rPr>
                      <w:rFonts w:ascii="Arial" w:hAnsi="Arial" w:cs="Arial"/>
                      <w:sz w:val="20"/>
                      <w:szCs w:val="20"/>
                    </w:rPr>
                    <w:t> </w:t>
                  </w:r>
                  <w:r w:rsidRPr="00C875AE">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01547144" w14:textId="77777777" w:rsidR="00C875AE" w:rsidRPr="00C875AE" w:rsidRDefault="00C875AE" w:rsidP="00C875AE">
                  <w:pPr>
                    <w:spacing w:after="0" w:line="276" w:lineRule="auto"/>
                    <w:contextualSpacing/>
                    <w:jc w:val="both"/>
                    <w:rPr>
                      <w:rFonts w:ascii="Arial" w:hAnsi="Arial" w:cs="Arial"/>
                      <w:sz w:val="20"/>
                      <w:szCs w:val="20"/>
                    </w:rPr>
                  </w:pPr>
                </w:p>
              </w:tc>
              <w:tc>
                <w:tcPr>
                  <w:tcW w:w="1864" w:type="dxa"/>
                  <w:tcBorders>
                    <w:top w:val="nil"/>
                    <w:left w:val="single" w:sz="4" w:space="0" w:color="auto"/>
                    <w:bottom w:val="single" w:sz="8" w:space="0" w:color="auto"/>
                    <w:right w:val="single" w:sz="8" w:space="0" w:color="auto"/>
                  </w:tcBorders>
                </w:tcPr>
                <w:p w14:paraId="1F89E99D" w14:textId="77777777" w:rsidR="00C875AE" w:rsidRPr="00C875AE" w:rsidRDefault="00C875AE" w:rsidP="00C875AE">
                  <w:pPr>
                    <w:spacing w:after="0" w:line="276" w:lineRule="auto"/>
                    <w:contextualSpacing/>
                    <w:jc w:val="both"/>
                    <w:rPr>
                      <w:rFonts w:ascii="Arial" w:hAnsi="Arial" w:cs="Arial"/>
                      <w:sz w:val="20"/>
                      <w:szCs w:val="20"/>
                    </w:rPr>
                  </w:pPr>
                </w:p>
              </w:tc>
            </w:tr>
            <w:tr w:rsidR="00C875AE" w:rsidRPr="00C875AE" w14:paraId="0479150F" w14:textId="77777777" w:rsidTr="00442C73">
              <w:trPr>
                <w:trHeight w:val="350"/>
              </w:trPr>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BC2489" w14:textId="6A562392" w:rsidR="00C875AE" w:rsidRPr="00C875AE" w:rsidRDefault="00545DD6" w:rsidP="00C875AE">
                  <w:pPr>
                    <w:spacing w:after="0" w:line="276" w:lineRule="auto"/>
                    <w:contextualSpacing/>
                    <w:jc w:val="both"/>
                    <w:rPr>
                      <w:rFonts w:ascii="Arial" w:hAnsi="Arial" w:cs="Arial"/>
                      <w:sz w:val="20"/>
                      <w:szCs w:val="20"/>
                    </w:rPr>
                  </w:pPr>
                  <w:r>
                    <w:rPr>
                      <w:rFonts w:ascii="Arial" w:hAnsi="Arial" w:cs="Arial"/>
                      <w:sz w:val="20"/>
                      <w:szCs w:val="20"/>
                    </w:rPr>
                    <w:t>3</w:t>
                  </w:r>
                  <w:r w:rsidR="00C875AE" w:rsidRPr="00C875AE">
                    <w:rPr>
                      <w:rFonts w:ascii="Arial" w:hAnsi="Arial" w:cs="Arial"/>
                      <w:sz w:val="20"/>
                      <w:szCs w:val="20"/>
                    </w:rPr>
                    <w:t>5.000,00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D2792B" w14:textId="77777777"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100.000,00</w:t>
                  </w:r>
                </w:p>
              </w:tc>
              <w:tc>
                <w:tcPr>
                  <w:tcW w:w="1559" w:type="dxa"/>
                  <w:tcBorders>
                    <w:top w:val="nil"/>
                    <w:left w:val="nil"/>
                    <w:bottom w:val="single" w:sz="8" w:space="0" w:color="auto"/>
                    <w:right w:val="single" w:sz="4" w:space="0" w:color="auto"/>
                  </w:tcBorders>
                  <w:tcMar>
                    <w:top w:w="0" w:type="dxa"/>
                    <w:left w:w="108" w:type="dxa"/>
                    <w:bottom w:w="0" w:type="dxa"/>
                    <w:right w:w="108" w:type="dxa"/>
                  </w:tcMar>
                  <w:vAlign w:val="center"/>
                </w:tcPr>
                <w:p w14:paraId="6E7F3D3C" w14:textId="21E161F5" w:rsidR="00C875AE" w:rsidRPr="00C875AE" w:rsidRDefault="00953CE5" w:rsidP="00C875AE">
                  <w:pPr>
                    <w:spacing w:after="0" w:line="276" w:lineRule="auto"/>
                    <w:contextualSpacing/>
                    <w:jc w:val="both"/>
                    <w:rPr>
                      <w:rFonts w:ascii="Arial" w:hAnsi="Arial" w:cs="Arial"/>
                      <w:sz w:val="20"/>
                      <w:szCs w:val="20"/>
                    </w:rPr>
                  </w:pPr>
                  <w:r>
                    <w:rPr>
                      <w:rFonts w:ascii="Arial" w:hAnsi="Arial" w:cs="Arial"/>
                      <w:sz w:val="20"/>
                      <w:szCs w:val="20"/>
                    </w:rPr>
                    <w:t>4</w:t>
                  </w:r>
                  <w:r w:rsidR="00C875AE" w:rsidRPr="00C875AE">
                    <w:rPr>
                      <w:rFonts w:ascii="Arial" w:hAnsi="Arial" w:cs="Arial"/>
                      <w:sz w:val="20"/>
                      <w:szCs w:val="20"/>
                    </w:rPr>
                    <w:t>0</w:t>
                  </w:r>
                  <w:r w:rsidR="001F5978">
                    <w:rPr>
                      <w:rFonts w:ascii="Arial" w:hAnsi="Arial" w:cs="Arial"/>
                      <w:sz w:val="20"/>
                      <w:szCs w:val="20"/>
                    </w:rPr>
                    <w:t> </w:t>
                  </w:r>
                  <w:r w:rsidR="00C875AE" w:rsidRPr="00C875AE">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225D261A" w14:textId="77777777"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 xml:space="preserve">nad </w:t>
                  </w:r>
                </w:p>
              </w:tc>
              <w:tc>
                <w:tcPr>
                  <w:tcW w:w="1864" w:type="dxa"/>
                  <w:tcBorders>
                    <w:top w:val="nil"/>
                    <w:left w:val="single" w:sz="4" w:space="0" w:color="auto"/>
                    <w:bottom w:val="single" w:sz="8" w:space="0" w:color="auto"/>
                    <w:right w:val="single" w:sz="8" w:space="0" w:color="auto"/>
                  </w:tcBorders>
                </w:tcPr>
                <w:p w14:paraId="6A8B7E4C" w14:textId="059F9074" w:rsidR="00C875AE" w:rsidRPr="00C875AE" w:rsidRDefault="00545DD6" w:rsidP="00C875AE">
                  <w:pPr>
                    <w:spacing w:after="0" w:line="276" w:lineRule="auto"/>
                    <w:contextualSpacing/>
                    <w:jc w:val="both"/>
                    <w:rPr>
                      <w:rFonts w:ascii="Arial" w:hAnsi="Arial" w:cs="Arial"/>
                      <w:sz w:val="20"/>
                      <w:szCs w:val="20"/>
                    </w:rPr>
                  </w:pPr>
                  <w:r>
                    <w:rPr>
                      <w:rFonts w:ascii="Arial" w:hAnsi="Arial" w:cs="Arial"/>
                      <w:sz w:val="20"/>
                      <w:szCs w:val="20"/>
                    </w:rPr>
                    <w:t>3</w:t>
                  </w:r>
                  <w:r w:rsidR="00C875AE" w:rsidRPr="00C875AE">
                    <w:rPr>
                      <w:rFonts w:ascii="Arial" w:hAnsi="Arial" w:cs="Arial"/>
                      <w:sz w:val="20"/>
                      <w:szCs w:val="20"/>
                    </w:rPr>
                    <w:t>5.000,00</w:t>
                  </w:r>
                </w:p>
              </w:tc>
            </w:tr>
            <w:tr w:rsidR="00C875AE" w:rsidRPr="00C875AE" w14:paraId="593D32D9" w14:textId="77777777" w:rsidTr="00442C73">
              <w:trPr>
                <w:trHeight w:val="330"/>
              </w:trPr>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29A60F" w14:textId="77777777"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100.000,00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45D79" w14:textId="77777777" w:rsidR="00C875AE" w:rsidRPr="00C875AE" w:rsidRDefault="00C875AE" w:rsidP="00C875AE">
                  <w:pPr>
                    <w:spacing w:after="0" w:line="276" w:lineRule="auto"/>
                    <w:contextualSpacing/>
                    <w:jc w:val="both"/>
                    <w:rPr>
                      <w:rFonts w:ascii="Arial" w:hAnsi="Arial" w:cs="Arial"/>
                      <w:sz w:val="20"/>
                      <w:szCs w:val="20"/>
                    </w:rPr>
                  </w:pPr>
                </w:p>
              </w:tc>
              <w:tc>
                <w:tcPr>
                  <w:tcW w:w="1559" w:type="dxa"/>
                  <w:tcBorders>
                    <w:top w:val="nil"/>
                    <w:left w:val="nil"/>
                    <w:bottom w:val="single" w:sz="8" w:space="0" w:color="auto"/>
                    <w:right w:val="single" w:sz="4" w:space="0" w:color="auto"/>
                  </w:tcBorders>
                  <w:tcMar>
                    <w:top w:w="0" w:type="dxa"/>
                    <w:left w:w="108" w:type="dxa"/>
                    <w:bottom w:w="0" w:type="dxa"/>
                    <w:right w:w="108" w:type="dxa"/>
                  </w:tcMar>
                  <w:vAlign w:val="center"/>
                </w:tcPr>
                <w:p w14:paraId="3A12C47F" w14:textId="5E77A6F4"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0</w:t>
                  </w:r>
                  <w:r w:rsidR="001F5978">
                    <w:rPr>
                      <w:rFonts w:ascii="Arial" w:hAnsi="Arial" w:cs="Arial"/>
                      <w:sz w:val="20"/>
                      <w:szCs w:val="20"/>
                    </w:rPr>
                    <w:t> </w:t>
                  </w:r>
                  <w:r w:rsidRPr="00C875AE">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D09184C" w14:textId="77777777"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 xml:space="preserve">nad </w:t>
                  </w:r>
                </w:p>
              </w:tc>
              <w:tc>
                <w:tcPr>
                  <w:tcW w:w="1864" w:type="dxa"/>
                  <w:tcBorders>
                    <w:top w:val="nil"/>
                    <w:left w:val="single" w:sz="4" w:space="0" w:color="auto"/>
                    <w:bottom w:val="single" w:sz="8" w:space="0" w:color="auto"/>
                    <w:right w:val="single" w:sz="8" w:space="0" w:color="auto"/>
                  </w:tcBorders>
                </w:tcPr>
                <w:p w14:paraId="60F6057B" w14:textId="77777777"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100.000,00</w:t>
                  </w:r>
                </w:p>
              </w:tc>
            </w:tr>
          </w:tbl>
          <w:p w14:paraId="1BD48FA4" w14:textId="77777777" w:rsidR="00C875AE" w:rsidRPr="00C875AE" w:rsidRDefault="00C875AE" w:rsidP="00C875AE">
            <w:pPr>
              <w:spacing w:after="0" w:line="276" w:lineRule="auto"/>
              <w:contextualSpacing/>
              <w:jc w:val="both"/>
              <w:rPr>
                <w:rFonts w:ascii="Arial" w:hAnsi="Arial" w:cs="Arial"/>
                <w:sz w:val="20"/>
                <w:szCs w:val="20"/>
              </w:rPr>
            </w:pPr>
          </w:p>
          <w:p w14:paraId="44975421" w14:textId="77777777" w:rsidR="00C875AE" w:rsidRPr="00C875AE" w:rsidRDefault="00C875AE" w:rsidP="00C875AE">
            <w:pPr>
              <w:spacing w:after="0" w:line="276" w:lineRule="auto"/>
              <w:contextualSpacing/>
              <w:jc w:val="both"/>
              <w:rPr>
                <w:rFonts w:ascii="Arial" w:hAnsi="Arial" w:cs="Arial"/>
                <w:sz w:val="20"/>
                <w:szCs w:val="20"/>
              </w:rPr>
            </w:pPr>
          </w:p>
          <w:p w14:paraId="7C834FC0" w14:textId="60A66795"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(2) Če v davčnem letu, za katero se ugotavlja davčna osnova, pri zavarovancu v skladu z zakonom, ki ureja pokojninsko in invalidsko zavarovanje, ni bila obvezno zavarovana na podlagi delovnega razmerja ali samozaposlitve vsaj ena oseba za polni delovni čas neprekinjeno najmanj devet mesecev, se pri ugotavljanju davčne osnove zavezanca iz tretjega in četrtega odstavka 48.</w:t>
            </w:r>
            <w:r w:rsidR="001F5978">
              <w:rPr>
                <w:rFonts w:ascii="Arial" w:hAnsi="Arial" w:cs="Arial"/>
                <w:sz w:val="20"/>
                <w:szCs w:val="20"/>
              </w:rPr>
              <w:t> </w:t>
            </w:r>
            <w:r w:rsidRPr="00C875AE">
              <w:rPr>
                <w:rFonts w:ascii="Arial" w:hAnsi="Arial" w:cs="Arial"/>
                <w:sz w:val="20"/>
                <w:szCs w:val="20"/>
              </w:rPr>
              <w:t xml:space="preserve">člena tega zakona upoštevajo normirani odhodki v višini </w:t>
            </w:r>
            <w:r w:rsidR="00953CE5">
              <w:rPr>
                <w:rFonts w:ascii="Arial" w:hAnsi="Arial" w:cs="Arial"/>
                <w:sz w:val="20"/>
                <w:szCs w:val="20"/>
              </w:rPr>
              <w:t>4</w:t>
            </w:r>
            <w:r w:rsidRPr="00C875AE">
              <w:rPr>
                <w:rFonts w:ascii="Arial" w:hAnsi="Arial" w:cs="Arial"/>
                <w:sz w:val="20"/>
                <w:szCs w:val="20"/>
              </w:rPr>
              <w:t>0</w:t>
            </w:r>
            <w:r w:rsidR="001F5978">
              <w:rPr>
                <w:rFonts w:ascii="Arial" w:hAnsi="Arial" w:cs="Arial"/>
                <w:sz w:val="20"/>
                <w:szCs w:val="20"/>
              </w:rPr>
              <w:t> </w:t>
            </w:r>
            <w:r w:rsidRPr="00C875AE">
              <w:rPr>
                <w:rFonts w:ascii="Arial" w:hAnsi="Arial" w:cs="Arial"/>
                <w:sz w:val="20"/>
                <w:szCs w:val="20"/>
              </w:rPr>
              <w:t>% prihodkov, vendar ne več kot 2</w:t>
            </w:r>
            <w:r w:rsidR="00953CE5">
              <w:rPr>
                <w:rFonts w:ascii="Arial" w:hAnsi="Arial" w:cs="Arial"/>
                <w:sz w:val="20"/>
                <w:szCs w:val="20"/>
              </w:rPr>
              <w:t>0</w:t>
            </w:r>
            <w:r w:rsidRPr="00C875AE">
              <w:rPr>
                <w:rFonts w:ascii="Arial" w:hAnsi="Arial" w:cs="Arial"/>
                <w:sz w:val="20"/>
                <w:szCs w:val="20"/>
              </w:rPr>
              <w:t>.000</w:t>
            </w:r>
            <w:r w:rsidR="001F5978">
              <w:rPr>
                <w:rFonts w:ascii="Arial" w:hAnsi="Arial" w:cs="Arial"/>
                <w:sz w:val="20"/>
                <w:szCs w:val="20"/>
              </w:rPr>
              <w:t> </w:t>
            </w:r>
            <w:r w:rsidRPr="00C875AE">
              <w:rPr>
                <w:rFonts w:ascii="Arial" w:hAnsi="Arial" w:cs="Arial"/>
                <w:sz w:val="20"/>
                <w:szCs w:val="20"/>
              </w:rPr>
              <w:t xml:space="preserve">eurov. </w:t>
            </w:r>
          </w:p>
          <w:p w14:paraId="549769D1" w14:textId="77777777" w:rsidR="00C875AE" w:rsidRPr="00C875AE" w:rsidRDefault="00C875AE" w:rsidP="00C875AE">
            <w:pPr>
              <w:spacing w:after="0" w:line="276" w:lineRule="auto"/>
              <w:contextualSpacing/>
              <w:jc w:val="both"/>
              <w:rPr>
                <w:rFonts w:ascii="Arial" w:hAnsi="Arial" w:cs="Arial"/>
                <w:sz w:val="20"/>
                <w:szCs w:val="20"/>
              </w:rPr>
            </w:pPr>
          </w:p>
          <w:p w14:paraId="4FC35483" w14:textId="46EC1240" w:rsidR="00C875AE" w:rsidRPr="00C875AE" w:rsidRDefault="00C875AE" w:rsidP="00C875AE">
            <w:pPr>
              <w:spacing w:after="0" w:line="276" w:lineRule="auto"/>
              <w:contextualSpacing/>
              <w:jc w:val="both"/>
              <w:rPr>
                <w:rFonts w:ascii="Arial" w:hAnsi="Arial" w:cs="Arial"/>
                <w:sz w:val="20"/>
                <w:szCs w:val="20"/>
              </w:rPr>
            </w:pPr>
            <w:r w:rsidRPr="00C875AE">
              <w:rPr>
                <w:rFonts w:ascii="Arial" w:hAnsi="Arial" w:cs="Arial"/>
                <w:sz w:val="20"/>
                <w:szCs w:val="20"/>
              </w:rPr>
              <w:t>(3) Ne glede na prvi in drugi odstavek tega člena se za zavezance iz šestega odstavka 48.</w:t>
            </w:r>
            <w:r w:rsidR="001F5978">
              <w:rPr>
                <w:rFonts w:ascii="Arial" w:hAnsi="Arial" w:cs="Arial"/>
                <w:sz w:val="20"/>
                <w:szCs w:val="20"/>
              </w:rPr>
              <w:t> </w:t>
            </w:r>
            <w:r w:rsidRPr="00C875AE">
              <w:rPr>
                <w:rFonts w:ascii="Arial" w:hAnsi="Arial" w:cs="Arial"/>
                <w:sz w:val="20"/>
                <w:szCs w:val="20"/>
              </w:rPr>
              <w:t>člena tega zakona upoštevajo normirani odhodki v višini 80</w:t>
            </w:r>
            <w:r w:rsidR="001F5978">
              <w:rPr>
                <w:rFonts w:ascii="Arial" w:hAnsi="Arial" w:cs="Arial"/>
                <w:sz w:val="20"/>
                <w:szCs w:val="20"/>
              </w:rPr>
              <w:t> </w:t>
            </w:r>
            <w:r w:rsidRPr="00C875AE">
              <w:rPr>
                <w:rFonts w:ascii="Arial" w:hAnsi="Arial" w:cs="Arial"/>
                <w:sz w:val="20"/>
                <w:szCs w:val="20"/>
              </w:rPr>
              <w:t>% prihodkov, vendar ne več kot 80.000</w:t>
            </w:r>
            <w:r w:rsidR="001F5978">
              <w:rPr>
                <w:rFonts w:ascii="Arial" w:hAnsi="Arial" w:cs="Arial"/>
                <w:sz w:val="20"/>
                <w:szCs w:val="20"/>
              </w:rPr>
              <w:t> </w:t>
            </w:r>
            <w:r w:rsidRPr="00C875AE">
              <w:rPr>
                <w:rFonts w:ascii="Arial" w:hAnsi="Arial" w:cs="Arial"/>
                <w:sz w:val="20"/>
                <w:szCs w:val="20"/>
              </w:rPr>
              <w:t>eurov na nosilca in na drugega člana kmečkega gospodinjstva, ki je vključen v obvezno pokojninsko in invalidsko zavarovanje kot kmet oziroma član kmečkega gospodinjstva.«.</w:t>
            </w:r>
          </w:p>
          <w:bookmarkEnd w:id="6"/>
          <w:p w14:paraId="2EF4927D" w14:textId="70A871D3" w:rsidR="00B531DF" w:rsidRDefault="00B531DF" w:rsidP="00707730">
            <w:pPr>
              <w:spacing w:after="0" w:line="276" w:lineRule="auto"/>
              <w:contextualSpacing/>
              <w:jc w:val="both"/>
              <w:rPr>
                <w:rFonts w:ascii="Arial" w:hAnsi="Arial" w:cs="Arial"/>
                <w:sz w:val="20"/>
                <w:szCs w:val="20"/>
              </w:rPr>
            </w:pPr>
          </w:p>
          <w:p w14:paraId="3526691B" w14:textId="77777777" w:rsidR="00B531DF" w:rsidRDefault="00B531DF"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t>člen</w:t>
            </w:r>
          </w:p>
          <w:p w14:paraId="7D062AE4" w14:textId="77777777" w:rsidR="00B531DF" w:rsidRDefault="00B531DF" w:rsidP="00707730">
            <w:pPr>
              <w:spacing w:after="0" w:line="276" w:lineRule="auto"/>
              <w:contextualSpacing/>
              <w:jc w:val="both"/>
              <w:rPr>
                <w:rFonts w:ascii="Arial" w:hAnsi="Arial" w:cs="Arial"/>
                <w:sz w:val="20"/>
                <w:szCs w:val="20"/>
              </w:rPr>
            </w:pPr>
          </w:p>
          <w:p w14:paraId="3635B5F3" w14:textId="77A4816D" w:rsidR="00B92BBC" w:rsidRDefault="005C6D0E" w:rsidP="00707730">
            <w:pPr>
              <w:spacing w:after="0" w:line="276" w:lineRule="auto"/>
              <w:contextualSpacing/>
              <w:jc w:val="both"/>
              <w:rPr>
                <w:rFonts w:ascii="Arial" w:hAnsi="Arial" w:cs="Arial"/>
                <w:sz w:val="20"/>
                <w:szCs w:val="20"/>
              </w:rPr>
            </w:pPr>
            <w:r>
              <w:rPr>
                <w:rFonts w:ascii="Arial" w:hAnsi="Arial" w:cs="Arial"/>
                <w:sz w:val="20"/>
                <w:szCs w:val="20"/>
              </w:rPr>
              <w:t>V 90.</w:t>
            </w:r>
            <w:r w:rsidR="002447E3">
              <w:rPr>
                <w:rFonts w:ascii="Arial" w:hAnsi="Arial" w:cs="Arial"/>
                <w:sz w:val="20"/>
                <w:szCs w:val="20"/>
              </w:rPr>
              <w:t> </w:t>
            </w:r>
            <w:r>
              <w:rPr>
                <w:rFonts w:ascii="Arial" w:hAnsi="Arial" w:cs="Arial"/>
                <w:sz w:val="20"/>
                <w:szCs w:val="20"/>
              </w:rPr>
              <w:t xml:space="preserve">členu se v četrtem odstavku </w:t>
            </w:r>
            <w:r w:rsidRPr="005C6D0E">
              <w:rPr>
                <w:rFonts w:ascii="Arial" w:hAnsi="Arial" w:cs="Arial"/>
                <w:sz w:val="20"/>
                <w:szCs w:val="20"/>
              </w:rPr>
              <w:t xml:space="preserve">na koncu </w:t>
            </w:r>
            <w:r>
              <w:rPr>
                <w:rFonts w:ascii="Arial" w:hAnsi="Arial" w:cs="Arial"/>
                <w:sz w:val="20"/>
                <w:szCs w:val="20"/>
              </w:rPr>
              <w:t>5</w:t>
            </w:r>
            <w:r w:rsidRPr="005C6D0E">
              <w:rPr>
                <w:rFonts w:ascii="Arial" w:hAnsi="Arial" w:cs="Arial"/>
                <w:sz w:val="20"/>
                <w:szCs w:val="20"/>
              </w:rPr>
              <w:t>.</w:t>
            </w:r>
            <w:r w:rsidR="002447E3">
              <w:rPr>
                <w:rFonts w:ascii="Arial" w:hAnsi="Arial" w:cs="Arial"/>
                <w:sz w:val="20"/>
                <w:szCs w:val="20"/>
              </w:rPr>
              <w:t> </w:t>
            </w:r>
            <w:r w:rsidRPr="005C6D0E">
              <w:rPr>
                <w:rFonts w:ascii="Arial" w:hAnsi="Arial" w:cs="Arial"/>
                <w:sz w:val="20"/>
                <w:szCs w:val="20"/>
              </w:rPr>
              <w:t>točke pika nadomesti s podpičjem in doda nova</w:t>
            </w:r>
            <w:r w:rsidR="00707730">
              <w:rPr>
                <w:rFonts w:ascii="Arial" w:hAnsi="Arial" w:cs="Arial"/>
                <w:sz w:val="20"/>
                <w:szCs w:val="20"/>
              </w:rPr>
              <w:t>,</w:t>
            </w:r>
            <w:r w:rsidRPr="005C6D0E">
              <w:rPr>
                <w:rFonts w:ascii="Arial" w:hAnsi="Arial" w:cs="Arial"/>
                <w:sz w:val="20"/>
                <w:szCs w:val="20"/>
              </w:rPr>
              <w:t xml:space="preserve"> </w:t>
            </w:r>
            <w:r>
              <w:rPr>
                <w:rFonts w:ascii="Arial" w:hAnsi="Arial" w:cs="Arial"/>
                <w:sz w:val="20"/>
                <w:szCs w:val="20"/>
              </w:rPr>
              <w:t>6</w:t>
            </w:r>
            <w:r w:rsidRPr="005C6D0E">
              <w:rPr>
                <w:rFonts w:ascii="Arial" w:hAnsi="Arial" w:cs="Arial"/>
                <w:sz w:val="20"/>
                <w:szCs w:val="20"/>
              </w:rPr>
              <w:t>.</w:t>
            </w:r>
            <w:r w:rsidR="00707730">
              <w:rPr>
                <w:rFonts w:ascii="Arial" w:hAnsi="Arial" w:cs="Arial"/>
                <w:sz w:val="20"/>
                <w:szCs w:val="20"/>
              </w:rPr>
              <w:t> </w:t>
            </w:r>
            <w:r w:rsidRPr="005C6D0E">
              <w:rPr>
                <w:rFonts w:ascii="Arial" w:hAnsi="Arial" w:cs="Arial"/>
                <w:sz w:val="20"/>
                <w:szCs w:val="20"/>
              </w:rPr>
              <w:t>točka, ki se glasi:</w:t>
            </w:r>
          </w:p>
          <w:p w14:paraId="6D9EB889" w14:textId="3DB51107" w:rsidR="00B92BBC" w:rsidRDefault="00B92BBC" w:rsidP="00680A87">
            <w:pPr>
              <w:spacing w:after="0" w:line="276" w:lineRule="auto"/>
              <w:contextualSpacing/>
              <w:rPr>
                <w:rFonts w:ascii="Arial" w:hAnsi="Arial" w:cs="Arial"/>
                <w:sz w:val="20"/>
                <w:szCs w:val="20"/>
              </w:rPr>
            </w:pPr>
          </w:p>
          <w:p w14:paraId="2DFBC1F8" w14:textId="0BC6A7FB" w:rsidR="00680A87" w:rsidRDefault="005C6D0E" w:rsidP="00A80384">
            <w:pPr>
              <w:spacing w:after="0" w:line="276" w:lineRule="auto"/>
              <w:contextualSpacing/>
              <w:jc w:val="both"/>
              <w:rPr>
                <w:rFonts w:ascii="Arial" w:hAnsi="Arial" w:cs="Arial"/>
                <w:sz w:val="20"/>
                <w:szCs w:val="20"/>
              </w:rPr>
            </w:pPr>
            <w:r>
              <w:rPr>
                <w:rFonts w:ascii="Arial" w:hAnsi="Arial" w:cs="Arial"/>
                <w:sz w:val="20"/>
                <w:szCs w:val="20"/>
              </w:rPr>
              <w:t xml:space="preserve">»6. </w:t>
            </w:r>
            <w:r w:rsidR="00680A87" w:rsidRPr="00680A87">
              <w:rPr>
                <w:rFonts w:ascii="Arial" w:hAnsi="Arial" w:cs="Arial"/>
                <w:sz w:val="20"/>
                <w:szCs w:val="20"/>
              </w:rPr>
              <w:t>izplačana vrednost delnic ali deležev v primeru odsvojitve delnic ali deležev v okviru pridobivanja lastnih delnic oziroma deležev družbe, razen v primeru, ko družba pridobiva lastne delnice na organiziranem trgu. Davčni zavezanec lahko v skladu z zakonom, ki ureja davčni postopek, uveljavlja zmanjšanje izplačane vrednosti za nabavno vrednost odsvojenih delnic ali deležev, ki se določi v skladu z 98.</w:t>
            </w:r>
            <w:r w:rsidR="002447E3">
              <w:rPr>
                <w:rFonts w:ascii="Arial" w:hAnsi="Arial" w:cs="Arial"/>
                <w:sz w:val="20"/>
                <w:szCs w:val="20"/>
              </w:rPr>
              <w:t> </w:t>
            </w:r>
            <w:r w:rsidR="00680A87" w:rsidRPr="00680A87">
              <w:rPr>
                <w:rFonts w:ascii="Arial" w:hAnsi="Arial" w:cs="Arial"/>
                <w:sz w:val="20"/>
                <w:szCs w:val="20"/>
              </w:rPr>
              <w:t xml:space="preserve">členom tega zakona. </w:t>
            </w:r>
            <w:r w:rsidR="00F45022" w:rsidRPr="00F45022">
              <w:rPr>
                <w:rFonts w:ascii="Arial" w:hAnsi="Arial" w:cs="Arial"/>
                <w:sz w:val="20"/>
                <w:szCs w:val="20"/>
              </w:rPr>
              <w:t xml:space="preserve">Če je dogovorjeno obročno izplačevanje vrednosti delnic ali deležev, se nabavna vrednost porazdeli med obroke sorazmerno njihovi višini. </w:t>
            </w:r>
            <w:r w:rsidR="00680A87" w:rsidRPr="00680A87">
              <w:rPr>
                <w:rFonts w:ascii="Arial" w:hAnsi="Arial" w:cs="Arial"/>
                <w:sz w:val="20"/>
                <w:szCs w:val="20"/>
              </w:rPr>
              <w:t>Če je davčni zavezanec delnice ali deleže družbe pridobival na različne datume, se šteje, da je odsvojil zadnje pridobljene delnice ali deleže. Odsvojitev delnic ali deležev po tej točki ne šteje za odsvojitev kapitala po poglavju</w:t>
            </w:r>
            <w:r w:rsidR="001F5978">
              <w:rPr>
                <w:rFonts w:ascii="Arial" w:hAnsi="Arial" w:cs="Arial"/>
                <w:sz w:val="20"/>
                <w:szCs w:val="20"/>
              </w:rPr>
              <w:t> </w:t>
            </w:r>
            <w:r w:rsidR="00680A87" w:rsidRPr="00680A87">
              <w:rPr>
                <w:rFonts w:ascii="Arial" w:hAnsi="Arial" w:cs="Arial"/>
                <w:sz w:val="20"/>
                <w:szCs w:val="20"/>
              </w:rPr>
              <w:t>III.6.3. tega zakona.</w:t>
            </w:r>
            <w:r w:rsidR="00B62B4C">
              <w:rPr>
                <w:rFonts w:ascii="Arial" w:hAnsi="Arial" w:cs="Arial"/>
                <w:sz w:val="20"/>
                <w:szCs w:val="20"/>
              </w:rPr>
              <w:t>«.</w:t>
            </w:r>
          </w:p>
          <w:p w14:paraId="5F271116" w14:textId="77777777" w:rsidR="008D1040" w:rsidRPr="00B92BBC" w:rsidRDefault="008D1040" w:rsidP="00A80384">
            <w:pPr>
              <w:spacing w:after="0" w:line="276" w:lineRule="auto"/>
              <w:contextualSpacing/>
              <w:jc w:val="both"/>
              <w:rPr>
                <w:rFonts w:ascii="Arial" w:hAnsi="Arial" w:cs="Arial"/>
                <w:sz w:val="20"/>
                <w:szCs w:val="20"/>
              </w:rPr>
            </w:pPr>
          </w:p>
          <w:p w14:paraId="7ACD97E9" w14:textId="77777777" w:rsidR="009458D9" w:rsidRPr="00A03167" w:rsidRDefault="009458D9" w:rsidP="009458D9">
            <w:pPr>
              <w:spacing w:after="0" w:line="276" w:lineRule="auto"/>
              <w:contextualSpacing/>
              <w:jc w:val="both"/>
              <w:rPr>
                <w:rFonts w:ascii="Arial" w:hAnsi="Arial" w:cs="Arial"/>
                <w:sz w:val="20"/>
                <w:szCs w:val="20"/>
              </w:rPr>
            </w:pPr>
          </w:p>
          <w:p w14:paraId="094FB97D" w14:textId="689F1021" w:rsidR="007A3406" w:rsidRDefault="007A3406"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lastRenderedPageBreak/>
              <w:t>člen</w:t>
            </w:r>
          </w:p>
          <w:p w14:paraId="393AB8AD" w14:textId="60817B6A" w:rsidR="007A3406" w:rsidRDefault="007A3406" w:rsidP="007A3406">
            <w:pPr>
              <w:spacing w:line="276" w:lineRule="auto"/>
              <w:contextualSpacing/>
              <w:rPr>
                <w:rFonts w:ascii="Arial" w:hAnsi="Arial" w:cs="Arial"/>
                <w:sz w:val="20"/>
                <w:szCs w:val="20"/>
              </w:rPr>
            </w:pPr>
          </w:p>
          <w:p w14:paraId="1AD41167" w14:textId="01F2259E" w:rsidR="007A3406" w:rsidRPr="007A3406" w:rsidRDefault="007A3406" w:rsidP="007A3406">
            <w:pPr>
              <w:spacing w:line="276" w:lineRule="auto"/>
              <w:contextualSpacing/>
              <w:jc w:val="both"/>
              <w:rPr>
                <w:rFonts w:ascii="Arial" w:hAnsi="Arial" w:cs="Arial"/>
                <w:sz w:val="20"/>
                <w:szCs w:val="20"/>
              </w:rPr>
            </w:pPr>
            <w:r w:rsidRPr="007A3406">
              <w:rPr>
                <w:rFonts w:ascii="Arial" w:hAnsi="Arial" w:cs="Arial"/>
                <w:sz w:val="20"/>
                <w:szCs w:val="20"/>
              </w:rPr>
              <w:t>V 101.</w:t>
            </w:r>
            <w:r w:rsidR="001F5978">
              <w:rPr>
                <w:rFonts w:ascii="Arial" w:hAnsi="Arial" w:cs="Arial"/>
                <w:sz w:val="20"/>
                <w:szCs w:val="20"/>
              </w:rPr>
              <w:t> </w:t>
            </w:r>
            <w:r w:rsidRPr="007A3406">
              <w:rPr>
                <w:rFonts w:ascii="Arial" w:hAnsi="Arial" w:cs="Arial"/>
                <w:sz w:val="20"/>
                <w:szCs w:val="20"/>
              </w:rPr>
              <w:t>členu se za petim odstavkom doda nov, šesti odstavek, ki se glasi:</w:t>
            </w:r>
          </w:p>
          <w:p w14:paraId="55938BCF" w14:textId="77777777" w:rsidR="007A3406" w:rsidRDefault="007A3406" w:rsidP="007A3406">
            <w:pPr>
              <w:spacing w:line="276" w:lineRule="auto"/>
              <w:contextualSpacing/>
              <w:jc w:val="both"/>
              <w:rPr>
                <w:rFonts w:ascii="Arial" w:hAnsi="Arial" w:cs="Arial"/>
                <w:sz w:val="20"/>
                <w:szCs w:val="20"/>
              </w:rPr>
            </w:pPr>
          </w:p>
          <w:p w14:paraId="62687131" w14:textId="011F050F" w:rsidR="007A3406" w:rsidRDefault="007A3406" w:rsidP="007A3406">
            <w:pPr>
              <w:spacing w:line="276" w:lineRule="auto"/>
              <w:contextualSpacing/>
              <w:jc w:val="both"/>
              <w:rPr>
                <w:rFonts w:ascii="Arial" w:hAnsi="Arial" w:cs="Arial"/>
                <w:sz w:val="20"/>
                <w:szCs w:val="20"/>
              </w:rPr>
            </w:pPr>
            <w:r w:rsidRPr="007A3406">
              <w:rPr>
                <w:rFonts w:ascii="Arial" w:hAnsi="Arial" w:cs="Arial"/>
                <w:sz w:val="20"/>
                <w:szCs w:val="20"/>
              </w:rPr>
              <w:t>»(6) Kadar je zavezanec pridobil delnico ali povečani delež oziroma osnovni vložek pri povečanju osnovnega kapitala iz sredstev družbe, se za čas pridobitve tako pridobljene delnice ali pridobljenega povečanega deleža oziroma osnovnega vložka šteje datum sklepa o povečanju osnovnega kapitala.«.</w:t>
            </w:r>
          </w:p>
          <w:p w14:paraId="4591F9A7" w14:textId="4199C2D0" w:rsidR="00B92BBC" w:rsidRDefault="00B92BBC"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t>člen</w:t>
            </w:r>
          </w:p>
          <w:p w14:paraId="1F4F3204" w14:textId="117D1000" w:rsidR="00B92BBC" w:rsidRDefault="00B92BBC" w:rsidP="009458D9">
            <w:pPr>
              <w:spacing w:after="0" w:line="276" w:lineRule="auto"/>
              <w:contextualSpacing/>
              <w:rPr>
                <w:rFonts w:ascii="Arial" w:hAnsi="Arial" w:cs="Arial"/>
                <w:sz w:val="20"/>
                <w:szCs w:val="20"/>
              </w:rPr>
            </w:pPr>
          </w:p>
          <w:p w14:paraId="3AE3376D" w14:textId="292ADBBE" w:rsidR="009D2C43" w:rsidRDefault="005C6D0E" w:rsidP="00680A87">
            <w:pPr>
              <w:spacing w:after="0" w:line="276" w:lineRule="auto"/>
              <w:contextualSpacing/>
              <w:rPr>
                <w:rFonts w:ascii="Arial" w:hAnsi="Arial" w:cs="Arial"/>
                <w:sz w:val="20"/>
                <w:szCs w:val="20"/>
              </w:rPr>
            </w:pPr>
            <w:r>
              <w:rPr>
                <w:rFonts w:ascii="Arial" w:hAnsi="Arial" w:cs="Arial"/>
                <w:sz w:val="20"/>
                <w:szCs w:val="20"/>
              </w:rPr>
              <w:t>V 109.</w:t>
            </w:r>
            <w:r w:rsidR="002447E3">
              <w:rPr>
                <w:rFonts w:ascii="Arial" w:hAnsi="Arial" w:cs="Arial"/>
                <w:sz w:val="20"/>
                <w:szCs w:val="20"/>
              </w:rPr>
              <w:t> </w:t>
            </w:r>
            <w:r>
              <w:rPr>
                <w:rFonts w:ascii="Arial" w:hAnsi="Arial" w:cs="Arial"/>
                <w:sz w:val="20"/>
                <w:szCs w:val="20"/>
              </w:rPr>
              <w:t xml:space="preserve">členu se </w:t>
            </w:r>
            <w:r w:rsidR="009D2C43">
              <w:rPr>
                <w:rFonts w:ascii="Arial" w:hAnsi="Arial" w:cs="Arial"/>
                <w:sz w:val="20"/>
                <w:szCs w:val="20"/>
              </w:rPr>
              <w:t xml:space="preserve">v prvem odstavku </w:t>
            </w:r>
            <w:r w:rsidR="00BF1841">
              <w:rPr>
                <w:rFonts w:ascii="Arial" w:hAnsi="Arial" w:cs="Arial"/>
                <w:sz w:val="20"/>
                <w:szCs w:val="20"/>
              </w:rPr>
              <w:t xml:space="preserve">drugi </w:t>
            </w:r>
            <w:r w:rsidR="009D2C43">
              <w:rPr>
                <w:rFonts w:ascii="Arial" w:hAnsi="Arial" w:cs="Arial"/>
                <w:sz w:val="20"/>
                <w:szCs w:val="20"/>
              </w:rPr>
              <w:t>stavek</w:t>
            </w:r>
            <w:r w:rsidR="00BF1841">
              <w:rPr>
                <w:rFonts w:ascii="Arial" w:hAnsi="Arial" w:cs="Arial"/>
                <w:sz w:val="20"/>
                <w:szCs w:val="20"/>
              </w:rPr>
              <w:t xml:space="preserve"> črta</w:t>
            </w:r>
            <w:r w:rsidR="009D2C43">
              <w:rPr>
                <w:rFonts w:ascii="Arial" w:hAnsi="Arial" w:cs="Arial"/>
                <w:sz w:val="20"/>
                <w:szCs w:val="20"/>
              </w:rPr>
              <w:t xml:space="preserve">. </w:t>
            </w:r>
          </w:p>
          <w:p w14:paraId="4C2379D8" w14:textId="77777777" w:rsidR="009D2C43" w:rsidRDefault="009D2C43" w:rsidP="00680A87">
            <w:pPr>
              <w:spacing w:after="0" w:line="276" w:lineRule="auto"/>
              <w:contextualSpacing/>
              <w:rPr>
                <w:rFonts w:ascii="Arial" w:hAnsi="Arial" w:cs="Arial"/>
                <w:sz w:val="20"/>
                <w:szCs w:val="20"/>
              </w:rPr>
            </w:pPr>
          </w:p>
          <w:p w14:paraId="05DB7881" w14:textId="0043AF6E" w:rsidR="005C6D0E" w:rsidRDefault="009D2C43" w:rsidP="00680A87">
            <w:pPr>
              <w:spacing w:after="0" w:line="276" w:lineRule="auto"/>
              <w:contextualSpacing/>
              <w:rPr>
                <w:rFonts w:ascii="Arial" w:hAnsi="Arial" w:cs="Arial"/>
                <w:sz w:val="20"/>
                <w:szCs w:val="20"/>
              </w:rPr>
            </w:pPr>
            <w:r>
              <w:rPr>
                <w:rFonts w:ascii="Arial" w:hAnsi="Arial" w:cs="Arial"/>
                <w:sz w:val="20"/>
                <w:szCs w:val="20"/>
              </w:rPr>
              <w:t>S</w:t>
            </w:r>
            <w:r w:rsidR="005C6D0E">
              <w:rPr>
                <w:rFonts w:ascii="Arial" w:hAnsi="Arial" w:cs="Arial"/>
                <w:sz w:val="20"/>
                <w:szCs w:val="20"/>
              </w:rPr>
              <w:t xml:space="preserve">edmi odstavek </w:t>
            </w:r>
            <w:r w:rsidR="00F45F1F">
              <w:rPr>
                <w:rFonts w:ascii="Arial" w:hAnsi="Arial" w:cs="Arial"/>
                <w:sz w:val="20"/>
                <w:szCs w:val="20"/>
              </w:rPr>
              <w:t xml:space="preserve">se </w:t>
            </w:r>
            <w:r w:rsidR="005C6D0E">
              <w:rPr>
                <w:rFonts w:ascii="Arial" w:hAnsi="Arial" w:cs="Arial"/>
                <w:sz w:val="20"/>
                <w:szCs w:val="20"/>
              </w:rPr>
              <w:t>spremeni tako, da se glasi:</w:t>
            </w:r>
          </w:p>
          <w:p w14:paraId="589658E1" w14:textId="1ADC8E73" w:rsidR="005C6D0E" w:rsidRDefault="005C6D0E" w:rsidP="00680A87">
            <w:pPr>
              <w:spacing w:after="0" w:line="276" w:lineRule="auto"/>
              <w:contextualSpacing/>
              <w:rPr>
                <w:rFonts w:ascii="Arial" w:hAnsi="Arial" w:cs="Arial"/>
                <w:sz w:val="20"/>
                <w:szCs w:val="20"/>
              </w:rPr>
            </w:pPr>
          </w:p>
          <w:p w14:paraId="1A519C09" w14:textId="315D6770" w:rsidR="005C6D0E" w:rsidRDefault="005C6D0E" w:rsidP="00680A87">
            <w:pPr>
              <w:spacing w:after="0" w:line="276" w:lineRule="auto"/>
              <w:contextualSpacing/>
              <w:jc w:val="both"/>
              <w:rPr>
                <w:rFonts w:ascii="Arial" w:hAnsi="Arial" w:cs="Arial"/>
                <w:sz w:val="20"/>
                <w:szCs w:val="20"/>
              </w:rPr>
            </w:pPr>
            <w:r>
              <w:rPr>
                <w:rFonts w:ascii="Arial" w:hAnsi="Arial" w:cs="Arial"/>
                <w:sz w:val="20"/>
                <w:szCs w:val="20"/>
              </w:rPr>
              <w:t xml:space="preserve">»(7) </w:t>
            </w:r>
            <w:r w:rsidR="00680A87">
              <w:rPr>
                <w:rFonts w:ascii="Arial" w:hAnsi="Arial" w:cs="Arial"/>
                <w:sz w:val="20"/>
                <w:szCs w:val="20"/>
              </w:rPr>
              <w:t>N</w:t>
            </w:r>
            <w:r w:rsidR="00680A87" w:rsidRPr="00680A87">
              <w:rPr>
                <w:rFonts w:ascii="Arial" w:hAnsi="Arial" w:cs="Arial"/>
                <w:sz w:val="20"/>
                <w:szCs w:val="20"/>
              </w:rPr>
              <w:t xml:space="preserve">e glede na prvi odstavek tega člena se v letno davčno osnovo od </w:t>
            </w:r>
            <w:r w:rsidR="00680A87">
              <w:rPr>
                <w:rFonts w:ascii="Arial" w:hAnsi="Arial" w:cs="Arial"/>
                <w:sz w:val="20"/>
                <w:szCs w:val="20"/>
              </w:rPr>
              <w:t>plačila za poslovno uspešnost</w:t>
            </w:r>
            <w:r w:rsidR="00680A87" w:rsidRPr="00680A87">
              <w:rPr>
                <w:rFonts w:ascii="Arial" w:hAnsi="Arial" w:cs="Arial"/>
                <w:sz w:val="20"/>
                <w:szCs w:val="20"/>
              </w:rPr>
              <w:t xml:space="preserve"> všteva vsota tega dohodka, ki presega 100</w:t>
            </w:r>
            <w:r w:rsidR="00037553">
              <w:rPr>
                <w:rFonts w:ascii="Arial" w:hAnsi="Arial" w:cs="Arial"/>
                <w:sz w:val="20"/>
                <w:szCs w:val="20"/>
              </w:rPr>
              <w:t> </w:t>
            </w:r>
            <w:r w:rsidR="00680A87" w:rsidRPr="00680A87">
              <w:rPr>
                <w:rFonts w:ascii="Arial" w:hAnsi="Arial" w:cs="Arial"/>
                <w:sz w:val="20"/>
                <w:szCs w:val="20"/>
              </w:rPr>
              <w:t>% povprečne letne plače zaposlenih v Sloveniji, preračunane na mesec, za leto, za katero se dohodnina odmerja, po podatkih Statističnega urada Republike Slovenije, zmanjšana za sorazmerni del prispevkov za socialno varnost, ki jih mora na podlagi posebnih predpisov plačevati delojemalec, glede na delež teh dohodkov, ki se vštevajo v davčno osnovo. V vsoto iz prejšnjega stavka se ne všteva posamezno izplačilo tega dohodka, za katerega niso izpolnjeni pogoji za davčno obravnavo po 12.</w:t>
            </w:r>
            <w:r w:rsidR="002447E3">
              <w:rPr>
                <w:rFonts w:ascii="Arial" w:hAnsi="Arial" w:cs="Arial"/>
                <w:sz w:val="20"/>
                <w:szCs w:val="20"/>
              </w:rPr>
              <w:t> </w:t>
            </w:r>
            <w:r w:rsidR="00680A87" w:rsidRPr="00680A87">
              <w:rPr>
                <w:rFonts w:ascii="Arial" w:hAnsi="Arial" w:cs="Arial"/>
                <w:sz w:val="20"/>
                <w:szCs w:val="20"/>
              </w:rPr>
              <w:t>točki prvega odstavka 44.</w:t>
            </w:r>
            <w:r w:rsidR="002447E3">
              <w:rPr>
                <w:rFonts w:ascii="Arial" w:hAnsi="Arial" w:cs="Arial"/>
                <w:sz w:val="20"/>
                <w:szCs w:val="20"/>
              </w:rPr>
              <w:t> </w:t>
            </w:r>
            <w:r w:rsidR="00680A87" w:rsidRPr="00680A87">
              <w:rPr>
                <w:rFonts w:ascii="Arial" w:hAnsi="Arial" w:cs="Arial"/>
                <w:sz w:val="20"/>
                <w:szCs w:val="20"/>
              </w:rPr>
              <w:t>člena tega zakona.</w:t>
            </w:r>
            <w:r w:rsidR="00680A87">
              <w:rPr>
                <w:rFonts w:ascii="Arial" w:hAnsi="Arial" w:cs="Arial"/>
                <w:sz w:val="20"/>
                <w:szCs w:val="20"/>
              </w:rPr>
              <w:t>«.</w:t>
            </w:r>
          </w:p>
          <w:p w14:paraId="76A7535F" w14:textId="77777777" w:rsidR="00B92BBC" w:rsidRPr="00B92BBC" w:rsidRDefault="00B92BBC" w:rsidP="00680A87">
            <w:pPr>
              <w:spacing w:after="0" w:line="276" w:lineRule="auto"/>
              <w:contextualSpacing/>
              <w:rPr>
                <w:rFonts w:ascii="Arial" w:hAnsi="Arial" w:cs="Arial"/>
                <w:sz w:val="20"/>
                <w:szCs w:val="20"/>
              </w:rPr>
            </w:pPr>
          </w:p>
          <w:p w14:paraId="0C23555C" w14:textId="4863A8BA" w:rsidR="00B92BBC" w:rsidRDefault="00B92BBC"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t>člen</w:t>
            </w:r>
          </w:p>
          <w:p w14:paraId="16397B23" w14:textId="0C36661D" w:rsidR="00B92BBC" w:rsidRDefault="00B92BBC" w:rsidP="00680A87">
            <w:pPr>
              <w:spacing w:after="0" w:line="276" w:lineRule="auto"/>
              <w:jc w:val="both"/>
              <w:rPr>
                <w:rFonts w:ascii="Arial" w:hAnsi="Arial" w:cs="Arial"/>
                <w:sz w:val="20"/>
                <w:szCs w:val="20"/>
              </w:rPr>
            </w:pPr>
          </w:p>
          <w:p w14:paraId="1F7477A3" w14:textId="66A5FB83" w:rsidR="005C6D0E" w:rsidRDefault="005C6D0E" w:rsidP="00680A87">
            <w:pPr>
              <w:spacing w:after="0"/>
              <w:rPr>
                <w:rFonts w:ascii="Arial" w:hAnsi="Arial" w:cs="Arial"/>
                <w:sz w:val="20"/>
                <w:szCs w:val="20"/>
              </w:rPr>
            </w:pPr>
            <w:r w:rsidRPr="000478DB">
              <w:rPr>
                <w:rFonts w:ascii="Arial" w:hAnsi="Arial" w:cs="Arial"/>
                <w:sz w:val="20"/>
                <w:szCs w:val="20"/>
              </w:rPr>
              <w:t>V 111.</w:t>
            </w:r>
            <w:r w:rsidR="002447E3">
              <w:rPr>
                <w:rFonts w:ascii="Arial" w:hAnsi="Arial" w:cs="Arial"/>
                <w:sz w:val="20"/>
                <w:szCs w:val="20"/>
              </w:rPr>
              <w:t> </w:t>
            </w:r>
            <w:r w:rsidRPr="000478DB">
              <w:rPr>
                <w:rFonts w:ascii="Arial" w:hAnsi="Arial" w:cs="Arial"/>
                <w:sz w:val="20"/>
                <w:szCs w:val="20"/>
              </w:rPr>
              <w:t>členu se v prvem odstavku znesek »</w:t>
            </w:r>
            <w:r w:rsidR="007D0682">
              <w:rPr>
                <w:rFonts w:ascii="Arial" w:hAnsi="Arial" w:cs="Arial"/>
                <w:sz w:val="20"/>
                <w:szCs w:val="20"/>
              </w:rPr>
              <w:t>7</w:t>
            </w:r>
            <w:r w:rsidRPr="000478DB">
              <w:rPr>
                <w:rFonts w:ascii="Arial" w:hAnsi="Arial" w:cs="Arial"/>
                <w:sz w:val="20"/>
                <w:szCs w:val="20"/>
              </w:rPr>
              <w:t>.500</w:t>
            </w:r>
            <w:r w:rsidR="001F5978">
              <w:rPr>
                <w:rFonts w:ascii="Arial" w:hAnsi="Arial" w:cs="Arial"/>
                <w:sz w:val="20"/>
                <w:szCs w:val="20"/>
              </w:rPr>
              <w:t> </w:t>
            </w:r>
            <w:r w:rsidRPr="000478DB">
              <w:rPr>
                <w:rFonts w:ascii="Arial" w:hAnsi="Arial" w:cs="Arial"/>
                <w:sz w:val="20"/>
                <w:szCs w:val="20"/>
              </w:rPr>
              <w:t>eurov« nadomesti z zneskom »</w:t>
            </w:r>
            <w:r w:rsidR="00055AA3" w:rsidRPr="00770284">
              <w:rPr>
                <w:rFonts w:ascii="Arial" w:hAnsi="Arial" w:cs="Arial"/>
                <w:sz w:val="20"/>
                <w:szCs w:val="20"/>
              </w:rPr>
              <w:t>5</w:t>
            </w:r>
            <w:r w:rsidRPr="00770284">
              <w:rPr>
                <w:rFonts w:ascii="Arial" w:hAnsi="Arial" w:cs="Arial"/>
                <w:sz w:val="20"/>
                <w:szCs w:val="20"/>
              </w:rPr>
              <w:t>.</w:t>
            </w:r>
            <w:r w:rsidR="00DE29C8">
              <w:rPr>
                <w:rFonts w:ascii="Arial" w:hAnsi="Arial" w:cs="Arial"/>
                <w:sz w:val="20"/>
                <w:szCs w:val="20"/>
              </w:rPr>
              <w:t>0</w:t>
            </w:r>
            <w:r w:rsidRPr="00770284">
              <w:rPr>
                <w:rFonts w:ascii="Arial" w:hAnsi="Arial" w:cs="Arial"/>
                <w:sz w:val="20"/>
                <w:szCs w:val="20"/>
              </w:rPr>
              <w:t>00</w:t>
            </w:r>
            <w:r w:rsidR="001F5978">
              <w:rPr>
                <w:rFonts w:ascii="Arial" w:hAnsi="Arial" w:cs="Arial"/>
                <w:sz w:val="20"/>
                <w:szCs w:val="20"/>
              </w:rPr>
              <w:t> </w:t>
            </w:r>
            <w:r w:rsidRPr="000478DB">
              <w:rPr>
                <w:rFonts w:ascii="Arial" w:hAnsi="Arial" w:cs="Arial"/>
                <w:sz w:val="20"/>
                <w:szCs w:val="20"/>
              </w:rPr>
              <w:t>eurov«.</w:t>
            </w:r>
          </w:p>
          <w:p w14:paraId="65E7C764" w14:textId="07D93ACC" w:rsidR="00C0583C" w:rsidRDefault="00C0583C" w:rsidP="00680A87">
            <w:pPr>
              <w:spacing w:after="0"/>
              <w:rPr>
                <w:rFonts w:ascii="Arial" w:hAnsi="Arial" w:cs="Arial"/>
                <w:sz w:val="20"/>
                <w:szCs w:val="20"/>
              </w:rPr>
            </w:pPr>
          </w:p>
          <w:p w14:paraId="33B15411" w14:textId="47A2CA53" w:rsidR="00C0583C" w:rsidRDefault="00C0583C" w:rsidP="00680A87">
            <w:pPr>
              <w:spacing w:after="0"/>
              <w:rPr>
                <w:rFonts w:ascii="Arial" w:hAnsi="Arial" w:cs="Arial"/>
                <w:sz w:val="20"/>
                <w:szCs w:val="20"/>
              </w:rPr>
            </w:pPr>
            <w:r>
              <w:rPr>
                <w:rFonts w:ascii="Arial" w:hAnsi="Arial" w:cs="Arial"/>
                <w:sz w:val="20"/>
                <w:szCs w:val="20"/>
              </w:rPr>
              <w:t>V tretjem odstavku se znesek »13.316,83</w:t>
            </w:r>
            <w:r w:rsidR="001F5978">
              <w:rPr>
                <w:rFonts w:ascii="Arial" w:hAnsi="Arial" w:cs="Arial"/>
                <w:sz w:val="20"/>
                <w:szCs w:val="20"/>
              </w:rPr>
              <w:t> </w:t>
            </w:r>
            <w:r>
              <w:rPr>
                <w:rFonts w:ascii="Arial" w:hAnsi="Arial" w:cs="Arial"/>
                <w:sz w:val="20"/>
                <w:szCs w:val="20"/>
              </w:rPr>
              <w:t>eurov« nadomesti z zneskom »1</w:t>
            </w:r>
            <w:r w:rsidR="00152B2F">
              <w:rPr>
                <w:rFonts w:ascii="Arial" w:hAnsi="Arial" w:cs="Arial"/>
                <w:sz w:val="20"/>
                <w:szCs w:val="20"/>
              </w:rPr>
              <w:t>6</w:t>
            </w:r>
            <w:r>
              <w:rPr>
                <w:rFonts w:ascii="Arial" w:hAnsi="Arial" w:cs="Arial"/>
                <w:sz w:val="20"/>
                <w:szCs w:val="20"/>
              </w:rPr>
              <w:t>.000</w:t>
            </w:r>
            <w:r w:rsidR="001F5978">
              <w:rPr>
                <w:rFonts w:ascii="Arial" w:hAnsi="Arial" w:cs="Arial"/>
                <w:sz w:val="20"/>
                <w:szCs w:val="20"/>
              </w:rPr>
              <w:t> </w:t>
            </w:r>
            <w:r>
              <w:rPr>
                <w:rFonts w:ascii="Arial" w:hAnsi="Arial" w:cs="Arial"/>
                <w:sz w:val="20"/>
                <w:szCs w:val="20"/>
              </w:rPr>
              <w:t xml:space="preserve">eurov« in besedilo </w:t>
            </w:r>
            <w:r w:rsidR="000541D1" w:rsidRPr="00103113">
              <w:rPr>
                <w:rFonts w:ascii="Arial" w:hAnsi="Arial" w:cs="Arial"/>
                <w:sz w:val="20"/>
                <w:szCs w:val="20"/>
              </w:rPr>
              <w:t>»zmanjšanje = 18.700,</w:t>
            </w:r>
            <w:r w:rsidR="00BB5B9E">
              <w:rPr>
                <w:rFonts w:ascii="Arial" w:hAnsi="Arial" w:cs="Arial"/>
                <w:sz w:val="20"/>
                <w:szCs w:val="20"/>
              </w:rPr>
              <w:t>38</w:t>
            </w:r>
            <w:r w:rsidR="001F5978">
              <w:rPr>
                <w:rFonts w:ascii="Arial" w:hAnsi="Arial" w:cs="Arial"/>
                <w:sz w:val="20"/>
                <w:szCs w:val="20"/>
              </w:rPr>
              <w:t> </w:t>
            </w:r>
            <w:r w:rsidR="00BB5B9E">
              <w:rPr>
                <w:rFonts w:ascii="Arial" w:hAnsi="Arial" w:cs="Arial"/>
                <w:sz w:val="20"/>
                <w:szCs w:val="20"/>
              </w:rPr>
              <w:t xml:space="preserve">eura </w:t>
            </w:r>
            <w:r w:rsidR="000541D1" w:rsidRPr="00103113">
              <w:rPr>
                <w:rFonts w:ascii="Arial" w:hAnsi="Arial" w:cs="Arial"/>
                <w:sz w:val="20"/>
                <w:szCs w:val="20"/>
              </w:rPr>
              <w:t xml:space="preserve">– 1,40427 x skupni dohodek« </w:t>
            </w:r>
            <w:r w:rsidR="00517A17" w:rsidRPr="00103113">
              <w:rPr>
                <w:rFonts w:ascii="Arial" w:hAnsi="Arial" w:cs="Arial"/>
                <w:sz w:val="20"/>
                <w:szCs w:val="20"/>
              </w:rPr>
              <w:t xml:space="preserve">nadomesti </w:t>
            </w:r>
            <w:r w:rsidR="000541D1" w:rsidRPr="002C3767">
              <w:rPr>
                <w:rFonts w:ascii="Arial" w:hAnsi="Arial" w:cs="Arial"/>
                <w:sz w:val="20"/>
                <w:szCs w:val="20"/>
              </w:rPr>
              <w:t>z bese</w:t>
            </w:r>
            <w:r w:rsidR="000541D1" w:rsidRPr="00A565E6">
              <w:rPr>
                <w:rFonts w:ascii="Arial" w:hAnsi="Arial" w:cs="Arial"/>
                <w:sz w:val="20"/>
                <w:szCs w:val="20"/>
              </w:rPr>
              <w:t>dilom »</w:t>
            </w:r>
            <w:r w:rsidR="00770284" w:rsidRPr="00770284">
              <w:rPr>
                <w:rFonts w:ascii="Arial" w:hAnsi="Arial" w:cs="Arial"/>
                <w:sz w:val="20"/>
                <w:szCs w:val="20"/>
              </w:rPr>
              <w:t>zmanjšanje =</w:t>
            </w:r>
            <w:r w:rsidR="00770284" w:rsidRPr="00770284" w:rsidDel="003B1C1E">
              <w:rPr>
                <w:rFonts w:ascii="Arial" w:hAnsi="Arial" w:cs="Arial"/>
                <w:sz w:val="20"/>
                <w:szCs w:val="20"/>
              </w:rPr>
              <w:t xml:space="preserve"> </w:t>
            </w:r>
            <w:r w:rsidR="003B1C1E" w:rsidRPr="003B1C1E">
              <w:rPr>
                <w:rFonts w:ascii="Arial" w:hAnsi="Arial" w:cs="Arial"/>
                <w:sz w:val="20"/>
                <w:szCs w:val="20"/>
              </w:rPr>
              <w:t>1</w:t>
            </w:r>
            <w:r w:rsidR="0006009A">
              <w:rPr>
                <w:rFonts w:ascii="Arial" w:hAnsi="Arial" w:cs="Arial"/>
                <w:sz w:val="20"/>
                <w:szCs w:val="20"/>
              </w:rPr>
              <w:t>8</w:t>
            </w:r>
            <w:r w:rsidR="003B1C1E" w:rsidRPr="003B1C1E">
              <w:rPr>
                <w:rFonts w:ascii="Arial" w:hAnsi="Arial" w:cs="Arial"/>
                <w:sz w:val="20"/>
                <w:szCs w:val="20"/>
              </w:rPr>
              <w:t>.</w:t>
            </w:r>
            <w:r w:rsidR="0006009A">
              <w:rPr>
                <w:rFonts w:ascii="Arial" w:hAnsi="Arial" w:cs="Arial"/>
                <w:sz w:val="20"/>
                <w:szCs w:val="20"/>
              </w:rPr>
              <w:t>7</w:t>
            </w:r>
            <w:r w:rsidR="003B1C1E" w:rsidRPr="003B1C1E">
              <w:rPr>
                <w:rFonts w:ascii="Arial" w:hAnsi="Arial" w:cs="Arial"/>
                <w:sz w:val="20"/>
                <w:szCs w:val="20"/>
              </w:rPr>
              <w:t>61,</w:t>
            </w:r>
            <w:r w:rsidR="0006009A">
              <w:rPr>
                <w:rFonts w:ascii="Arial" w:hAnsi="Arial" w:cs="Arial"/>
                <w:sz w:val="20"/>
                <w:szCs w:val="20"/>
              </w:rPr>
              <w:t>4</w:t>
            </w:r>
            <w:r w:rsidR="003B1C1E" w:rsidRPr="003B1C1E">
              <w:rPr>
                <w:rFonts w:ascii="Arial" w:hAnsi="Arial" w:cs="Arial"/>
                <w:sz w:val="20"/>
                <w:szCs w:val="20"/>
              </w:rPr>
              <w:t>0</w:t>
            </w:r>
            <w:r w:rsidR="001F5978">
              <w:rPr>
                <w:rFonts w:ascii="Arial" w:hAnsi="Arial" w:cs="Arial"/>
                <w:sz w:val="20"/>
                <w:szCs w:val="20"/>
              </w:rPr>
              <w:t> </w:t>
            </w:r>
            <w:r w:rsidR="00BB5B9E">
              <w:rPr>
                <w:rFonts w:ascii="Arial" w:hAnsi="Arial" w:cs="Arial"/>
                <w:sz w:val="20"/>
                <w:szCs w:val="20"/>
              </w:rPr>
              <w:t>eura</w:t>
            </w:r>
            <w:r w:rsidR="003B1C1E" w:rsidRPr="003B1C1E">
              <w:rPr>
                <w:rFonts w:ascii="Arial" w:hAnsi="Arial" w:cs="Arial"/>
                <w:sz w:val="20"/>
                <w:szCs w:val="20"/>
              </w:rPr>
              <w:t xml:space="preserve"> </w:t>
            </w:r>
            <w:r w:rsidR="001F5978">
              <w:rPr>
                <w:rFonts w:ascii="Arial" w:hAnsi="Arial" w:cs="Arial"/>
                <w:sz w:val="20"/>
                <w:szCs w:val="20"/>
              </w:rPr>
              <w:t>–</w:t>
            </w:r>
            <w:r w:rsidR="003B1C1E" w:rsidRPr="003B1C1E">
              <w:rPr>
                <w:rFonts w:ascii="Arial" w:hAnsi="Arial" w:cs="Arial"/>
                <w:sz w:val="20"/>
                <w:szCs w:val="20"/>
              </w:rPr>
              <w:t xml:space="preserve"> 1,</w:t>
            </w:r>
            <w:r w:rsidR="0055707C" w:rsidRPr="0055707C">
              <w:rPr>
                <w:rFonts w:ascii="Arial" w:hAnsi="Arial" w:cs="Arial"/>
                <w:sz w:val="20"/>
                <w:szCs w:val="20"/>
              </w:rPr>
              <w:t>17259</w:t>
            </w:r>
            <w:r w:rsidR="003B1C1E" w:rsidRPr="003B1C1E">
              <w:rPr>
                <w:rFonts w:ascii="Arial" w:hAnsi="Arial" w:cs="Arial"/>
                <w:sz w:val="20"/>
                <w:szCs w:val="20"/>
              </w:rPr>
              <w:t xml:space="preserve"> x skupni dohodek.</w:t>
            </w:r>
            <w:r w:rsidR="000541D1" w:rsidRPr="00517A17">
              <w:rPr>
                <w:rFonts w:ascii="Arial" w:hAnsi="Arial" w:cs="Arial"/>
                <w:sz w:val="20"/>
                <w:szCs w:val="20"/>
              </w:rPr>
              <w:t>«.</w:t>
            </w:r>
            <w:r w:rsidR="005F7B41">
              <w:t xml:space="preserve"> </w:t>
            </w:r>
          </w:p>
          <w:p w14:paraId="5A7554EC" w14:textId="6247CC81" w:rsidR="009D2C43" w:rsidRDefault="009D2C43" w:rsidP="00680A87">
            <w:pPr>
              <w:spacing w:after="0"/>
              <w:rPr>
                <w:rFonts w:ascii="Arial" w:hAnsi="Arial" w:cs="Arial"/>
                <w:sz w:val="20"/>
                <w:szCs w:val="20"/>
              </w:rPr>
            </w:pPr>
          </w:p>
          <w:p w14:paraId="777D6AD8" w14:textId="770F928C" w:rsidR="009D2C43" w:rsidRDefault="009D2C43" w:rsidP="00680A87">
            <w:pPr>
              <w:spacing w:after="0"/>
              <w:rPr>
                <w:rFonts w:ascii="Arial" w:hAnsi="Arial" w:cs="Arial"/>
                <w:sz w:val="20"/>
                <w:szCs w:val="20"/>
              </w:rPr>
            </w:pPr>
            <w:r>
              <w:rPr>
                <w:rFonts w:ascii="Arial" w:hAnsi="Arial" w:cs="Arial"/>
                <w:sz w:val="20"/>
                <w:szCs w:val="20"/>
              </w:rPr>
              <w:t>Šesti odstavek se črta.</w:t>
            </w:r>
          </w:p>
          <w:p w14:paraId="7852192F" w14:textId="77777777" w:rsidR="007D0682" w:rsidRPr="000478DB" w:rsidRDefault="007D0682" w:rsidP="00680A87">
            <w:pPr>
              <w:spacing w:after="0"/>
              <w:rPr>
                <w:rFonts w:ascii="Arial" w:hAnsi="Arial" w:cs="Arial"/>
                <w:sz w:val="20"/>
                <w:szCs w:val="20"/>
              </w:rPr>
            </w:pPr>
          </w:p>
          <w:p w14:paraId="08B4C14C" w14:textId="4B38B236" w:rsidR="00817D13" w:rsidRDefault="00817D13"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t>člen</w:t>
            </w:r>
          </w:p>
          <w:p w14:paraId="3FDFFAC7" w14:textId="0EA48CD2" w:rsidR="002C6D8F" w:rsidRDefault="002C6D8F" w:rsidP="000E088E">
            <w:pPr>
              <w:spacing w:after="0" w:line="276" w:lineRule="auto"/>
              <w:contextualSpacing/>
              <w:jc w:val="both"/>
              <w:rPr>
                <w:rFonts w:ascii="Arial" w:hAnsi="Arial" w:cs="Arial"/>
                <w:sz w:val="20"/>
                <w:szCs w:val="20"/>
              </w:rPr>
            </w:pPr>
          </w:p>
          <w:p w14:paraId="59BB16AD" w14:textId="59199636" w:rsidR="002C6D8F" w:rsidRDefault="00D445DC" w:rsidP="000E088E">
            <w:pPr>
              <w:spacing w:after="0" w:line="276" w:lineRule="auto"/>
              <w:contextualSpacing/>
              <w:jc w:val="both"/>
              <w:rPr>
                <w:rFonts w:ascii="Arial" w:hAnsi="Arial" w:cs="Arial"/>
                <w:sz w:val="20"/>
                <w:szCs w:val="20"/>
              </w:rPr>
            </w:pPr>
            <w:r>
              <w:rPr>
                <w:rFonts w:ascii="Arial" w:hAnsi="Arial" w:cs="Arial"/>
                <w:sz w:val="20"/>
                <w:szCs w:val="20"/>
              </w:rPr>
              <w:t>V</w:t>
            </w:r>
            <w:r w:rsidR="002C6D8F">
              <w:rPr>
                <w:rFonts w:ascii="Arial" w:hAnsi="Arial" w:cs="Arial"/>
                <w:sz w:val="20"/>
                <w:szCs w:val="20"/>
              </w:rPr>
              <w:t xml:space="preserve"> 113.</w:t>
            </w:r>
            <w:r w:rsidR="001F5978">
              <w:rPr>
                <w:rFonts w:ascii="Arial" w:hAnsi="Arial" w:cs="Arial"/>
                <w:sz w:val="20"/>
                <w:szCs w:val="20"/>
              </w:rPr>
              <w:t> </w:t>
            </w:r>
            <w:r w:rsidR="002C6D8F">
              <w:rPr>
                <w:rFonts w:ascii="Arial" w:hAnsi="Arial" w:cs="Arial"/>
                <w:sz w:val="20"/>
                <w:szCs w:val="20"/>
              </w:rPr>
              <w:t xml:space="preserve">členu se za </w:t>
            </w:r>
            <w:r w:rsidR="00BB5B9E">
              <w:rPr>
                <w:rFonts w:ascii="Arial" w:hAnsi="Arial" w:cs="Arial"/>
                <w:sz w:val="20"/>
                <w:szCs w:val="20"/>
              </w:rPr>
              <w:t xml:space="preserve">črtanim </w:t>
            </w:r>
            <w:r w:rsidR="002C6D8F">
              <w:rPr>
                <w:rFonts w:ascii="Arial" w:hAnsi="Arial" w:cs="Arial"/>
                <w:sz w:val="20"/>
                <w:szCs w:val="20"/>
              </w:rPr>
              <w:t>petim odstavkom</w:t>
            </w:r>
            <w:r w:rsidR="00C0583C">
              <w:rPr>
                <w:rFonts w:ascii="Arial" w:hAnsi="Arial" w:cs="Arial"/>
                <w:sz w:val="20"/>
                <w:szCs w:val="20"/>
              </w:rPr>
              <w:t xml:space="preserve"> </w:t>
            </w:r>
            <w:r w:rsidR="002C6D8F">
              <w:rPr>
                <w:rFonts w:ascii="Arial" w:hAnsi="Arial" w:cs="Arial"/>
                <w:sz w:val="20"/>
                <w:szCs w:val="20"/>
              </w:rPr>
              <w:t>doda nov</w:t>
            </w:r>
            <w:r w:rsidR="00C0583C">
              <w:rPr>
                <w:rFonts w:ascii="Arial" w:hAnsi="Arial" w:cs="Arial"/>
                <w:sz w:val="20"/>
                <w:szCs w:val="20"/>
              </w:rPr>
              <w:t>,</w:t>
            </w:r>
            <w:r w:rsidR="002C6D8F">
              <w:rPr>
                <w:rFonts w:ascii="Arial" w:hAnsi="Arial" w:cs="Arial"/>
                <w:sz w:val="20"/>
                <w:szCs w:val="20"/>
              </w:rPr>
              <w:t xml:space="preserve"> šesti odstavek, ki se glasi: </w:t>
            </w:r>
          </w:p>
          <w:p w14:paraId="21A20E12" w14:textId="6102824F" w:rsidR="002C6D8F" w:rsidRDefault="002C6D8F" w:rsidP="000E088E">
            <w:pPr>
              <w:spacing w:after="0" w:line="276" w:lineRule="auto"/>
              <w:contextualSpacing/>
              <w:jc w:val="both"/>
              <w:rPr>
                <w:rFonts w:ascii="Arial" w:hAnsi="Arial" w:cs="Arial"/>
                <w:sz w:val="20"/>
                <w:szCs w:val="20"/>
              </w:rPr>
            </w:pPr>
          </w:p>
          <w:p w14:paraId="4777CDFA" w14:textId="4BB1BEB1" w:rsidR="00AA7020" w:rsidRDefault="002C6D8F" w:rsidP="00055AA3">
            <w:pPr>
              <w:spacing w:after="0" w:line="276" w:lineRule="auto"/>
              <w:contextualSpacing/>
              <w:jc w:val="both"/>
              <w:rPr>
                <w:rFonts w:ascii="Arial" w:hAnsi="Arial" w:cs="Arial"/>
                <w:sz w:val="20"/>
                <w:szCs w:val="20"/>
              </w:rPr>
            </w:pPr>
            <w:r>
              <w:rPr>
                <w:rFonts w:ascii="Arial" w:hAnsi="Arial" w:cs="Arial"/>
                <w:sz w:val="20"/>
                <w:szCs w:val="20"/>
              </w:rPr>
              <w:t>»</w:t>
            </w:r>
            <w:r w:rsidR="00C12473">
              <w:rPr>
                <w:rFonts w:ascii="Arial" w:hAnsi="Arial" w:cs="Arial"/>
                <w:sz w:val="20"/>
                <w:szCs w:val="20"/>
              </w:rPr>
              <w:t>(</w:t>
            </w:r>
            <w:r w:rsidR="00C12473" w:rsidRPr="00770284">
              <w:rPr>
                <w:rFonts w:ascii="Arial" w:hAnsi="Arial" w:cs="Arial"/>
                <w:sz w:val="20"/>
                <w:szCs w:val="20"/>
              </w:rPr>
              <w:t xml:space="preserve">6) </w:t>
            </w:r>
            <w:r w:rsidRPr="001732DB">
              <w:rPr>
                <w:rFonts w:ascii="Arial" w:hAnsi="Arial" w:cs="Arial"/>
                <w:sz w:val="20"/>
                <w:szCs w:val="20"/>
              </w:rPr>
              <w:t>Rez</w:t>
            </w:r>
            <w:r w:rsidRPr="00A07D4C">
              <w:rPr>
                <w:rFonts w:ascii="Arial" w:hAnsi="Arial" w:cs="Arial"/>
                <w:sz w:val="20"/>
                <w:szCs w:val="20"/>
              </w:rPr>
              <w:t xml:space="preserve">identu, prejemniku dohodka iz delovnega razmerja, se do dopolnjenega </w:t>
            </w:r>
            <w:r w:rsidR="00E80E35">
              <w:rPr>
                <w:rFonts w:ascii="Arial" w:hAnsi="Arial" w:cs="Arial"/>
                <w:sz w:val="20"/>
                <w:szCs w:val="20"/>
              </w:rPr>
              <w:t>2</w:t>
            </w:r>
            <w:r w:rsidR="00CB6AA4">
              <w:rPr>
                <w:rFonts w:ascii="Arial" w:hAnsi="Arial" w:cs="Arial"/>
                <w:sz w:val="20"/>
                <w:szCs w:val="20"/>
              </w:rPr>
              <w:t>9</w:t>
            </w:r>
            <w:r w:rsidR="00E80E35">
              <w:rPr>
                <w:rFonts w:ascii="Arial" w:hAnsi="Arial" w:cs="Arial"/>
                <w:sz w:val="20"/>
                <w:szCs w:val="20"/>
              </w:rPr>
              <w:t>.</w:t>
            </w:r>
            <w:r w:rsidR="001F5978">
              <w:rPr>
                <w:rFonts w:ascii="Arial" w:hAnsi="Arial" w:cs="Arial"/>
                <w:sz w:val="20"/>
                <w:szCs w:val="20"/>
              </w:rPr>
              <w:t> </w:t>
            </w:r>
            <w:r w:rsidRPr="00B61FD4">
              <w:rPr>
                <w:rFonts w:ascii="Arial" w:hAnsi="Arial" w:cs="Arial"/>
                <w:sz w:val="20"/>
                <w:szCs w:val="20"/>
              </w:rPr>
              <w:t>leta starosti</w:t>
            </w:r>
            <w:r w:rsidR="00E80E35">
              <w:rPr>
                <w:rFonts w:ascii="Arial" w:hAnsi="Arial" w:cs="Arial"/>
                <w:sz w:val="20"/>
                <w:szCs w:val="20"/>
              </w:rPr>
              <w:t>, vključno z letom, v katerem dopolni</w:t>
            </w:r>
            <w:r w:rsidRPr="00B61FD4">
              <w:rPr>
                <w:rFonts w:ascii="Arial" w:hAnsi="Arial" w:cs="Arial"/>
                <w:sz w:val="20"/>
                <w:szCs w:val="20"/>
              </w:rPr>
              <w:t xml:space="preserve"> </w:t>
            </w:r>
            <w:r w:rsidR="00E80E35">
              <w:rPr>
                <w:rFonts w:ascii="Arial" w:hAnsi="Arial" w:cs="Arial"/>
                <w:sz w:val="20"/>
                <w:szCs w:val="20"/>
              </w:rPr>
              <w:t>2</w:t>
            </w:r>
            <w:r w:rsidR="00D417E2">
              <w:rPr>
                <w:rFonts w:ascii="Arial" w:hAnsi="Arial" w:cs="Arial"/>
                <w:sz w:val="20"/>
                <w:szCs w:val="20"/>
              </w:rPr>
              <w:t>9</w:t>
            </w:r>
            <w:r w:rsidR="001F5978">
              <w:rPr>
                <w:rFonts w:ascii="Arial" w:hAnsi="Arial" w:cs="Arial"/>
                <w:sz w:val="20"/>
                <w:szCs w:val="20"/>
              </w:rPr>
              <w:t> </w:t>
            </w:r>
            <w:r w:rsidR="00E80E35">
              <w:rPr>
                <w:rFonts w:ascii="Arial" w:hAnsi="Arial" w:cs="Arial"/>
                <w:sz w:val="20"/>
                <w:szCs w:val="20"/>
              </w:rPr>
              <w:t>let starosti</w:t>
            </w:r>
            <w:r w:rsidR="005F37F4">
              <w:rPr>
                <w:rFonts w:ascii="Arial" w:hAnsi="Arial" w:cs="Arial"/>
                <w:sz w:val="20"/>
                <w:szCs w:val="20"/>
              </w:rPr>
              <w:t xml:space="preserve">, </w:t>
            </w:r>
            <w:r w:rsidRPr="00B61FD4">
              <w:rPr>
                <w:rFonts w:ascii="Arial" w:hAnsi="Arial" w:cs="Arial"/>
                <w:sz w:val="20"/>
                <w:szCs w:val="20"/>
              </w:rPr>
              <w:t>prizna zmanjšanje davčne osnove od dohodka iz delovnega razmerja v znesku 1.</w:t>
            </w:r>
            <w:r w:rsidR="005F37F4">
              <w:rPr>
                <w:rFonts w:ascii="Arial" w:hAnsi="Arial" w:cs="Arial"/>
                <w:sz w:val="20"/>
                <w:szCs w:val="20"/>
              </w:rPr>
              <w:t>0</w:t>
            </w:r>
            <w:r w:rsidRPr="00770284">
              <w:rPr>
                <w:rFonts w:ascii="Arial" w:hAnsi="Arial" w:cs="Arial"/>
                <w:sz w:val="20"/>
                <w:szCs w:val="20"/>
              </w:rPr>
              <w:t>00</w:t>
            </w:r>
            <w:r w:rsidR="001F5978">
              <w:rPr>
                <w:rFonts w:ascii="Arial" w:hAnsi="Arial" w:cs="Arial"/>
                <w:sz w:val="20"/>
                <w:szCs w:val="20"/>
              </w:rPr>
              <w:t> </w:t>
            </w:r>
            <w:r w:rsidRPr="001732DB">
              <w:rPr>
                <w:rFonts w:ascii="Arial" w:hAnsi="Arial" w:cs="Arial"/>
                <w:sz w:val="20"/>
                <w:szCs w:val="20"/>
              </w:rPr>
              <w:t>e</w:t>
            </w:r>
            <w:r w:rsidRPr="000E088E">
              <w:rPr>
                <w:rFonts w:ascii="Arial" w:hAnsi="Arial" w:cs="Arial"/>
                <w:sz w:val="20"/>
                <w:szCs w:val="20"/>
              </w:rPr>
              <w:t>urov</w:t>
            </w:r>
            <w:r w:rsidR="00A722D9">
              <w:rPr>
                <w:rFonts w:ascii="Arial" w:hAnsi="Arial" w:cs="Arial"/>
                <w:sz w:val="20"/>
                <w:szCs w:val="20"/>
              </w:rPr>
              <w:t xml:space="preserve"> letno. Olajšava se prizna sorazmerno glede na število mesecev </w:t>
            </w:r>
            <w:r w:rsidR="00692866">
              <w:rPr>
                <w:rFonts w:ascii="Arial" w:hAnsi="Arial" w:cs="Arial"/>
                <w:sz w:val="20"/>
                <w:szCs w:val="20"/>
              </w:rPr>
              <w:t>delovnega razmerja</w:t>
            </w:r>
            <w:r w:rsidR="00A722D9">
              <w:rPr>
                <w:rFonts w:ascii="Arial" w:hAnsi="Arial" w:cs="Arial"/>
                <w:sz w:val="20"/>
                <w:szCs w:val="20"/>
              </w:rPr>
              <w:t xml:space="preserve"> v posameznem davčnem letu, pri čemer se upošteva vsak polni mesec zaposlitve.«.</w:t>
            </w:r>
          </w:p>
          <w:p w14:paraId="6F68A284" w14:textId="77777777" w:rsidR="00055AA3" w:rsidRPr="005C6D0E" w:rsidRDefault="00055AA3" w:rsidP="000E088E">
            <w:pPr>
              <w:spacing w:after="0" w:line="276" w:lineRule="auto"/>
              <w:contextualSpacing/>
              <w:jc w:val="both"/>
              <w:rPr>
                <w:rFonts w:ascii="Arial" w:hAnsi="Arial" w:cs="Arial"/>
                <w:sz w:val="20"/>
                <w:szCs w:val="20"/>
              </w:rPr>
            </w:pPr>
          </w:p>
          <w:p w14:paraId="70BE7BA7" w14:textId="7CED6862" w:rsidR="007D0682" w:rsidRDefault="005C6D0E"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t>člen</w:t>
            </w:r>
          </w:p>
          <w:p w14:paraId="16AB8091" w14:textId="27B897AA" w:rsidR="007D0682" w:rsidRDefault="007D0682" w:rsidP="00680A87">
            <w:pPr>
              <w:spacing w:after="0" w:line="276" w:lineRule="auto"/>
              <w:contextualSpacing/>
              <w:jc w:val="both"/>
              <w:rPr>
                <w:rFonts w:ascii="Arial" w:hAnsi="Arial" w:cs="Arial"/>
                <w:sz w:val="20"/>
                <w:szCs w:val="20"/>
              </w:rPr>
            </w:pPr>
          </w:p>
          <w:p w14:paraId="6F9F199D" w14:textId="116FF7E3" w:rsidR="007D0682" w:rsidRDefault="007D0682" w:rsidP="00680A87">
            <w:pPr>
              <w:spacing w:after="0" w:line="276" w:lineRule="auto"/>
              <w:contextualSpacing/>
              <w:jc w:val="both"/>
              <w:rPr>
                <w:rFonts w:ascii="Arial" w:hAnsi="Arial" w:cs="Arial"/>
                <w:sz w:val="20"/>
                <w:szCs w:val="20"/>
              </w:rPr>
            </w:pPr>
            <w:r w:rsidRPr="007D0682">
              <w:rPr>
                <w:rFonts w:ascii="Arial" w:hAnsi="Arial" w:cs="Arial"/>
                <w:sz w:val="20"/>
                <w:szCs w:val="20"/>
              </w:rPr>
              <w:t>Besedilo 118.</w:t>
            </w:r>
            <w:r w:rsidR="00854D24">
              <w:rPr>
                <w:rFonts w:ascii="Arial" w:hAnsi="Arial" w:cs="Arial"/>
                <w:sz w:val="20"/>
                <w:szCs w:val="20"/>
              </w:rPr>
              <w:t> </w:t>
            </w:r>
            <w:r w:rsidRPr="007D0682">
              <w:rPr>
                <w:rFonts w:ascii="Arial" w:hAnsi="Arial" w:cs="Arial"/>
                <w:sz w:val="20"/>
                <w:szCs w:val="20"/>
              </w:rPr>
              <w:t>člena se spremeni tako, da se glasi:</w:t>
            </w:r>
          </w:p>
          <w:p w14:paraId="4920FCFC" w14:textId="11963441" w:rsidR="007D0682" w:rsidRDefault="007D0682" w:rsidP="00680A87">
            <w:pPr>
              <w:spacing w:after="0" w:line="276" w:lineRule="auto"/>
              <w:contextualSpacing/>
              <w:jc w:val="both"/>
              <w:rPr>
                <w:rFonts w:ascii="Arial" w:hAnsi="Arial" w:cs="Arial"/>
                <w:sz w:val="20"/>
                <w:szCs w:val="20"/>
              </w:rPr>
            </w:pPr>
          </w:p>
          <w:p w14:paraId="2C6BE8AD" w14:textId="1788FC77" w:rsidR="00FA004D" w:rsidRPr="00FA004D" w:rsidRDefault="00FA004D" w:rsidP="00680A87">
            <w:pPr>
              <w:spacing w:after="0" w:line="276" w:lineRule="auto"/>
              <w:contextualSpacing/>
              <w:jc w:val="both"/>
              <w:rPr>
                <w:rFonts w:ascii="Arial" w:hAnsi="Arial" w:cs="Arial"/>
                <w:sz w:val="20"/>
                <w:szCs w:val="20"/>
              </w:rPr>
            </w:pPr>
            <w:r>
              <w:rPr>
                <w:rFonts w:ascii="Arial" w:hAnsi="Arial" w:cs="Arial"/>
                <w:sz w:val="20"/>
                <w:szCs w:val="20"/>
              </w:rPr>
              <w:t xml:space="preserve">»(1) </w:t>
            </w:r>
            <w:r w:rsidRPr="00FA004D">
              <w:rPr>
                <w:rFonts w:ascii="Arial" w:hAnsi="Arial" w:cs="Arial"/>
                <w:sz w:val="20"/>
                <w:szCs w:val="20"/>
              </w:rPr>
              <w:t xml:space="preserve">Z zakonom, ki ureja izvrševanje proračuna, se </w:t>
            </w:r>
            <w:r w:rsidR="00D85A71">
              <w:rPr>
                <w:rFonts w:ascii="Arial" w:hAnsi="Arial" w:cs="Arial"/>
                <w:sz w:val="20"/>
                <w:szCs w:val="20"/>
              </w:rPr>
              <w:t>ob</w:t>
            </w:r>
            <w:r w:rsidR="007F0C56">
              <w:rPr>
                <w:rFonts w:ascii="Arial" w:hAnsi="Arial" w:cs="Arial"/>
                <w:sz w:val="20"/>
                <w:szCs w:val="20"/>
              </w:rPr>
              <w:t xml:space="preserve"> </w:t>
            </w:r>
            <w:r w:rsidRPr="00FA004D">
              <w:rPr>
                <w:rFonts w:ascii="Arial" w:hAnsi="Arial" w:cs="Arial"/>
                <w:sz w:val="20"/>
                <w:szCs w:val="20"/>
              </w:rPr>
              <w:t>upošteva</w:t>
            </w:r>
            <w:r w:rsidR="007F0C56">
              <w:rPr>
                <w:rFonts w:ascii="Arial" w:hAnsi="Arial" w:cs="Arial"/>
                <w:sz w:val="20"/>
                <w:szCs w:val="20"/>
              </w:rPr>
              <w:t>n</w:t>
            </w:r>
            <w:r w:rsidRPr="00FA004D">
              <w:rPr>
                <w:rFonts w:ascii="Arial" w:hAnsi="Arial" w:cs="Arial"/>
                <w:sz w:val="20"/>
                <w:szCs w:val="20"/>
              </w:rPr>
              <w:t>j</w:t>
            </w:r>
            <w:r w:rsidR="007F0C56">
              <w:rPr>
                <w:rFonts w:ascii="Arial" w:hAnsi="Arial" w:cs="Arial"/>
                <w:sz w:val="20"/>
                <w:szCs w:val="20"/>
              </w:rPr>
              <w:t>u</w:t>
            </w:r>
            <w:r w:rsidRPr="00FA004D">
              <w:rPr>
                <w:rFonts w:ascii="Arial" w:hAnsi="Arial" w:cs="Arial"/>
                <w:sz w:val="20"/>
                <w:szCs w:val="20"/>
              </w:rPr>
              <w:t xml:space="preserve"> cilje</w:t>
            </w:r>
            <w:r w:rsidR="00D85A71">
              <w:rPr>
                <w:rFonts w:ascii="Arial" w:hAnsi="Arial" w:cs="Arial"/>
                <w:sz w:val="20"/>
                <w:szCs w:val="20"/>
              </w:rPr>
              <w:t>v</w:t>
            </w:r>
            <w:r w:rsidRPr="00FA004D">
              <w:rPr>
                <w:rFonts w:ascii="Arial" w:hAnsi="Arial" w:cs="Arial"/>
                <w:sz w:val="20"/>
                <w:szCs w:val="20"/>
              </w:rPr>
              <w:t xml:space="preserve"> ekonomske politike vlade</w:t>
            </w:r>
            <w:r w:rsidR="007F0C56">
              <w:rPr>
                <w:rFonts w:ascii="Arial" w:hAnsi="Arial" w:cs="Arial"/>
                <w:sz w:val="20"/>
                <w:szCs w:val="20"/>
              </w:rPr>
              <w:t xml:space="preserve"> in po prehodnem posvetu vlade s socialnimi partnerji</w:t>
            </w:r>
            <w:r w:rsidRPr="00FA004D">
              <w:rPr>
                <w:rFonts w:ascii="Arial" w:hAnsi="Arial" w:cs="Arial"/>
                <w:sz w:val="20"/>
                <w:szCs w:val="20"/>
              </w:rPr>
              <w:t xml:space="preserve"> določi koeficient, s katerim se uskladijo zneski olajšav, določeni v 111.</w:t>
            </w:r>
            <w:r w:rsidR="00854D24">
              <w:rPr>
                <w:rFonts w:ascii="Arial" w:hAnsi="Arial" w:cs="Arial"/>
                <w:sz w:val="20"/>
                <w:szCs w:val="20"/>
              </w:rPr>
              <w:t> </w:t>
            </w:r>
            <w:r w:rsidRPr="00FA004D">
              <w:rPr>
                <w:rFonts w:ascii="Arial" w:hAnsi="Arial" w:cs="Arial"/>
                <w:sz w:val="20"/>
                <w:szCs w:val="20"/>
              </w:rPr>
              <w:t xml:space="preserve">členu, prvem </w:t>
            </w:r>
            <w:r>
              <w:rPr>
                <w:rFonts w:ascii="Arial" w:hAnsi="Arial" w:cs="Arial"/>
                <w:sz w:val="20"/>
                <w:szCs w:val="20"/>
              </w:rPr>
              <w:t xml:space="preserve">in osmem </w:t>
            </w:r>
            <w:r w:rsidRPr="00FA004D">
              <w:rPr>
                <w:rFonts w:ascii="Arial" w:hAnsi="Arial" w:cs="Arial"/>
                <w:sz w:val="20"/>
                <w:szCs w:val="20"/>
              </w:rPr>
              <w:t>odstavku 112.</w:t>
            </w:r>
            <w:r w:rsidR="00854D24">
              <w:rPr>
                <w:rFonts w:ascii="Arial" w:hAnsi="Arial" w:cs="Arial"/>
                <w:sz w:val="20"/>
                <w:szCs w:val="20"/>
              </w:rPr>
              <w:t> </w:t>
            </w:r>
            <w:r w:rsidRPr="00FA004D">
              <w:rPr>
                <w:rFonts w:ascii="Arial" w:hAnsi="Arial" w:cs="Arial"/>
                <w:sz w:val="20"/>
                <w:szCs w:val="20"/>
              </w:rPr>
              <w:t>člena</w:t>
            </w:r>
            <w:r>
              <w:rPr>
                <w:rFonts w:ascii="Arial" w:hAnsi="Arial" w:cs="Arial"/>
                <w:sz w:val="20"/>
                <w:szCs w:val="20"/>
              </w:rPr>
              <w:t>, tretjem</w:t>
            </w:r>
            <w:r w:rsidR="00055AA3">
              <w:rPr>
                <w:rFonts w:ascii="Arial" w:hAnsi="Arial" w:cs="Arial"/>
                <w:sz w:val="20"/>
                <w:szCs w:val="20"/>
              </w:rPr>
              <w:t xml:space="preserve"> in šestem</w:t>
            </w:r>
            <w:r>
              <w:rPr>
                <w:rFonts w:ascii="Arial" w:hAnsi="Arial" w:cs="Arial"/>
                <w:sz w:val="20"/>
                <w:szCs w:val="20"/>
              </w:rPr>
              <w:t xml:space="preserve"> odstavku 113.</w:t>
            </w:r>
            <w:r w:rsidR="00854D24">
              <w:rPr>
                <w:rFonts w:ascii="Arial" w:hAnsi="Arial" w:cs="Arial"/>
                <w:sz w:val="20"/>
                <w:szCs w:val="20"/>
              </w:rPr>
              <w:t> </w:t>
            </w:r>
            <w:r>
              <w:rPr>
                <w:rFonts w:ascii="Arial" w:hAnsi="Arial" w:cs="Arial"/>
                <w:sz w:val="20"/>
                <w:szCs w:val="20"/>
              </w:rPr>
              <w:t>člena</w:t>
            </w:r>
            <w:r w:rsidRPr="00FA004D">
              <w:rPr>
                <w:rFonts w:ascii="Arial" w:hAnsi="Arial" w:cs="Arial"/>
                <w:sz w:val="20"/>
                <w:szCs w:val="20"/>
              </w:rPr>
              <w:t>, prvem in drugem odstavku 114.</w:t>
            </w:r>
            <w:r w:rsidR="00854D24">
              <w:rPr>
                <w:rFonts w:ascii="Arial" w:hAnsi="Arial" w:cs="Arial"/>
                <w:sz w:val="20"/>
                <w:szCs w:val="20"/>
              </w:rPr>
              <w:t> </w:t>
            </w:r>
            <w:r w:rsidRPr="00FA004D">
              <w:rPr>
                <w:rFonts w:ascii="Arial" w:hAnsi="Arial" w:cs="Arial"/>
                <w:sz w:val="20"/>
                <w:szCs w:val="20"/>
              </w:rPr>
              <w:t>člena ter v prvem odstavku 117.</w:t>
            </w:r>
            <w:r w:rsidR="00854D24">
              <w:rPr>
                <w:rFonts w:ascii="Arial" w:hAnsi="Arial" w:cs="Arial"/>
                <w:sz w:val="20"/>
                <w:szCs w:val="20"/>
              </w:rPr>
              <w:t> </w:t>
            </w:r>
            <w:r w:rsidRPr="00FA004D">
              <w:rPr>
                <w:rFonts w:ascii="Arial" w:hAnsi="Arial" w:cs="Arial"/>
                <w:sz w:val="20"/>
                <w:szCs w:val="20"/>
              </w:rPr>
              <w:t>člena tega zakona</w:t>
            </w:r>
            <w:bookmarkStart w:id="7" w:name="_Hlk112769791"/>
            <w:r w:rsidRPr="00FA004D">
              <w:rPr>
                <w:rFonts w:ascii="Arial" w:hAnsi="Arial" w:cs="Arial"/>
                <w:sz w:val="20"/>
                <w:szCs w:val="20"/>
              </w:rPr>
              <w:t>. Navedeni koeficient se mora določiti</w:t>
            </w:r>
            <w:r w:rsidR="00055A58">
              <w:rPr>
                <w:rFonts w:ascii="Arial" w:hAnsi="Arial" w:cs="Arial"/>
                <w:sz w:val="20"/>
                <w:szCs w:val="20"/>
              </w:rPr>
              <w:t xml:space="preserve"> najmanj v višini 50</w:t>
            </w:r>
            <w:r w:rsidR="007F0C56">
              <w:rPr>
                <w:rFonts w:ascii="Arial" w:hAnsi="Arial" w:cs="Arial"/>
                <w:sz w:val="20"/>
                <w:szCs w:val="20"/>
              </w:rPr>
              <w:t> </w:t>
            </w:r>
            <w:r w:rsidR="00055A58">
              <w:rPr>
                <w:rFonts w:ascii="Arial" w:hAnsi="Arial" w:cs="Arial"/>
                <w:sz w:val="20"/>
                <w:szCs w:val="20"/>
              </w:rPr>
              <w:t xml:space="preserve">% </w:t>
            </w:r>
            <w:r w:rsidRPr="00FA004D">
              <w:rPr>
                <w:rFonts w:ascii="Arial" w:hAnsi="Arial" w:cs="Arial"/>
                <w:sz w:val="20"/>
                <w:szCs w:val="20"/>
              </w:rPr>
              <w:t xml:space="preserve">rasti </w:t>
            </w:r>
            <w:r w:rsidR="00055A58">
              <w:rPr>
                <w:rFonts w:ascii="Arial" w:hAnsi="Arial" w:cs="Arial"/>
                <w:sz w:val="20"/>
                <w:szCs w:val="20"/>
              </w:rPr>
              <w:t xml:space="preserve">povprečnih mesečnih plač zaposlenih </w:t>
            </w:r>
            <w:r w:rsidRPr="00FA004D" w:rsidDel="000B54F1">
              <w:rPr>
                <w:rFonts w:ascii="Arial" w:hAnsi="Arial" w:cs="Arial"/>
                <w:sz w:val="20"/>
                <w:szCs w:val="20"/>
              </w:rPr>
              <w:lastRenderedPageBreak/>
              <w:t xml:space="preserve">v Sloveniji za mesec </w:t>
            </w:r>
            <w:r w:rsidR="007F0C56">
              <w:rPr>
                <w:rFonts w:ascii="Arial" w:hAnsi="Arial" w:cs="Arial"/>
                <w:sz w:val="20"/>
                <w:szCs w:val="20"/>
              </w:rPr>
              <w:t>junij</w:t>
            </w:r>
            <w:r w:rsidRPr="00FA004D" w:rsidDel="000B54F1">
              <w:rPr>
                <w:rFonts w:ascii="Arial" w:hAnsi="Arial" w:cs="Arial"/>
                <w:sz w:val="20"/>
                <w:szCs w:val="20"/>
              </w:rPr>
              <w:t xml:space="preserve"> tekočega leta v primerjavi z mesecem </w:t>
            </w:r>
            <w:r w:rsidR="007F0C56">
              <w:rPr>
                <w:rFonts w:ascii="Arial" w:hAnsi="Arial" w:cs="Arial"/>
                <w:sz w:val="20"/>
                <w:szCs w:val="20"/>
              </w:rPr>
              <w:t>junijem</w:t>
            </w:r>
            <w:r w:rsidRPr="00FA004D" w:rsidDel="000B54F1">
              <w:rPr>
                <w:rFonts w:ascii="Arial" w:hAnsi="Arial" w:cs="Arial"/>
                <w:sz w:val="20"/>
                <w:szCs w:val="20"/>
              </w:rPr>
              <w:t xml:space="preserve"> prejšnjega leta, po podatkih Statističnega urada Republike Slovenije, </w:t>
            </w:r>
            <w:r w:rsidR="007F0C56">
              <w:rPr>
                <w:rFonts w:ascii="Arial" w:hAnsi="Arial" w:cs="Arial"/>
                <w:sz w:val="20"/>
                <w:szCs w:val="20"/>
              </w:rPr>
              <w:t>če je ta pozitivna</w:t>
            </w:r>
            <w:r w:rsidRPr="00FA004D">
              <w:rPr>
                <w:rFonts w:ascii="Arial" w:hAnsi="Arial" w:cs="Arial"/>
                <w:sz w:val="20"/>
                <w:szCs w:val="20"/>
              </w:rPr>
              <w:t>.</w:t>
            </w:r>
          </w:p>
          <w:bookmarkEnd w:id="7"/>
          <w:p w14:paraId="1310C9D0" w14:textId="7DDE0C1A" w:rsidR="00FA004D" w:rsidRPr="00FA004D" w:rsidRDefault="00FA004D" w:rsidP="00680A87">
            <w:pPr>
              <w:spacing w:after="0" w:line="276" w:lineRule="auto"/>
              <w:contextualSpacing/>
              <w:jc w:val="both"/>
              <w:rPr>
                <w:rFonts w:ascii="Arial" w:hAnsi="Arial" w:cs="Arial"/>
                <w:sz w:val="20"/>
                <w:szCs w:val="20"/>
              </w:rPr>
            </w:pPr>
            <w:r w:rsidRPr="00FA004D">
              <w:rPr>
                <w:rFonts w:ascii="Arial" w:hAnsi="Arial" w:cs="Arial"/>
                <w:sz w:val="20"/>
                <w:szCs w:val="20"/>
              </w:rPr>
              <w:t xml:space="preserve"> </w:t>
            </w:r>
          </w:p>
          <w:p w14:paraId="4A5F59E2" w14:textId="699403D1" w:rsidR="007D0682" w:rsidRDefault="00FA004D" w:rsidP="00680A87">
            <w:pPr>
              <w:spacing w:after="0" w:line="276" w:lineRule="auto"/>
              <w:contextualSpacing/>
              <w:jc w:val="both"/>
              <w:rPr>
                <w:rFonts w:ascii="Arial" w:hAnsi="Arial" w:cs="Arial"/>
                <w:sz w:val="20"/>
                <w:szCs w:val="20"/>
              </w:rPr>
            </w:pPr>
            <w:r w:rsidRPr="00FA004D">
              <w:rPr>
                <w:rFonts w:ascii="Arial" w:hAnsi="Arial" w:cs="Arial"/>
                <w:sz w:val="20"/>
                <w:szCs w:val="20"/>
              </w:rPr>
              <w:t>(2)</w:t>
            </w:r>
            <w:r>
              <w:rPr>
                <w:rFonts w:ascii="Arial" w:hAnsi="Arial" w:cs="Arial"/>
                <w:sz w:val="20"/>
                <w:szCs w:val="20"/>
              </w:rPr>
              <w:t xml:space="preserve"> </w:t>
            </w:r>
            <w:r w:rsidR="008E295C">
              <w:rPr>
                <w:rFonts w:ascii="Arial" w:hAnsi="Arial" w:cs="Arial"/>
                <w:sz w:val="20"/>
                <w:szCs w:val="20"/>
              </w:rPr>
              <w:t>Usklajene z</w:t>
            </w:r>
            <w:r w:rsidRPr="00FA004D">
              <w:rPr>
                <w:rFonts w:ascii="Arial" w:hAnsi="Arial" w:cs="Arial"/>
                <w:sz w:val="20"/>
                <w:szCs w:val="20"/>
              </w:rPr>
              <w:t>neske olajšav</w:t>
            </w:r>
            <w:r w:rsidR="007F0C56">
              <w:rPr>
                <w:rFonts w:ascii="Arial" w:hAnsi="Arial" w:cs="Arial"/>
                <w:sz w:val="20"/>
                <w:szCs w:val="20"/>
              </w:rPr>
              <w:t xml:space="preserve">, ob upoštevanju koeficienta, določenega v skladu s </w:t>
            </w:r>
            <w:r w:rsidRPr="00FA004D">
              <w:rPr>
                <w:rFonts w:ascii="Arial" w:hAnsi="Arial" w:cs="Arial"/>
                <w:sz w:val="20"/>
                <w:szCs w:val="20"/>
              </w:rPr>
              <w:t>prejšnj</w:t>
            </w:r>
            <w:r w:rsidR="00870990">
              <w:rPr>
                <w:rFonts w:ascii="Arial" w:hAnsi="Arial" w:cs="Arial"/>
                <w:sz w:val="20"/>
                <w:szCs w:val="20"/>
              </w:rPr>
              <w:t>im</w:t>
            </w:r>
            <w:r w:rsidRPr="00FA004D">
              <w:rPr>
                <w:rFonts w:ascii="Arial" w:hAnsi="Arial" w:cs="Arial"/>
                <w:sz w:val="20"/>
                <w:szCs w:val="20"/>
              </w:rPr>
              <w:t xml:space="preserve"> odstavk</w:t>
            </w:r>
            <w:r w:rsidR="00870990">
              <w:rPr>
                <w:rFonts w:ascii="Arial" w:hAnsi="Arial" w:cs="Arial"/>
                <w:sz w:val="20"/>
                <w:szCs w:val="20"/>
              </w:rPr>
              <w:t>om</w:t>
            </w:r>
            <w:r w:rsidRPr="00FA004D">
              <w:rPr>
                <w:rFonts w:ascii="Arial" w:hAnsi="Arial" w:cs="Arial"/>
                <w:sz w:val="20"/>
                <w:szCs w:val="20"/>
              </w:rPr>
              <w:t xml:space="preserve"> </w:t>
            </w:r>
            <w:r w:rsidR="008F3BDB">
              <w:rPr>
                <w:rFonts w:ascii="Arial" w:hAnsi="Arial" w:cs="Arial"/>
                <w:sz w:val="20"/>
                <w:szCs w:val="20"/>
              </w:rPr>
              <w:t>in</w:t>
            </w:r>
            <w:r w:rsidRPr="00FA004D">
              <w:rPr>
                <w:rFonts w:ascii="Arial" w:hAnsi="Arial" w:cs="Arial"/>
                <w:sz w:val="20"/>
                <w:szCs w:val="20"/>
              </w:rPr>
              <w:t xml:space="preserve"> enačbo za določitev olajšave iz tretjega odstavka 111.</w:t>
            </w:r>
            <w:r w:rsidR="00854D24">
              <w:rPr>
                <w:rFonts w:ascii="Arial" w:hAnsi="Arial" w:cs="Arial"/>
                <w:sz w:val="20"/>
                <w:szCs w:val="20"/>
              </w:rPr>
              <w:t> </w:t>
            </w:r>
            <w:r w:rsidRPr="00FA004D">
              <w:rPr>
                <w:rFonts w:ascii="Arial" w:hAnsi="Arial" w:cs="Arial"/>
                <w:sz w:val="20"/>
                <w:szCs w:val="20"/>
              </w:rPr>
              <w:t>člena tega zakona določi minister, pristojen za finance, najpozneje v decembru tekočega leta za naslednje leto, če je z zakonom</w:t>
            </w:r>
            <w:r w:rsidR="000B54F1">
              <w:rPr>
                <w:rFonts w:ascii="Arial" w:hAnsi="Arial" w:cs="Arial"/>
                <w:sz w:val="20"/>
                <w:szCs w:val="20"/>
              </w:rPr>
              <w:t>, ki ureja</w:t>
            </w:r>
            <w:r w:rsidRPr="00FA004D">
              <w:rPr>
                <w:rFonts w:ascii="Arial" w:hAnsi="Arial" w:cs="Arial"/>
                <w:sz w:val="20"/>
                <w:szCs w:val="20"/>
              </w:rPr>
              <w:t xml:space="preserve"> izvrševanj</w:t>
            </w:r>
            <w:r w:rsidR="000B54F1">
              <w:rPr>
                <w:rFonts w:ascii="Arial" w:hAnsi="Arial" w:cs="Arial"/>
                <w:sz w:val="20"/>
                <w:szCs w:val="20"/>
              </w:rPr>
              <w:t>e</w:t>
            </w:r>
            <w:r w:rsidRPr="00FA004D">
              <w:rPr>
                <w:rFonts w:ascii="Arial" w:hAnsi="Arial" w:cs="Arial"/>
                <w:sz w:val="20"/>
                <w:szCs w:val="20"/>
              </w:rPr>
              <w:t xml:space="preserve"> proračuna</w:t>
            </w:r>
            <w:r w:rsidR="000B54F1">
              <w:rPr>
                <w:rFonts w:ascii="Arial" w:hAnsi="Arial" w:cs="Arial"/>
                <w:sz w:val="20"/>
                <w:szCs w:val="20"/>
              </w:rPr>
              <w:t>,</w:t>
            </w:r>
            <w:r w:rsidRPr="00FA004D">
              <w:rPr>
                <w:rFonts w:ascii="Arial" w:hAnsi="Arial" w:cs="Arial"/>
                <w:sz w:val="20"/>
                <w:szCs w:val="20"/>
              </w:rPr>
              <w:t xml:space="preserve"> za naslednje leto določena uskladitev.</w:t>
            </w:r>
            <w:r>
              <w:rPr>
                <w:rFonts w:ascii="Arial" w:hAnsi="Arial" w:cs="Arial"/>
                <w:sz w:val="20"/>
                <w:szCs w:val="20"/>
              </w:rPr>
              <w:t>«.</w:t>
            </w:r>
          </w:p>
          <w:p w14:paraId="235A46C5" w14:textId="77777777" w:rsidR="007D0682" w:rsidRPr="007D0682" w:rsidRDefault="007D0682" w:rsidP="00680A87">
            <w:pPr>
              <w:spacing w:after="0" w:line="276" w:lineRule="auto"/>
              <w:contextualSpacing/>
              <w:jc w:val="both"/>
              <w:rPr>
                <w:rFonts w:ascii="Arial" w:hAnsi="Arial" w:cs="Arial"/>
                <w:sz w:val="20"/>
                <w:szCs w:val="20"/>
              </w:rPr>
            </w:pPr>
          </w:p>
          <w:p w14:paraId="5FB3A899" w14:textId="3ACA80DF" w:rsidR="005C6D0E" w:rsidRDefault="005C6D0E"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t>člen</w:t>
            </w:r>
          </w:p>
          <w:p w14:paraId="4C31B026" w14:textId="3E689E27" w:rsidR="007D0682" w:rsidRDefault="007D0682" w:rsidP="00680A87">
            <w:pPr>
              <w:spacing w:after="0" w:line="276" w:lineRule="auto"/>
              <w:contextualSpacing/>
              <w:rPr>
                <w:rFonts w:ascii="Arial" w:hAnsi="Arial" w:cs="Arial"/>
                <w:sz w:val="20"/>
                <w:szCs w:val="20"/>
              </w:rPr>
            </w:pPr>
          </w:p>
          <w:p w14:paraId="50879735" w14:textId="0139C064" w:rsidR="00C0583C" w:rsidRDefault="000F68F8" w:rsidP="00680A87">
            <w:pPr>
              <w:spacing w:after="0" w:line="276" w:lineRule="auto"/>
              <w:contextualSpacing/>
              <w:rPr>
                <w:rFonts w:ascii="Arial" w:hAnsi="Arial" w:cs="Arial"/>
                <w:sz w:val="20"/>
                <w:szCs w:val="20"/>
              </w:rPr>
            </w:pPr>
            <w:r>
              <w:rPr>
                <w:rFonts w:ascii="Arial" w:hAnsi="Arial" w:cs="Arial"/>
                <w:sz w:val="20"/>
                <w:szCs w:val="20"/>
              </w:rPr>
              <w:t>V 122.</w:t>
            </w:r>
            <w:r w:rsidR="00854D24">
              <w:rPr>
                <w:rFonts w:ascii="Arial" w:hAnsi="Arial" w:cs="Arial"/>
                <w:sz w:val="20"/>
                <w:szCs w:val="20"/>
              </w:rPr>
              <w:t> </w:t>
            </w:r>
            <w:r>
              <w:rPr>
                <w:rFonts w:ascii="Arial" w:hAnsi="Arial" w:cs="Arial"/>
                <w:sz w:val="20"/>
                <w:szCs w:val="20"/>
              </w:rPr>
              <w:t xml:space="preserve">členu se </w:t>
            </w:r>
            <w:r w:rsidR="00C0583C">
              <w:rPr>
                <w:rFonts w:ascii="Arial" w:hAnsi="Arial" w:cs="Arial"/>
                <w:sz w:val="20"/>
                <w:szCs w:val="20"/>
              </w:rPr>
              <w:t>v prvem odstavku besedilo »45</w:t>
            </w:r>
            <w:r w:rsidR="008F3BDB">
              <w:rPr>
                <w:rFonts w:ascii="Arial" w:hAnsi="Arial" w:cs="Arial"/>
                <w:sz w:val="20"/>
                <w:szCs w:val="20"/>
              </w:rPr>
              <w:t> </w:t>
            </w:r>
            <w:r w:rsidR="00C0583C">
              <w:rPr>
                <w:rFonts w:ascii="Arial" w:hAnsi="Arial" w:cs="Arial"/>
                <w:sz w:val="20"/>
                <w:szCs w:val="20"/>
              </w:rPr>
              <w:t>%« nadomesti z besedilom »50</w:t>
            </w:r>
            <w:r w:rsidR="008F3BDB">
              <w:rPr>
                <w:rFonts w:ascii="Arial" w:hAnsi="Arial" w:cs="Arial"/>
                <w:sz w:val="20"/>
                <w:szCs w:val="20"/>
              </w:rPr>
              <w:t> </w:t>
            </w:r>
            <w:r w:rsidR="00C0583C">
              <w:rPr>
                <w:rFonts w:ascii="Arial" w:hAnsi="Arial" w:cs="Arial"/>
                <w:sz w:val="20"/>
                <w:szCs w:val="20"/>
              </w:rPr>
              <w:t>%«.</w:t>
            </w:r>
          </w:p>
          <w:p w14:paraId="07996269" w14:textId="77777777" w:rsidR="00C0583C" w:rsidRDefault="00C0583C" w:rsidP="00680A87">
            <w:pPr>
              <w:spacing w:after="0" w:line="276" w:lineRule="auto"/>
              <w:contextualSpacing/>
              <w:rPr>
                <w:rFonts w:ascii="Arial" w:hAnsi="Arial" w:cs="Arial"/>
                <w:sz w:val="20"/>
                <w:szCs w:val="20"/>
              </w:rPr>
            </w:pPr>
          </w:p>
          <w:p w14:paraId="4E88250B" w14:textId="214F8AB7" w:rsidR="000F68F8" w:rsidRDefault="00C0583C" w:rsidP="00680A87">
            <w:pPr>
              <w:spacing w:after="0" w:line="276" w:lineRule="auto"/>
              <w:contextualSpacing/>
              <w:rPr>
                <w:rFonts w:ascii="Arial" w:hAnsi="Arial" w:cs="Arial"/>
                <w:sz w:val="20"/>
                <w:szCs w:val="20"/>
              </w:rPr>
            </w:pPr>
            <w:r>
              <w:rPr>
                <w:rFonts w:ascii="Arial" w:hAnsi="Arial" w:cs="Arial"/>
                <w:sz w:val="20"/>
                <w:szCs w:val="20"/>
              </w:rPr>
              <w:t>D</w:t>
            </w:r>
            <w:r w:rsidR="000F68F8">
              <w:rPr>
                <w:rFonts w:ascii="Arial" w:hAnsi="Arial" w:cs="Arial"/>
                <w:sz w:val="20"/>
                <w:szCs w:val="20"/>
              </w:rPr>
              <w:t xml:space="preserve">rugi in tretji odstavek </w:t>
            </w:r>
            <w:r w:rsidR="00D73EC5">
              <w:rPr>
                <w:rFonts w:ascii="Arial" w:hAnsi="Arial" w:cs="Arial"/>
                <w:sz w:val="20"/>
                <w:szCs w:val="20"/>
              </w:rPr>
              <w:t xml:space="preserve">se </w:t>
            </w:r>
            <w:r w:rsidR="000F68F8">
              <w:rPr>
                <w:rFonts w:ascii="Arial" w:hAnsi="Arial" w:cs="Arial"/>
                <w:sz w:val="20"/>
                <w:szCs w:val="20"/>
              </w:rPr>
              <w:t>spremenita tako, da se glasita:</w:t>
            </w:r>
          </w:p>
          <w:p w14:paraId="5E8752C2" w14:textId="087ECB4D" w:rsidR="000F68F8" w:rsidRDefault="000F68F8" w:rsidP="00680A87">
            <w:pPr>
              <w:spacing w:after="0" w:line="276" w:lineRule="auto"/>
              <w:contextualSpacing/>
              <w:jc w:val="both"/>
              <w:rPr>
                <w:rFonts w:ascii="Arial" w:hAnsi="Arial" w:cs="Arial"/>
                <w:sz w:val="20"/>
                <w:szCs w:val="20"/>
              </w:rPr>
            </w:pPr>
          </w:p>
          <w:p w14:paraId="0EF7A301" w14:textId="06162196" w:rsidR="000F68F8" w:rsidRPr="000F68F8" w:rsidRDefault="000F68F8" w:rsidP="00680A87">
            <w:pPr>
              <w:spacing w:after="0" w:line="276" w:lineRule="auto"/>
              <w:contextualSpacing/>
              <w:jc w:val="both"/>
              <w:rPr>
                <w:rFonts w:ascii="Arial" w:hAnsi="Arial" w:cs="Arial"/>
                <w:sz w:val="20"/>
                <w:szCs w:val="20"/>
              </w:rPr>
            </w:pPr>
            <w:r>
              <w:rPr>
                <w:rFonts w:ascii="Arial" w:hAnsi="Arial" w:cs="Arial"/>
                <w:sz w:val="20"/>
                <w:szCs w:val="20"/>
              </w:rPr>
              <w:t xml:space="preserve">»(2) </w:t>
            </w:r>
            <w:r w:rsidRPr="000F68F8">
              <w:rPr>
                <w:rFonts w:ascii="Arial" w:hAnsi="Arial" w:cs="Arial"/>
                <w:sz w:val="20"/>
                <w:szCs w:val="20"/>
              </w:rPr>
              <w:t xml:space="preserve">Z zakonom, ki ureja izvrševanje proračuna, se </w:t>
            </w:r>
            <w:r w:rsidR="00D85A71">
              <w:rPr>
                <w:rFonts w:ascii="Arial" w:hAnsi="Arial" w:cs="Arial"/>
                <w:sz w:val="20"/>
                <w:szCs w:val="20"/>
              </w:rPr>
              <w:t>ob upoštevanju</w:t>
            </w:r>
            <w:r w:rsidRPr="000F68F8">
              <w:rPr>
                <w:rFonts w:ascii="Arial" w:hAnsi="Arial" w:cs="Arial"/>
                <w:sz w:val="20"/>
                <w:szCs w:val="20"/>
              </w:rPr>
              <w:t xml:space="preserve"> cilje</w:t>
            </w:r>
            <w:r w:rsidR="00D85A71">
              <w:rPr>
                <w:rFonts w:ascii="Arial" w:hAnsi="Arial" w:cs="Arial"/>
                <w:sz w:val="20"/>
                <w:szCs w:val="20"/>
              </w:rPr>
              <w:t>v</w:t>
            </w:r>
            <w:r w:rsidRPr="000F68F8">
              <w:rPr>
                <w:rFonts w:ascii="Arial" w:hAnsi="Arial" w:cs="Arial"/>
                <w:sz w:val="20"/>
                <w:szCs w:val="20"/>
              </w:rPr>
              <w:t xml:space="preserve"> ekonomske politike vlade</w:t>
            </w:r>
            <w:r w:rsidR="00870990">
              <w:rPr>
                <w:rFonts w:ascii="Arial" w:hAnsi="Arial" w:cs="Arial"/>
                <w:sz w:val="20"/>
                <w:szCs w:val="20"/>
              </w:rPr>
              <w:t xml:space="preserve"> in po predhodnem posvetu vlade s socialnimi partnerji</w:t>
            </w:r>
            <w:r w:rsidRPr="000F68F8">
              <w:rPr>
                <w:rFonts w:ascii="Arial" w:hAnsi="Arial" w:cs="Arial"/>
                <w:sz w:val="20"/>
                <w:szCs w:val="20"/>
              </w:rPr>
              <w:t xml:space="preserve"> določi koeficient, s katerim se uskladijo zneski neto letnih davčnih osnov iz pr</w:t>
            </w:r>
            <w:r w:rsidR="00BB5B9E">
              <w:rPr>
                <w:rFonts w:ascii="Arial" w:hAnsi="Arial" w:cs="Arial"/>
                <w:sz w:val="20"/>
                <w:szCs w:val="20"/>
              </w:rPr>
              <w:t>ejšnjega</w:t>
            </w:r>
            <w:r w:rsidRPr="000F68F8">
              <w:rPr>
                <w:rFonts w:ascii="Arial" w:hAnsi="Arial" w:cs="Arial"/>
                <w:sz w:val="20"/>
                <w:szCs w:val="20"/>
              </w:rPr>
              <w:t xml:space="preserve"> odstavka; temu ustrezno se zneski dohodnine izračunajo. Navedeni koeficient se mora določiti</w:t>
            </w:r>
            <w:r w:rsidR="00870990">
              <w:rPr>
                <w:rFonts w:ascii="Arial" w:hAnsi="Arial" w:cs="Arial"/>
                <w:sz w:val="20"/>
                <w:szCs w:val="20"/>
              </w:rPr>
              <w:t xml:space="preserve"> najmanj v višini 50 %</w:t>
            </w:r>
            <w:r w:rsidRPr="000F68F8">
              <w:rPr>
                <w:rFonts w:ascii="Arial" w:hAnsi="Arial" w:cs="Arial"/>
                <w:sz w:val="20"/>
                <w:szCs w:val="20"/>
              </w:rPr>
              <w:t xml:space="preserve"> rasti </w:t>
            </w:r>
            <w:r w:rsidR="00870990">
              <w:rPr>
                <w:rFonts w:ascii="Arial" w:hAnsi="Arial" w:cs="Arial"/>
                <w:sz w:val="20"/>
                <w:szCs w:val="20"/>
              </w:rPr>
              <w:t>povprečnih mesečnih plač zaposlenih</w:t>
            </w:r>
            <w:r w:rsidRPr="000F68F8">
              <w:rPr>
                <w:rFonts w:ascii="Arial" w:hAnsi="Arial" w:cs="Arial"/>
                <w:sz w:val="20"/>
                <w:szCs w:val="20"/>
              </w:rPr>
              <w:t xml:space="preserve"> v Sloveniji za mesec </w:t>
            </w:r>
            <w:r w:rsidR="00870990">
              <w:rPr>
                <w:rFonts w:ascii="Arial" w:hAnsi="Arial" w:cs="Arial"/>
                <w:sz w:val="20"/>
                <w:szCs w:val="20"/>
              </w:rPr>
              <w:t>junij</w:t>
            </w:r>
            <w:r w:rsidRPr="000F68F8">
              <w:rPr>
                <w:rFonts w:ascii="Arial" w:hAnsi="Arial" w:cs="Arial"/>
                <w:sz w:val="20"/>
                <w:szCs w:val="20"/>
              </w:rPr>
              <w:t xml:space="preserve"> tekočega leta v primerjavi z mesecem</w:t>
            </w:r>
            <w:r w:rsidR="00315255">
              <w:rPr>
                <w:rFonts w:ascii="Arial" w:hAnsi="Arial" w:cs="Arial"/>
                <w:sz w:val="20"/>
                <w:szCs w:val="20"/>
              </w:rPr>
              <w:t xml:space="preserve"> </w:t>
            </w:r>
            <w:r w:rsidR="00870990">
              <w:rPr>
                <w:rFonts w:ascii="Arial" w:hAnsi="Arial" w:cs="Arial"/>
                <w:sz w:val="20"/>
                <w:szCs w:val="20"/>
              </w:rPr>
              <w:t>junijem</w:t>
            </w:r>
            <w:r w:rsidRPr="000F68F8">
              <w:rPr>
                <w:rFonts w:ascii="Arial" w:hAnsi="Arial" w:cs="Arial"/>
                <w:sz w:val="20"/>
                <w:szCs w:val="20"/>
              </w:rPr>
              <w:t xml:space="preserve"> prejšnjega leta, po podatkih Statističnega urada Republike Slovenije, </w:t>
            </w:r>
            <w:r w:rsidR="00870990">
              <w:rPr>
                <w:rFonts w:ascii="Arial" w:hAnsi="Arial" w:cs="Arial"/>
                <w:sz w:val="20"/>
                <w:szCs w:val="20"/>
              </w:rPr>
              <w:t>če je ta pozitivna</w:t>
            </w:r>
            <w:r w:rsidRPr="000F68F8">
              <w:rPr>
                <w:rFonts w:ascii="Arial" w:hAnsi="Arial" w:cs="Arial"/>
                <w:sz w:val="20"/>
                <w:szCs w:val="20"/>
              </w:rPr>
              <w:t>.</w:t>
            </w:r>
          </w:p>
          <w:p w14:paraId="125B4494" w14:textId="5F1AA168" w:rsidR="000F68F8" w:rsidRPr="000F68F8" w:rsidRDefault="000F68F8" w:rsidP="00680A87">
            <w:pPr>
              <w:spacing w:after="0" w:line="276" w:lineRule="auto"/>
              <w:contextualSpacing/>
              <w:jc w:val="both"/>
              <w:rPr>
                <w:rFonts w:ascii="Arial" w:hAnsi="Arial" w:cs="Arial"/>
                <w:sz w:val="20"/>
                <w:szCs w:val="20"/>
              </w:rPr>
            </w:pPr>
            <w:r w:rsidRPr="000F68F8">
              <w:rPr>
                <w:rFonts w:ascii="Arial" w:hAnsi="Arial" w:cs="Arial"/>
                <w:sz w:val="20"/>
                <w:szCs w:val="20"/>
              </w:rPr>
              <w:t xml:space="preserve"> </w:t>
            </w:r>
          </w:p>
          <w:p w14:paraId="0349EEE4" w14:textId="72B8D17F" w:rsidR="000F68F8" w:rsidRDefault="000F68F8" w:rsidP="00680A87">
            <w:pPr>
              <w:spacing w:after="0" w:line="276" w:lineRule="auto"/>
              <w:contextualSpacing/>
              <w:jc w:val="both"/>
              <w:rPr>
                <w:rFonts w:ascii="Arial" w:hAnsi="Arial" w:cs="Arial"/>
                <w:sz w:val="20"/>
                <w:szCs w:val="20"/>
              </w:rPr>
            </w:pPr>
            <w:r w:rsidRPr="000F68F8">
              <w:rPr>
                <w:rFonts w:ascii="Arial" w:hAnsi="Arial" w:cs="Arial"/>
                <w:sz w:val="20"/>
                <w:szCs w:val="20"/>
              </w:rPr>
              <w:t>(3)</w:t>
            </w:r>
            <w:r>
              <w:rPr>
                <w:rFonts w:ascii="Arial" w:hAnsi="Arial" w:cs="Arial"/>
                <w:sz w:val="20"/>
                <w:szCs w:val="20"/>
              </w:rPr>
              <w:t xml:space="preserve"> </w:t>
            </w:r>
            <w:r w:rsidR="008E295C">
              <w:rPr>
                <w:rFonts w:ascii="Arial" w:hAnsi="Arial" w:cs="Arial"/>
                <w:sz w:val="20"/>
                <w:szCs w:val="20"/>
              </w:rPr>
              <w:t>Usklajene z</w:t>
            </w:r>
            <w:r w:rsidRPr="000F68F8">
              <w:rPr>
                <w:rFonts w:ascii="Arial" w:hAnsi="Arial" w:cs="Arial"/>
                <w:sz w:val="20"/>
                <w:szCs w:val="20"/>
              </w:rPr>
              <w:t xml:space="preserve">neske iz </w:t>
            </w:r>
            <w:r w:rsidR="00BB5B9E">
              <w:rPr>
                <w:rFonts w:ascii="Arial" w:hAnsi="Arial" w:cs="Arial"/>
                <w:sz w:val="20"/>
                <w:szCs w:val="20"/>
              </w:rPr>
              <w:t>prejšnjega</w:t>
            </w:r>
            <w:r w:rsidRPr="000F68F8">
              <w:rPr>
                <w:rFonts w:ascii="Arial" w:hAnsi="Arial" w:cs="Arial"/>
                <w:sz w:val="20"/>
                <w:szCs w:val="20"/>
              </w:rPr>
              <w:t xml:space="preserve"> odstavka</w:t>
            </w:r>
            <w:r w:rsidR="00870990">
              <w:rPr>
                <w:rFonts w:ascii="Arial" w:hAnsi="Arial" w:cs="Arial"/>
                <w:sz w:val="20"/>
                <w:szCs w:val="20"/>
              </w:rPr>
              <w:t>, ob upoštevanju koeficienta, določenega v skladu s prejšnjim odstavkom,</w:t>
            </w:r>
            <w:r w:rsidRPr="000F68F8">
              <w:rPr>
                <w:rFonts w:ascii="Arial" w:hAnsi="Arial" w:cs="Arial"/>
                <w:sz w:val="20"/>
                <w:szCs w:val="20"/>
              </w:rPr>
              <w:t xml:space="preserve"> določi minister, pristojen za finance, najpozneje v decembru tekočega leta za naslednje leto, če je z zakonom</w:t>
            </w:r>
            <w:r w:rsidR="00BB5B9E">
              <w:rPr>
                <w:rFonts w:ascii="Arial" w:hAnsi="Arial" w:cs="Arial"/>
                <w:sz w:val="20"/>
                <w:szCs w:val="20"/>
              </w:rPr>
              <w:t>, ki ureja</w:t>
            </w:r>
            <w:r w:rsidRPr="000F68F8">
              <w:rPr>
                <w:rFonts w:ascii="Arial" w:hAnsi="Arial" w:cs="Arial"/>
                <w:sz w:val="20"/>
                <w:szCs w:val="20"/>
              </w:rPr>
              <w:t xml:space="preserve"> izvrševanj</w:t>
            </w:r>
            <w:r w:rsidR="00BB5B9E">
              <w:rPr>
                <w:rFonts w:ascii="Arial" w:hAnsi="Arial" w:cs="Arial"/>
                <w:sz w:val="20"/>
                <w:szCs w:val="20"/>
              </w:rPr>
              <w:t>e</w:t>
            </w:r>
            <w:r w:rsidRPr="000F68F8">
              <w:rPr>
                <w:rFonts w:ascii="Arial" w:hAnsi="Arial" w:cs="Arial"/>
                <w:sz w:val="20"/>
                <w:szCs w:val="20"/>
              </w:rPr>
              <w:t xml:space="preserve"> proračuna</w:t>
            </w:r>
            <w:r w:rsidR="00BB5B9E">
              <w:rPr>
                <w:rFonts w:ascii="Arial" w:hAnsi="Arial" w:cs="Arial"/>
                <w:sz w:val="20"/>
                <w:szCs w:val="20"/>
              </w:rPr>
              <w:t>,</w:t>
            </w:r>
            <w:r w:rsidRPr="000F68F8">
              <w:rPr>
                <w:rFonts w:ascii="Arial" w:hAnsi="Arial" w:cs="Arial"/>
                <w:sz w:val="20"/>
                <w:szCs w:val="20"/>
              </w:rPr>
              <w:t xml:space="preserve"> za naslednje leto določena uskladitev.</w:t>
            </w:r>
            <w:r w:rsidR="00CA590D">
              <w:rPr>
                <w:rFonts w:ascii="Arial" w:hAnsi="Arial" w:cs="Arial"/>
                <w:sz w:val="20"/>
                <w:szCs w:val="20"/>
              </w:rPr>
              <w:t>«</w:t>
            </w:r>
          </w:p>
          <w:p w14:paraId="5FC2D96B" w14:textId="77777777" w:rsidR="000F68F8" w:rsidRPr="007D0682" w:rsidRDefault="000F68F8" w:rsidP="00680A87">
            <w:pPr>
              <w:spacing w:after="0" w:line="276" w:lineRule="auto"/>
              <w:contextualSpacing/>
              <w:jc w:val="both"/>
              <w:rPr>
                <w:rFonts w:ascii="Arial" w:hAnsi="Arial" w:cs="Arial"/>
                <w:sz w:val="20"/>
                <w:szCs w:val="20"/>
              </w:rPr>
            </w:pPr>
          </w:p>
          <w:p w14:paraId="6B2E373A" w14:textId="650F1E27" w:rsidR="009D2C43" w:rsidRDefault="00817D13"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t>člen</w:t>
            </w:r>
          </w:p>
          <w:p w14:paraId="10049F5A" w14:textId="034FE35D" w:rsidR="009D2C43" w:rsidRDefault="009D2C43" w:rsidP="009D2C43">
            <w:pPr>
              <w:spacing w:line="276" w:lineRule="auto"/>
              <w:contextualSpacing/>
              <w:rPr>
                <w:rFonts w:ascii="Arial" w:hAnsi="Arial" w:cs="Arial"/>
                <w:sz w:val="20"/>
                <w:szCs w:val="20"/>
              </w:rPr>
            </w:pPr>
          </w:p>
          <w:p w14:paraId="2AD21671" w14:textId="777000A5" w:rsidR="009D2C43" w:rsidRDefault="009D2C43" w:rsidP="00E15DFC">
            <w:pPr>
              <w:spacing w:line="276" w:lineRule="auto"/>
              <w:contextualSpacing/>
              <w:rPr>
                <w:rFonts w:ascii="Arial" w:hAnsi="Arial" w:cs="Arial"/>
                <w:sz w:val="20"/>
                <w:szCs w:val="20"/>
              </w:rPr>
            </w:pPr>
            <w:r>
              <w:rPr>
                <w:rFonts w:ascii="Arial" w:hAnsi="Arial" w:cs="Arial"/>
                <w:sz w:val="20"/>
                <w:szCs w:val="20"/>
              </w:rPr>
              <w:t>V 123.</w:t>
            </w:r>
            <w:r w:rsidR="008F3BDB">
              <w:rPr>
                <w:rFonts w:ascii="Arial" w:hAnsi="Arial" w:cs="Arial"/>
                <w:sz w:val="20"/>
                <w:szCs w:val="20"/>
              </w:rPr>
              <w:t> </w:t>
            </w:r>
            <w:r>
              <w:rPr>
                <w:rFonts w:ascii="Arial" w:hAnsi="Arial" w:cs="Arial"/>
                <w:sz w:val="20"/>
                <w:szCs w:val="20"/>
              </w:rPr>
              <w:t xml:space="preserve">členu se v tretjem odstavku </w:t>
            </w:r>
            <w:r w:rsidR="00BF1841">
              <w:rPr>
                <w:rFonts w:ascii="Arial" w:hAnsi="Arial" w:cs="Arial"/>
                <w:sz w:val="20"/>
                <w:szCs w:val="20"/>
              </w:rPr>
              <w:t>drugi</w:t>
            </w:r>
            <w:r>
              <w:rPr>
                <w:rFonts w:ascii="Arial" w:hAnsi="Arial" w:cs="Arial"/>
                <w:sz w:val="20"/>
                <w:szCs w:val="20"/>
              </w:rPr>
              <w:t xml:space="preserve"> stavek</w:t>
            </w:r>
            <w:r w:rsidR="00BF1841">
              <w:rPr>
                <w:rFonts w:ascii="Arial" w:hAnsi="Arial" w:cs="Arial"/>
                <w:sz w:val="20"/>
                <w:szCs w:val="20"/>
              </w:rPr>
              <w:t xml:space="preserve"> črta</w:t>
            </w:r>
            <w:r>
              <w:rPr>
                <w:rFonts w:ascii="Arial" w:hAnsi="Arial" w:cs="Arial"/>
                <w:sz w:val="20"/>
                <w:szCs w:val="20"/>
              </w:rPr>
              <w:t>.</w:t>
            </w:r>
          </w:p>
          <w:p w14:paraId="1ED59ECC" w14:textId="77777777" w:rsidR="00A51262" w:rsidRPr="00E15DFC" w:rsidRDefault="00A51262" w:rsidP="00E15DFC">
            <w:pPr>
              <w:spacing w:line="276" w:lineRule="auto"/>
              <w:contextualSpacing/>
              <w:rPr>
                <w:rFonts w:ascii="Arial" w:hAnsi="Arial" w:cs="Arial"/>
                <w:sz w:val="20"/>
                <w:szCs w:val="20"/>
              </w:rPr>
            </w:pPr>
          </w:p>
          <w:p w14:paraId="558FE7D5" w14:textId="443F4F2B" w:rsidR="009D2C43" w:rsidRDefault="009D2C43"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t>člen</w:t>
            </w:r>
          </w:p>
          <w:p w14:paraId="6828F775" w14:textId="7E7A4DA8" w:rsidR="009D2C43" w:rsidRDefault="009D2C43" w:rsidP="00E15DFC">
            <w:pPr>
              <w:spacing w:line="276" w:lineRule="auto"/>
              <w:contextualSpacing/>
              <w:jc w:val="both"/>
              <w:rPr>
                <w:rFonts w:ascii="Arial" w:hAnsi="Arial" w:cs="Arial"/>
                <w:sz w:val="20"/>
                <w:szCs w:val="20"/>
              </w:rPr>
            </w:pPr>
          </w:p>
          <w:p w14:paraId="35022EED" w14:textId="6F21D1E5" w:rsidR="009D2C43" w:rsidRPr="00E15DFC" w:rsidRDefault="008C4C2B" w:rsidP="00E15DFC">
            <w:pPr>
              <w:spacing w:line="276" w:lineRule="auto"/>
              <w:contextualSpacing/>
              <w:jc w:val="both"/>
              <w:rPr>
                <w:rFonts w:ascii="Arial" w:hAnsi="Arial" w:cs="Arial"/>
                <w:sz w:val="20"/>
                <w:szCs w:val="20"/>
              </w:rPr>
            </w:pPr>
            <w:r>
              <w:rPr>
                <w:rFonts w:ascii="Arial" w:hAnsi="Arial" w:cs="Arial"/>
                <w:sz w:val="20"/>
                <w:szCs w:val="20"/>
              </w:rPr>
              <w:t xml:space="preserve">Naslov poglavja </w:t>
            </w:r>
            <w:r w:rsidRPr="008C4C2B">
              <w:rPr>
                <w:rFonts w:ascii="Arial" w:hAnsi="Arial" w:cs="Arial"/>
                <w:sz w:val="20"/>
                <w:szCs w:val="20"/>
              </w:rPr>
              <w:t>»VII.A POSEBNA PRAVILA V ZVEZI Z UVELJAVLJANJEM ODLOČITVE ZAVEZANCA O VŠTEVANJU DAVČNIH OSNOV OD DOHODKOV IZ KAPITALA IN DOHODKOV IZ ODDAJANJA PREMOŽENJA V NAJEM V LETNO DAVČNO OSNOVO«</w:t>
            </w:r>
            <w:r>
              <w:rPr>
                <w:rFonts w:ascii="Arial" w:hAnsi="Arial" w:cs="Arial"/>
                <w:sz w:val="20"/>
                <w:szCs w:val="20"/>
              </w:rPr>
              <w:t xml:space="preserve"> in a131.a</w:t>
            </w:r>
            <w:r w:rsidR="008F3BDB">
              <w:rPr>
                <w:rFonts w:ascii="Arial" w:hAnsi="Arial" w:cs="Arial"/>
                <w:sz w:val="20"/>
                <w:szCs w:val="20"/>
              </w:rPr>
              <w:t> </w:t>
            </w:r>
            <w:r>
              <w:rPr>
                <w:rFonts w:ascii="Arial" w:hAnsi="Arial" w:cs="Arial"/>
                <w:sz w:val="20"/>
                <w:szCs w:val="20"/>
              </w:rPr>
              <w:t>člen se črtata.</w:t>
            </w:r>
          </w:p>
          <w:p w14:paraId="32E6E159" w14:textId="7F7E2A3C" w:rsidR="00817D13" w:rsidRDefault="00817D13"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t>člen</w:t>
            </w:r>
          </w:p>
          <w:p w14:paraId="4AF2F759" w14:textId="6607E759" w:rsidR="00BA7319" w:rsidRDefault="00BA7319" w:rsidP="00680A87">
            <w:pPr>
              <w:spacing w:after="0" w:line="276" w:lineRule="auto"/>
              <w:jc w:val="both"/>
              <w:rPr>
                <w:rFonts w:ascii="Arial" w:hAnsi="Arial" w:cs="Arial"/>
                <w:sz w:val="20"/>
                <w:szCs w:val="20"/>
              </w:rPr>
            </w:pPr>
          </w:p>
          <w:p w14:paraId="58432F40" w14:textId="0301C8AF" w:rsidR="00BA7319" w:rsidRDefault="00BA7319" w:rsidP="00680A87">
            <w:pPr>
              <w:spacing w:after="0" w:line="276" w:lineRule="auto"/>
              <w:jc w:val="both"/>
              <w:rPr>
                <w:rFonts w:ascii="Arial" w:hAnsi="Arial" w:cs="Arial"/>
                <w:sz w:val="20"/>
                <w:szCs w:val="20"/>
              </w:rPr>
            </w:pPr>
            <w:r>
              <w:rPr>
                <w:rFonts w:ascii="Arial" w:hAnsi="Arial" w:cs="Arial"/>
                <w:sz w:val="20"/>
                <w:szCs w:val="20"/>
              </w:rPr>
              <w:t>V 135.č</w:t>
            </w:r>
            <w:r w:rsidR="008F3BDB">
              <w:rPr>
                <w:rFonts w:ascii="Arial" w:hAnsi="Arial" w:cs="Arial"/>
                <w:sz w:val="20"/>
                <w:szCs w:val="20"/>
              </w:rPr>
              <w:t> </w:t>
            </w:r>
            <w:r>
              <w:rPr>
                <w:rFonts w:ascii="Arial" w:hAnsi="Arial" w:cs="Arial"/>
                <w:sz w:val="20"/>
                <w:szCs w:val="20"/>
              </w:rPr>
              <w:t xml:space="preserve">členu se </w:t>
            </w:r>
            <w:r w:rsidR="00BB5B9E">
              <w:rPr>
                <w:rFonts w:ascii="Arial" w:hAnsi="Arial" w:cs="Arial"/>
                <w:sz w:val="20"/>
                <w:szCs w:val="20"/>
              </w:rPr>
              <w:t>stopnja</w:t>
            </w:r>
            <w:r>
              <w:rPr>
                <w:rFonts w:ascii="Arial" w:hAnsi="Arial" w:cs="Arial"/>
                <w:sz w:val="20"/>
                <w:szCs w:val="20"/>
              </w:rPr>
              <w:t xml:space="preserve"> »15</w:t>
            </w:r>
            <w:r w:rsidR="008F3BDB">
              <w:rPr>
                <w:rFonts w:ascii="Arial" w:hAnsi="Arial" w:cs="Arial"/>
                <w:sz w:val="20"/>
                <w:szCs w:val="20"/>
              </w:rPr>
              <w:t> </w:t>
            </w:r>
            <w:r>
              <w:rPr>
                <w:rFonts w:ascii="Arial" w:hAnsi="Arial" w:cs="Arial"/>
                <w:sz w:val="20"/>
                <w:szCs w:val="20"/>
              </w:rPr>
              <w:t>%</w:t>
            </w:r>
            <w:r w:rsidR="0015156D">
              <w:rPr>
                <w:rFonts w:ascii="Arial" w:hAnsi="Arial" w:cs="Arial"/>
                <w:sz w:val="20"/>
                <w:szCs w:val="20"/>
              </w:rPr>
              <w:t>«</w:t>
            </w:r>
            <w:r>
              <w:rPr>
                <w:rFonts w:ascii="Arial" w:hAnsi="Arial" w:cs="Arial"/>
                <w:sz w:val="20"/>
                <w:szCs w:val="20"/>
              </w:rPr>
              <w:t xml:space="preserve"> nadomesti </w:t>
            </w:r>
            <w:r w:rsidR="00BB5B9E">
              <w:rPr>
                <w:rFonts w:ascii="Arial" w:hAnsi="Arial" w:cs="Arial"/>
                <w:sz w:val="20"/>
                <w:szCs w:val="20"/>
              </w:rPr>
              <w:t>s stopnjo</w:t>
            </w:r>
            <w:r>
              <w:rPr>
                <w:rFonts w:ascii="Arial" w:hAnsi="Arial" w:cs="Arial"/>
                <w:sz w:val="20"/>
                <w:szCs w:val="20"/>
              </w:rPr>
              <w:t xml:space="preserve"> »25</w:t>
            </w:r>
            <w:r w:rsidR="008F3BDB">
              <w:rPr>
                <w:rFonts w:ascii="Arial" w:hAnsi="Arial" w:cs="Arial"/>
                <w:sz w:val="20"/>
                <w:szCs w:val="20"/>
              </w:rPr>
              <w:t> </w:t>
            </w:r>
            <w:r>
              <w:rPr>
                <w:rFonts w:ascii="Arial" w:hAnsi="Arial" w:cs="Arial"/>
                <w:sz w:val="20"/>
                <w:szCs w:val="20"/>
              </w:rPr>
              <w:t>%«.</w:t>
            </w:r>
          </w:p>
          <w:p w14:paraId="3359CF16" w14:textId="60E0BCEC" w:rsidR="00BA7319" w:rsidRDefault="00BA7319" w:rsidP="00680A87">
            <w:pPr>
              <w:spacing w:after="0" w:line="276" w:lineRule="auto"/>
              <w:jc w:val="both"/>
              <w:rPr>
                <w:rFonts w:ascii="Arial" w:hAnsi="Arial" w:cs="Arial"/>
                <w:sz w:val="20"/>
                <w:szCs w:val="20"/>
              </w:rPr>
            </w:pPr>
          </w:p>
          <w:p w14:paraId="41104F18" w14:textId="767C9E30" w:rsidR="00F14092" w:rsidRDefault="00F14092"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t>člen</w:t>
            </w:r>
          </w:p>
          <w:p w14:paraId="02965EC9" w14:textId="77777777" w:rsidR="00F14092" w:rsidRDefault="00F14092" w:rsidP="00680A87">
            <w:pPr>
              <w:spacing w:after="0" w:line="276" w:lineRule="auto"/>
              <w:jc w:val="both"/>
              <w:rPr>
                <w:rFonts w:ascii="Arial" w:hAnsi="Arial" w:cs="Arial"/>
                <w:sz w:val="20"/>
                <w:szCs w:val="20"/>
              </w:rPr>
            </w:pPr>
          </w:p>
          <w:p w14:paraId="104D2606"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V 142. členu se v prvem odstavku besedilo »0,5%« nadomesti z besedilom »1 %«.</w:t>
            </w:r>
          </w:p>
          <w:p w14:paraId="7AB8694D" w14:textId="77777777" w:rsidR="00AD68A5" w:rsidRPr="00AD68A5" w:rsidRDefault="00AD68A5" w:rsidP="00AD68A5">
            <w:pPr>
              <w:spacing w:after="0" w:line="276" w:lineRule="auto"/>
              <w:jc w:val="both"/>
              <w:rPr>
                <w:rFonts w:ascii="Arial" w:hAnsi="Arial" w:cs="Arial"/>
                <w:sz w:val="20"/>
                <w:szCs w:val="20"/>
              </w:rPr>
            </w:pPr>
          </w:p>
          <w:p w14:paraId="0FACA6DC"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Drugi odstavek se spremeni tako, da se glasi:</w:t>
            </w:r>
          </w:p>
          <w:p w14:paraId="6D8A115F" w14:textId="77777777" w:rsidR="00AD68A5" w:rsidRPr="00AD68A5" w:rsidRDefault="00AD68A5" w:rsidP="00AD68A5">
            <w:pPr>
              <w:spacing w:after="0" w:line="276" w:lineRule="auto"/>
              <w:jc w:val="both"/>
              <w:rPr>
                <w:rFonts w:ascii="Arial" w:hAnsi="Arial" w:cs="Arial"/>
                <w:sz w:val="20"/>
                <w:szCs w:val="20"/>
              </w:rPr>
            </w:pPr>
          </w:p>
          <w:p w14:paraId="64C96657"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»(2) Upravičenci do donacij iz namenitve dela dohodnine za posamezno leto so nevladne organizacije, politične stranke, šole in vrtci, reprezentativni sindikati, registrirane cerkve in druge verske skupnosti ter sestavni deli registriranih cerkva in drugih verskih skupnosti, ki na dan 31. decembra prejšnjega leta izpolnjujejo pogoje iz tega člena.«.</w:t>
            </w:r>
          </w:p>
          <w:p w14:paraId="1D680920" w14:textId="77777777" w:rsidR="00AD68A5" w:rsidRPr="00AD68A5" w:rsidRDefault="00AD68A5" w:rsidP="00AD68A5">
            <w:pPr>
              <w:spacing w:after="0" w:line="276" w:lineRule="auto"/>
              <w:jc w:val="both"/>
              <w:rPr>
                <w:rFonts w:ascii="Arial" w:hAnsi="Arial" w:cs="Arial"/>
                <w:sz w:val="20"/>
                <w:szCs w:val="20"/>
              </w:rPr>
            </w:pPr>
          </w:p>
          <w:p w14:paraId="3B32CB38"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V četrtem odstavku se na koncu doda besedilo, ki se glasi:</w:t>
            </w:r>
          </w:p>
          <w:p w14:paraId="26AAFED5" w14:textId="77777777" w:rsidR="00AD68A5" w:rsidRPr="00AD68A5" w:rsidRDefault="00AD68A5" w:rsidP="00AD68A5">
            <w:pPr>
              <w:spacing w:after="0" w:line="276" w:lineRule="auto"/>
              <w:jc w:val="both"/>
              <w:rPr>
                <w:rFonts w:ascii="Arial" w:hAnsi="Arial" w:cs="Arial"/>
                <w:sz w:val="20"/>
                <w:szCs w:val="20"/>
              </w:rPr>
            </w:pPr>
          </w:p>
          <w:p w14:paraId="08FF02E8"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»Za sestavne dele registriranih cerkva in drugih verskih skupnosti po drugem odstavku tega člena se štejejo sestavni deli registriranih cerkva ali drugih verskih skupnosti, ki so pridobili pravno osebnost po zakonu, ki ureja versko svobodo.«.</w:t>
            </w:r>
          </w:p>
          <w:p w14:paraId="3A1F235F"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 xml:space="preserve"> </w:t>
            </w:r>
          </w:p>
          <w:p w14:paraId="579CC9FA"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Za četrtim odstavkom se dodata nova peti in šesti odstavek, ki se glasita:</w:t>
            </w:r>
          </w:p>
          <w:p w14:paraId="34FD6D30" w14:textId="77777777" w:rsidR="00AD68A5" w:rsidRPr="00AD68A5" w:rsidRDefault="00AD68A5" w:rsidP="00AD68A5">
            <w:pPr>
              <w:spacing w:after="0" w:line="276" w:lineRule="auto"/>
              <w:jc w:val="both"/>
              <w:rPr>
                <w:rFonts w:ascii="Arial" w:hAnsi="Arial" w:cs="Arial"/>
                <w:sz w:val="20"/>
                <w:szCs w:val="20"/>
              </w:rPr>
            </w:pPr>
          </w:p>
          <w:p w14:paraId="79529D74"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»(5) Za šole in vrtce po drugem odstavku tega člena se štejejo pravne osebe, ki imajo v skladu z zakonom, ki ureja organizacijo in financiranje vzgoje in izobraževanja, ustanovljen šolski sklad oziroma sklad vrtca, ki sredstva iz sklada namenja tudi za udeležbo otrok, učencev in dijakov iz socialno manj spodbudnih okolij na dejavnostih, ki so povezane z izvajanjem javno veljavnega programa, vendar pa se ne financirajo v celoti iz javnih sredstev, če se tako zagotavljajo enake možnosti.</w:t>
            </w:r>
          </w:p>
          <w:p w14:paraId="716F753B" w14:textId="77777777" w:rsidR="00AD68A5" w:rsidRPr="00AD68A5" w:rsidRDefault="00AD68A5" w:rsidP="00AD68A5">
            <w:pPr>
              <w:spacing w:after="0" w:line="276" w:lineRule="auto"/>
              <w:jc w:val="both"/>
              <w:rPr>
                <w:rFonts w:ascii="Arial" w:hAnsi="Arial" w:cs="Arial"/>
                <w:sz w:val="20"/>
                <w:szCs w:val="20"/>
              </w:rPr>
            </w:pPr>
          </w:p>
          <w:p w14:paraId="5BF14FA5"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(6) Rezident lahko zahteva, da se šolam in vrtcem iz petega odstavka tega člena v okviru deleža dohodnine iz prvega odstavka tega člena nameni do 0,3 % dohodnine, odmerjene po tem zakonu, od dohodkov, ki se vštevajo v letno davčno osnovo.«.</w:t>
            </w:r>
          </w:p>
          <w:p w14:paraId="5389467B" w14:textId="77777777" w:rsidR="00AD68A5" w:rsidRPr="00AD68A5" w:rsidRDefault="00AD68A5" w:rsidP="00AD68A5">
            <w:pPr>
              <w:spacing w:after="0" w:line="276" w:lineRule="auto"/>
              <w:jc w:val="both"/>
              <w:rPr>
                <w:rFonts w:ascii="Arial" w:hAnsi="Arial" w:cs="Arial"/>
                <w:sz w:val="20"/>
                <w:szCs w:val="20"/>
              </w:rPr>
            </w:pPr>
          </w:p>
          <w:p w14:paraId="5461B8D8"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Dosedanji peti odstavek postane sedmi odstavek.</w:t>
            </w:r>
          </w:p>
          <w:p w14:paraId="43FD2058" w14:textId="77777777" w:rsidR="00AD68A5" w:rsidRPr="00AD68A5" w:rsidRDefault="00AD68A5" w:rsidP="00AD68A5">
            <w:pPr>
              <w:spacing w:after="0" w:line="276" w:lineRule="auto"/>
              <w:jc w:val="both"/>
              <w:rPr>
                <w:rFonts w:ascii="Arial" w:hAnsi="Arial" w:cs="Arial"/>
                <w:sz w:val="20"/>
                <w:szCs w:val="20"/>
              </w:rPr>
            </w:pPr>
          </w:p>
          <w:p w14:paraId="60CE9CB2"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Dosedanji šesti odstavek, ki postane osmi odstavek, se spremeni tako, da se glasi:</w:t>
            </w:r>
          </w:p>
          <w:p w14:paraId="715E3280" w14:textId="77777777" w:rsidR="00AD68A5" w:rsidRPr="00AD68A5" w:rsidRDefault="00AD68A5" w:rsidP="00AD68A5">
            <w:pPr>
              <w:spacing w:after="0" w:line="276" w:lineRule="auto"/>
              <w:jc w:val="both"/>
              <w:rPr>
                <w:rFonts w:ascii="Arial" w:hAnsi="Arial" w:cs="Arial"/>
                <w:sz w:val="20"/>
                <w:szCs w:val="20"/>
              </w:rPr>
            </w:pPr>
          </w:p>
          <w:p w14:paraId="45C45089"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»(8) Organ, ki je v skladu z zakonom, ki ureja versko svobodo, pristojen za vodenje Registra cerkva in drugih verskih skupnosti v Republiki Sloveniji, organ, pristojen za izdajo potrdil o pravni osebnosti sestavnih delov registriranih cerkva in drugih verskih skupnosti, ter organ, ki je v skladu z zakonom, ki ureja politične stranke, pristojen za vodenje Registra strank, ministrstvu, pristojnemu za finance, brezplačno, enkrat letno zagotovi podatke iz teh registrov in iz izdanih potrdil o pravni osebnosti, potrebne za namene priprave seznama upravičencev do donacij.«.</w:t>
            </w:r>
          </w:p>
          <w:p w14:paraId="17527150" w14:textId="77777777" w:rsidR="00AD68A5" w:rsidRPr="00AD68A5" w:rsidRDefault="00AD68A5" w:rsidP="00AD68A5">
            <w:pPr>
              <w:spacing w:after="0" w:line="276" w:lineRule="auto"/>
              <w:jc w:val="both"/>
              <w:rPr>
                <w:rFonts w:ascii="Arial" w:hAnsi="Arial" w:cs="Arial"/>
                <w:sz w:val="20"/>
                <w:szCs w:val="20"/>
              </w:rPr>
            </w:pPr>
          </w:p>
          <w:p w14:paraId="50D1BFDC"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Za dosedanjim sedmim odstavkom, ki postane deveti odstavek, se doda nov, deseti odstavek, ki se glasi:</w:t>
            </w:r>
          </w:p>
          <w:p w14:paraId="19BA44CC" w14:textId="77777777" w:rsidR="00AD68A5" w:rsidRPr="00AD68A5" w:rsidRDefault="00AD68A5" w:rsidP="00AD68A5">
            <w:pPr>
              <w:spacing w:after="0" w:line="276" w:lineRule="auto"/>
              <w:jc w:val="both"/>
              <w:rPr>
                <w:rFonts w:ascii="Arial" w:hAnsi="Arial" w:cs="Arial"/>
                <w:sz w:val="20"/>
                <w:szCs w:val="20"/>
              </w:rPr>
            </w:pPr>
          </w:p>
          <w:p w14:paraId="19EE12D7" w14:textId="77777777" w:rsidR="00AD68A5" w:rsidRPr="00AD68A5" w:rsidRDefault="00AD68A5" w:rsidP="00AD68A5">
            <w:pPr>
              <w:spacing w:after="0" w:line="276" w:lineRule="auto"/>
              <w:jc w:val="both"/>
              <w:rPr>
                <w:rFonts w:ascii="Arial" w:hAnsi="Arial" w:cs="Arial"/>
                <w:sz w:val="20"/>
                <w:szCs w:val="20"/>
              </w:rPr>
            </w:pPr>
            <w:r w:rsidRPr="00AD68A5">
              <w:rPr>
                <w:rFonts w:ascii="Arial" w:hAnsi="Arial" w:cs="Arial"/>
                <w:sz w:val="20"/>
                <w:szCs w:val="20"/>
              </w:rPr>
              <w:t>»(10) Ministrstvo, pristojno za šolstvo, ministrstvu, pristojnemu za finance, brezplačno, enkrat letno zagotovi podatke o šolah in vrtcih iz petega odstavka tega člena, potrebne za namen priprave seznama upravičencev do donacij.«</w:t>
            </w:r>
          </w:p>
          <w:p w14:paraId="5D557594" w14:textId="77777777" w:rsidR="00AD68A5" w:rsidRPr="00AD68A5" w:rsidRDefault="00AD68A5" w:rsidP="00AD68A5">
            <w:pPr>
              <w:spacing w:after="0" w:line="276" w:lineRule="auto"/>
              <w:jc w:val="both"/>
              <w:rPr>
                <w:rFonts w:ascii="Arial" w:hAnsi="Arial" w:cs="Arial"/>
                <w:sz w:val="20"/>
                <w:szCs w:val="20"/>
              </w:rPr>
            </w:pPr>
          </w:p>
          <w:p w14:paraId="3A57DCB5" w14:textId="101A6C83" w:rsidR="00E82766" w:rsidRDefault="00AD68A5" w:rsidP="00F14092">
            <w:pPr>
              <w:spacing w:after="0" w:line="276" w:lineRule="auto"/>
              <w:jc w:val="both"/>
              <w:rPr>
                <w:rFonts w:ascii="Arial" w:hAnsi="Arial" w:cs="Arial"/>
                <w:sz w:val="20"/>
                <w:szCs w:val="20"/>
              </w:rPr>
            </w:pPr>
            <w:r w:rsidRPr="00AD68A5">
              <w:rPr>
                <w:rFonts w:ascii="Arial" w:hAnsi="Arial" w:cs="Arial"/>
                <w:sz w:val="20"/>
                <w:szCs w:val="20"/>
              </w:rPr>
              <w:t>Dosedanji osmi odstavek postane enajsti odstavek.</w:t>
            </w:r>
          </w:p>
          <w:p w14:paraId="633085AD" w14:textId="77777777" w:rsidR="00337778" w:rsidRDefault="00337778" w:rsidP="005123A2">
            <w:pPr>
              <w:spacing w:after="0" w:line="276" w:lineRule="auto"/>
              <w:jc w:val="both"/>
              <w:rPr>
                <w:rFonts w:ascii="Arial" w:hAnsi="Arial" w:cs="Arial"/>
                <w:sz w:val="20"/>
                <w:szCs w:val="20"/>
              </w:rPr>
            </w:pPr>
          </w:p>
          <w:p w14:paraId="2991363A" w14:textId="0A7FA3FB" w:rsidR="005C1F6F" w:rsidRPr="005C1F6F" w:rsidRDefault="00055FE6" w:rsidP="00315255">
            <w:pPr>
              <w:spacing w:after="0" w:line="276" w:lineRule="auto"/>
              <w:jc w:val="center"/>
              <w:rPr>
                <w:rFonts w:ascii="Arial" w:hAnsi="Arial" w:cs="Arial"/>
                <w:sz w:val="20"/>
                <w:szCs w:val="20"/>
              </w:rPr>
            </w:pPr>
            <w:r w:rsidRPr="00055FE6">
              <w:rPr>
                <w:rFonts w:ascii="Arial" w:hAnsi="Arial" w:cs="Arial"/>
                <w:sz w:val="20"/>
                <w:szCs w:val="20"/>
              </w:rPr>
              <w:t>PREHODNE IN KONČN</w:t>
            </w:r>
            <w:r w:rsidR="007E2873">
              <w:rPr>
                <w:rFonts w:ascii="Arial" w:hAnsi="Arial" w:cs="Arial"/>
                <w:sz w:val="20"/>
                <w:szCs w:val="20"/>
              </w:rPr>
              <w:t>A</w:t>
            </w:r>
            <w:r w:rsidRPr="00055FE6">
              <w:rPr>
                <w:rFonts w:ascii="Arial" w:hAnsi="Arial" w:cs="Arial"/>
                <w:sz w:val="20"/>
                <w:szCs w:val="20"/>
              </w:rPr>
              <w:t xml:space="preserve"> DOLOČB</w:t>
            </w:r>
            <w:r w:rsidR="007E2873">
              <w:rPr>
                <w:rFonts w:ascii="Arial" w:hAnsi="Arial" w:cs="Arial"/>
                <w:sz w:val="20"/>
                <w:szCs w:val="20"/>
              </w:rPr>
              <w:t>A</w:t>
            </w:r>
          </w:p>
          <w:p w14:paraId="2FBDDE88" w14:textId="4357A25A" w:rsidR="005C1F6F" w:rsidRDefault="005C1F6F" w:rsidP="00315255">
            <w:pPr>
              <w:spacing w:after="0"/>
              <w:jc w:val="both"/>
              <w:rPr>
                <w:rFonts w:ascii="Arial" w:hAnsi="Arial" w:cs="Arial"/>
                <w:sz w:val="20"/>
                <w:szCs w:val="20"/>
              </w:rPr>
            </w:pPr>
          </w:p>
          <w:p w14:paraId="51D3D357" w14:textId="643FD702" w:rsidR="00012EBD" w:rsidRDefault="00012EBD" w:rsidP="00076F4A">
            <w:pPr>
              <w:pStyle w:val="Odstavekseznama"/>
              <w:numPr>
                <w:ilvl w:val="0"/>
                <w:numId w:val="21"/>
              </w:numPr>
              <w:spacing w:line="276" w:lineRule="auto"/>
              <w:contextualSpacing/>
              <w:jc w:val="center"/>
              <w:rPr>
                <w:rFonts w:ascii="Arial" w:hAnsi="Arial" w:cs="Arial"/>
                <w:sz w:val="20"/>
                <w:szCs w:val="20"/>
              </w:rPr>
            </w:pPr>
            <w:r>
              <w:rPr>
                <w:rFonts w:ascii="Arial" w:hAnsi="Arial" w:cs="Arial"/>
                <w:sz w:val="20"/>
                <w:szCs w:val="20"/>
              </w:rPr>
              <w:t>člen</w:t>
            </w:r>
          </w:p>
          <w:p w14:paraId="5804B635" w14:textId="00285247" w:rsidR="00012EBD" w:rsidRPr="00012EBD" w:rsidRDefault="00012EBD" w:rsidP="00315255">
            <w:pPr>
              <w:spacing w:after="0"/>
              <w:jc w:val="center"/>
              <w:rPr>
                <w:rFonts w:ascii="Arial" w:hAnsi="Arial" w:cs="Arial"/>
                <w:sz w:val="20"/>
                <w:szCs w:val="20"/>
              </w:rPr>
            </w:pPr>
            <w:r w:rsidRPr="00012EBD">
              <w:rPr>
                <w:rFonts w:ascii="Arial" w:hAnsi="Arial" w:cs="Arial"/>
                <w:sz w:val="20"/>
                <w:szCs w:val="20"/>
              </w:rPr>
              <w:t>(uskladitev olajšav in lestvice za odmero dohodnine</w:t>
            </w:r>
            <w:r w:rsidR="00C9633E">
              <w:rPr>
                <w:rFonts w:ascii="Arial" w:hAnsi="Arial" w:cs="Arial"/>
                <w:sz w:val="20"/>
                <w:szCs w:val="20"/>
              </w:rPr>
              <w:t xml:space="preserve"> za leto</w:t>
            </w:r>
            <w:r w:rsidR="008F3BDB">
              <w:rPr>
                <w:rFonts w:ascii="Arial" w:hAnsi="Arial" w:cs="Arial"/>
                <w:sz w:val="20"/>
                <w:szCs w:val="20"/>
              </w:rPr>
              <w:t> </w:t>
            </w:r>
            <w:r w:rsidR="00C9633E">
              <w:rPr>
                <w:rFonts w:ascii="Arial" w:hAnsi="Arial" w:cs="Arial"/>
                <w:sz w:val="20"/>
                <w:szCs w:val="20"/>
              </w:rPr>
              <w:t>2023</w:t>
            </w:r>
            <w:r w:rsidRPr="00012EBD">
              <w:rPr>
                <w:rFonts w:ascii="Arial" w:hAnsi="Arial" w:cs="Arial"/>
                <w:sz w:val="20"/>
                <w:szCs w:val="20"/>
              </w:rPr>
              <w:t>)</w:t>
            </w:r>
          </w:p>
          <w:p w14:paraId="498D68CD" w14:textId="77777777" w:rsidR="00012EBD" w:rsidRDefault="00012EBD" w:rsidP="00315255">
            <w:pPr>
              <w:spacing w:after="0"/>
              <w:jc w:val="both"/>
              <w:rPr>
                <w:rFonts w:ascii="Arial" w:hAnsi="Arial" w:cs="Arial"/>
                <w:sz w:val="20"/>
                <w:szCs w:val="20"/>
              </w:rPr>
            </w:pPr>
          </w:p>
          <w:p w14:paraId="220FB4C1" w14:textId="0066B98E" w:rsidR="005C1F6F" w:rsidRDefault="0052557D" w:rsidP="00315255">
            <w:pPr>
              <w:spacing w:after="0"/>
              <w:jc w:val="both"/>
              <w:rPr>
                <w:rFonts w:ascii="Arial" w:hAnsi="Arial" w:cs="Arial"/>
                <w:sz w:val="20"/>
                <w:szCs w:val="20"/>
              </w:rPr>
            </w:pPr>
            <w:r>
              <w:rPr>
                <w:rFonts w:ascii="Arial" w:hAnsi="Arial" w:cs="Arial"/>
                <w:sz w:val="20"/>
                <w:szCs w:val="20"/>
              </w:rPr>
              <w:t xml:space="preserve">Ne glede na </w:t>
            </w:r>
            <w:r w:rsidR="00012EBD" w:rsidRPr="00012EBD">
              <w:rPr>
                <w:rFonts w:ascii="Arial" w:hAnsi="Arial" w:cs="Arial"/>
                <w:sz w:val="20"/>
                <w:szCs w:val="20"/>
              </w:rPr>
              <w:t>spremenjeni</w:t>
            </w:r>
            <w:r>
              <w:rPr>
                <w:rFonts w:ascii="Arial" w:hAnsi="Arial" w:cs="Arial"/>
                <w:sz w:val="20"/>
                <w:szCs w:val="20"/>
              </w:rPr>
              <w:t xml:space="preserve"> </w:t>
            </w:r>
            <w:r w:rsidR="00012EBD" w:rsidRPr="00012EBD">
              <w:rPr>
                <w:rFonts w:ascii="Arial" w:hAnsi="Arial" w:cs="Arial"/>
                <w:sz w:val="20"/>
                <w:szCs w:val="20"/>
              </w:rPr>
              <w:t>118.</w:t>
            </w:r>
            <w:r w:rsidR="00854D24">
              <w:rPr>
                <w:rFonts w:ascii="Arial" w:hAnsi="Arial" w:cs="Arial"/>
                <w:sz w:val="20"/>
                <w:szCs w:val="20"/>
              </w:rPr>
              <w:t> </w:t>
            </w:r>
            <w:r w:rsidR="00012EBD" w:rsidRPr="00012EBD">
              <w:rPr>
                <w:rFonts w:ascii="Arial" w:hAnsi="Arial" w:cs="Arial"/>
                <w:sz w:val="20"/>
                <w:szCs w:val="20"/>
              </w:rPr>
              <w:t xml:space="preserve">člen ter </w:t>
            </w:r>
            <w:r>
              <w:rPr>
                <w:rFonts w:ascii="Arial" w:hAnsi="Arial" w:cs="Arial"/>
                <w:sz w:val="20"/>
                <w:szCs w:val="20"/>
              </w:rPr>
              <w:t xml:space="preserve">spremenjena </w:t>
            </w:r>
            <w:r w:rsidR="00012EBD" w:rsidRPr="00012EBD">
              <w:rPr>
                <w:rFonts w:ascii="Arial" w:hAnsi="Arial" w:cs="Arial"/>
                <w:sz w:val="20"/>
                <w:szCs w:val="20"/>
              </w:rPr>
              <w:t>drugi in tretji odstav</w:t>
            </w:r>
            <w:r>
              <w:rPr>
                <w:rFonts w:ascii="Arial" w:hAnsi="Arial" w:cs="Arial"/>
                <w:sz w:val="20"/>
                <w:szCs w:val="20"/>
              </w:rPr>
              <w:t>ek</w:t>
            </w:r>
            <w:r w:rsidR="00012EBD" w:rsidRPr="00012EBD">
              <w:rPr>
                <w:rFonts w:ascii="Arial" w:hAnsi="Arial" w:cs="Arial"/>
                <w:sz w:val="20"/>
                <w:szCs w:val="20"/>
              </w:rPr>
              <w:t xml:space="preserve"> 122.</w:t>
            </w:r>
            <w:r w:rsidR="00854D24">
              <w:rPr>
                <w:rFonts w:ascii="Arial" w:hAnsi="Arial" w:cs="Arial"/>
                <w:sz w:val="20"/>
                <w:szCs w:val="20"/>
              </w:rPr>
              <w:t> </w:t>
            </w:r>
            <w:r w:rsidR="00012EBD" w:rsidRPr="00012EBD">
              <w:rPr>
                <w:rFonts w:ascii="Arial" w:hAnsi="Arial" w:cs="Arial"/>
                <w:sz w:val="20"/>
                <w:szCs w:val="20"/>
              </w:rPr>
              <w:t xml:space="preserve">člena </w:t>
            </w:r>
            <w:r w:rsidR="006B78BA">
              <w:rPr>
                <w:rFonts w:ascii="Arial" w:hAnsi="Arial" w:cs="Arial"/>
                <w:sz w:val="20"/>
                <w:szCs w:val="20"/>
              </w:rPr>
              <w:t xml:space="preserve">zakona </w:t>
            </w:r>
            <w:r>
              <w:rPr>
                <w:rFonts w:ascii="Arial" w:hAnsi="Arial" w:cs="Arial"/>
                <w:sz w:val="20"/>
                <w:szCs w:val="20"/>
              </w:rPr>
              <w:t xml:space="preserve">se </w:t>
            </w:r>
            <w:r w:rsidR="00645093">
              <w:rPr>
                <w:rFonts w:ascii="Arial" w:hAnsi="Arial" w:cs="Arial"/>
                <w:sz w:val="20"/>
                <w:szCs w:val="20"/>
              </w:rPr>
              <w:t>uskladitev olajšav in lestvice za odmero dohodnine za leto 2023 ne opravi</w:t>
            </w:r>
            <w:r w:rsidR="006F0CA5" w:rsidDel="00645093">
              <w:rPr>
                <w:rFonts w:ascii="Arial" w:hAnsi="Arial" w:cs="Arial"/>
                <w:sz w:val="20"/>
                <w:szCs w:val="20"/>
              </w:rPr>
              <w:t>.</w:t>
            </w:r>
          </w:p>
          <w:p w14:paraId="2F3C01AD" w14:textId="2C192869" w:rsidR="00990569" w:rsidRDefault="00990569" w:rsidP="00315255">
            <w:pPr>
              <w:spacing w:after="0" w:line="276" w:lineRule="auto"/>
              <w:jc w:val="both"/>
              <w:rPr>
                <w:rFonts w:ascii="Arial" w:hAnsi="Arial" w:cs="Arial"/>
                <w:sz w:val="20"/>
                <w:szCs w:val="20"/>
              </w:rPr>
            </w:pPr>
          </w:p>
          <w:p w14:paraId="2DC17731" w14:textId="170A4DA3" w:rsidR="00F45022" w:rsidRDefault="00F45022" w:rsidP="00076F4A">
            <w:pPr>
              <w:pStyle w:val="Odstavekseznama"/>
              <w:numPr>
                <w:ilvl w:val="0"/>
                <w:numId w:val="21"/>
              </w:numPr>
              <w:spacing w:line="276" w:lineRule="auto"/>
              <w:jc w:val="center"/>
              <w:rPr>
                <w:rFonts w:ascii="Arial" w:hAnsi="Arial" w:cs="Arial"/>
                <w:sz w:val="20"/>
                <w:szCs w:val="20"/>
              </w:rPr>
            </w:pPr>
            <w:bookmarkStart w:id="8" w:name="_Hlk114128071"/>
            <w:r>
              <w:rPr>
                <w:rFonts w:ascii="Arial" w:hAnsi="Arial" w:cs="Arial"/>
                <w:sz w:val="20"/>
                <w:szCs w:val="20"/>
              </w:rPr>
              <w:t>člen</w:t>
            </w:r>
          </w:p>
          <w:p w14:paraId="0918F874" w14:textId="7D5D5256" w:rsidR="00F45022" w:rsidRPr="00F45022" w:rsidRDefault="00F45022" w:rsidP="00F45022">
            <w:pPr>
              <w:pStyle w:val="Odstavekseznama"/>
              <w:spacing w:line="276" w:lineRule="auto"/>
              <w:ind w:left="360"/>
              <w:jc w:val="center"/>
              <w:rPr>
                <w:rFonts w:ascii="Arial" w:hAnsi="Arial" w:cs="Arial"/>
                <w:sz w:val="20"/>
                <w:szCs w:val="20"/>
              </w:rPr>
            </w:pPr>
            <w:r w:rsidRPr="00F45022">
              <w:rPr>
                <w:rFonts w:ascii="Arial" w:hAnsi="Arial" w:cs="Arial"/>
                <w:sz w:val="20"/>
                <w:szCs w:val="20"/>
              </w:rPr>
              <w:t xml:space="preserve">(uporaba </w:t>
            </w:r>
            <w:r w:rsidR="00424C2A">
              <w:rPr>
                <w:rFonts w:ascii="Arial" w:hAnsi="Arial" w:cs="Arial"/>
                <w:sz w:val="20"/>
                <w:szCs w:val="20"/>
              </w:rPr>
              <w:t xml:space="preserve">nove </w:t>
            </w:r>
            <w:r w:rsidRPr="00F45022">
              <w:rPr>
                <w:rFonts w:ascii="Arial" w:hAnsi="Arial" w:cs="Arial"/>
                <w:sz w:val="20"/>
                <w:szCs w:val="20"/>
              </w:rPr>
              <w:t>6.</w:t>
            </w:r>
            <w:r w:rsidR="008F3BDB">
              <w:rPr>
                <w:rFonts w:ascii="Arial" w:hAnsi="Arial" w:cs="Arial"/>
                <w:sz w:val="20"/>
                <w:szCs w:val="20"/>
              </w:rPr>
              <w:t> </w:t>
            </w:r>
            <w:r w:rsidRPr="00F45022">
              <w:rPr>
                <w:rFonts w:ascii="Arial" w:hAnsi="Arial" w:cs="Arial"/>
                <w:sz w:val="20"/>
                <w:szCs w:val="20"/>
              </w:rPr>
              <w:t>točke četrtega odstavka 90.</w:t>
            </w:r>
            <w:r w:rsidR="008F3BDB">
              <w:rPr>
                <w:rFonts w:ascii="Arial" w:hAnsi="Arial" w:cs="Arial"/>
                <w:sz w:val="20"/>
                <w:szCs w:val="20"/>
              </w:rPr>
              <w:t> </w:t>
            </w:r>
            <w:r w:rsidRPr="00F45022">
              <w:rPr>
                <w:rFonts w:ascii="Arial" w:hAnsi="Arial" w:cs="Arial"/>
                <w:sz w:val="20"/>
                <w:szCs w:val="20"/>
              </w:rPr>
              <w:t>člena zakona)</w:t>
            </w:r>
          </w:p>
          <w:p w14:paraId="298DFA7C" w14:textId="77777777" w:rsidR="00F45022" w:rsidRDefault="00F45022" w:rsidP="007E1E74">
            <w:pPr>
              <w:pStyle w:val="Odstavekseznama"/>
              <w:spacing w:line="276" w:lineRule="auto"/>
              <w:ind w:left="360"/>
              <w:jc w:val="both"/>
              <w:rPr>
                <w:rFonts w:ascii="Arial" w:hAnsi="Arial" w:cs="Arial"/>
                <w:sz w:val="20"/>
                <w:szCs w:val="20"/>
              </w:rPr>
            </w:pPr>
          </w:p>
          <w:p w14:paraId="4852D890" w14:textId="7036A363" w:rsidR="002B7200" w:rsidRPr="002B7200" w:rsidRDefault="002B7200" w:rsidP="00442C73">
            <w:pPr>
              <w:pStyle w:val="Odstavekseznama"/>
              <w:spacing w:line="276" w:lineRule="auto"/>
              <w:ind w:left="0"/>
              <w:jc w:val="both"/>
              <w:rPr>
                <w:rFonts w:ascii="Arial" w:eastAsiaTheme="minorHAnsi" w:hAnsi="Arial" w:cs="Arial"/>
                <w:sz w:val="20"/>
                <w:szCs w:val="20"/>
                <w:lang w:eastAsia="en-US"/>
              </w:rPr>
            </w:pPr>
            <w:r w:rsidRPr="002B7200">
              <w:rPr>
                <w:rFonts w:ascii="Arial" w:eastAsiaTheme="minorHAnsi" w:hAnsi="Arial" w:cs="Arial"/>
                <w:sz w:val="20"/>
                <w:szCs w:val="20"/>
                <w:lang w:eastAsia="en-US"/>
              </w:rPr>
              <w:t xml:space="preserve">(1) </w:t>
            </w:r>
            <w:r w:rsidR="002E1176">
              <w:rPr>
                <w:rFonts w:ascii="Arial" w:eastAsiaTheme="minorHAnsi" w:hAnsi="Arial" w:cs="Arial"/>
                <w:sz w:val="20"/>
                <w:szCs w:val="20"/>
                <w:lang w:eastAsia="en-US"/>
              </w:rPr>
              <w:t>Ne glede na 2</w:t>
            </w:r>
            <w:r w:rsidR="00BF3768">
              <w:rPr>
                <w:rFonts w:ascii="Arial" w:eastAsiaTheme="minorHAnsi" w:hAnsi="Arial" w:cs="Arial"/>
                <w:sz w:val="20"/>
                <w:szCs w:val="20"/>
                <w:lang w:eastAsia="en-US"/>
              </w:rPr>
              <w:t>1</w:t>
            </w:r>
            <w:r w:rsidR="002E1176">
              <w:rPr>
                <w:rFonts w:ascii="Arial" w:eastAsiaTheme="minorHAnsi" w:hAnsi="Arial" w:cs="Arial"/>
                <w:sz w:val="20"/>
                <w:szCs w:val="20"/>
                <w:lang w:eastAsia="en-US"/>
              </w:rPr>
              <w:t>. člen tega zakona se spremenjeni 90. člen zakona uporablja za davčno leto 2022, če se d</w:t>
            </w:r>
            <w:r w:rsidRPr="002B7200">
              <w:rPr>
                <w:rFonts w:ascii="Arial" w:eastAsiaTheme="minorHAnsi" w:hAnsi="Arial" w:cs="Arial"/>
                <w:sz w:val="20"/>
                <w:szCs w:val="20"/>
                <w:lang w:eastAsia="en-US"/>
              </w:rPr>
              <w:t xml:space="preserve">avčni zavezanec, ki je </w:t>
            </w:r>
            <w:r w:rsidRPr="005B0933">
              <w:rPr>
                <w:rFonts w:ascii="Arial" w:eastAsiaTheme="minorHAnsi" w:hAnsi="Arial" w:cs="Arial"/>
                <w:sz w:val="20"/>
                <w:szCs w:val="20"/>
                <w:lang w:eastAsia="en-US"/>
              </w:rPr>
              <w:t>v letu</w:t>
            </w:r>
            <w:r w:rsidR="008F3BDB" w:rsidRPr="005B0933">
              <w:rPr>
                <w:rFonts w:ascii="Arial" w:eastAsiaTheme="minorHAnsi" w:hAnsi="Arial" w:cs="Arial"/>
                <w:sz w:val="20"/>
                <w:szCs w:val="20"/>
                <w:lang w:eastAsia="en-US"/>
              </w:rPr>
              <w:t> </w:t>
            </w:r>
            <w:r w:rsidRPr="005B0933">
              <w:rPr>
                <w:rFonts w:ascii="Arial" w:eastAsiaTheme="minorHAnsi" w:hAnsi="Arial" w:cs="Arial"/>
                <w:sz w:val="20"/>
                <w:szCs w:val="20"/>
                <w:lang w:eastAsia="en-US"/>
              </w:rPr>
              <w:t>2022</w:t>
            </w:r>
            <w:r w:rsidRPr="002B7200">
              <w:rPr>
                <w:rFonts w:ascii="Arial" w:eastAsiaTheme="minorHAnsi" w:hAnsi="Arial" w:cs="Arial"/>
                <w:sz w:val="20"/>
                <w:szCs w:val="20"/>
                <w:lang w:eastAsia="en-US"/>
              </w:rPr>
              <w:t xml:space="preserve"> prejel izplačilo vrednosti ali dela vrednosti delnic ali deležev v okviru pridobivanja lastnih delnic oziroma delnic družbe, v primeru, če so bile delnice ali deleži odsvojeni v letih</w:t>
            </w:r>
            <w:r w:rsidR="008F3BDB">
              <w:rPr>
                <w:rFonts w:ascii="Arial" w:eastAsiaTheme="minorHAnsi" w:hAnsi="Arial" w:cs="Arial"/>
                <w:sz w:val="20"/>
                <w:szCs w:val="20"/>
                <w:lang w:eastAsia="en-US"/>
              </w:rPr>
              <w:t> </w:t>
            </w:r>
            <w:r w:rsidRPr="002B7200">
              <w:rPr>
                <w:rFonts w:ascii="Arial" w:eastAsiaTheme="minorHAnsi" w:hAnsi="Arial" w:cs="Arial"/>
                <w:sz w:val="20"/>
                <w:szCs w:val="20"/>
                <w:lang w:eastAsia="en-US"/>
              </w:rPr>
              <w:t>2020 ali 2021, odloči, da se:</w:t>
            </w:r>
          </w:p>
          <w:p w14:paraId="2D4AF00B" w14:textId="3993888E" w:rsidR="002B7200" w:rsidRPr="002B7200" w:rsidRDefault="002B7200" w:rsidP="00442C73">
            <w:pPr>
              <w:pStyle w:val="Odstavekseznama"/>
              <w:numPr>
                <w:ilvl w:val="0"/>
                <w:numId w:val="22"/>
              </w:numPr>
              <w:spacing w:line="276" w:lineRule="auto"/>
              <w:jc w:val="both"/>
              <w:rPr>
                <w:rFonts w:ascii="Arial" w:eastAsiaTheme="minorHAnsi" w:hAnsi="Arial" w:cs="Arial"/>
                <w:sz w:val="20"/>
                <w:szCs w:val="20"/>
                <w:lang w:eastAsia="en-US"/>
              </w:rPr>
            </w:pPr>
            <w:r w:rsidRPr="002B7200">
              <w:rPr>
                <w:rFonts w:ascii="Arial" w:eastAsiaTheme="minorHAnsi" w:hAnsi="Arial" w:cs="Arial"/>
                <w:sz w:val="20"/>
                <w:szCs w:val="20"/>
                <w:lang w:eastAsia="en-US"/>
              </w:rPr>
              <w:lastRenderedPageBreak/>
              <w:t>od takega dohodka dohodnina izračuna in plača od davčne osnove iz nove 6.</w:t>
            </w:r>
            <w:r w:rsidR="008F3BDB">
              <w:rPr>
                <w:rFonts w:ascii="Arial" w:eastAsiaTheme="minorHAnsi" w:hAnsi="Arial" w:cs="Arial"/>
                <w:sz w:val="20"/>
                <w:szCs w:val="20"/>
                <w:lang w:eastAsia="en-US"/>
              </w:rPr>
              <w:t> </w:t>
            </w:r>
            <w:r w:rsidRPr="002B7200">
              <w:rPr>
                <w:rFonts w:ascii="Arial" w:eastAsiaTheme="minorHAnsi" w:hAnsi="Arial" w:cs="Arial"/>
                <w:sz w:val="20"/>
                <w:szCs w:val="20"/>
                <w:lang w:eastAsia="en-US"/>
              </w:rPr>
              <w:t>točke četrtega odstavka 90.</w:t>
            </w:r>
            <w:r w:rsidR="008F3BDB">
              <w:rPr>
                <w:rFonts w:ascii="Arial" w:eastAsiaTheme="minorHAnsi" w:hAnsi="Arial" w:cs="Arial"/>
                <w:sz w:val="20"/>
                <w:szCs w:val="20"/>
                <w:lang w:eastAsia="en-US"/>
              </w:rPr>
              <w:t> </w:t>
            </w:r>
            <w:r w:rsidRPr="002B7200">
              <w:rPr>
                <w:rFonts w:ascii="Arial" w:eastAsiaTheme="minorHAnsi" w:hAnsi="Arial" w:cs="Arial"/>
                <w:sz w:val="20"/>
                <w:szCs w:val="20"/>
                <w:lang w:eastAsia="en-US"/>
              </w:rPr>
              <w:t>člena zakona po stopnji iz prvega odstavka 132.</w:t>
            </w:r>
            <w:r w:rsidR="008F3BDB">
              <w:rPr>
                <w:rFonts w:ascii="Arial" w:eastAsiaTheme="minorHAnsi" w:hAnsi="Arial" w:cs="Arial"/>
                <w:sz w:val="20"/>
                <w:szCs w:val="20"/>
                <w:lang w:eastAsia="en-US"/>
              </w:rPr>
              <w:t> </w:t>
            </w:r>
            <w:r w:rsidRPr="002B7200">
              <w:rPr>
                <w:rFonts w:ascii="Arial" w:eastAsiaTheme="minorHAnsi" w:hAnsi="Arial" w:cs="Arial"/>
                <w:sz w:val="20"/>
                <w:szCs w:val="20"/>
                <w:lang w:eastAsia="en-US"/>
              </w:rPr>
              <w:t>člena zakona in se šteje kot dokončen davek</w:t>
            </w:r>
            <w:r w:rsidR="00BF1841">
              <w:rPr>
                <w:rFonts w:ascii="Arial" w:eastAsiaTheme="minorHAnsi" w:hAnsi="Arial" w:cs="Arial"/>
                <w:sz w:val="20"/>
                <w:szCs w:val="20"/>
                <w:lang w:eastAsia="en-US"/>
              </w:rPr>
              <w:t>,</w:t>
            </w:r>
            <w:r w:rsidRPr="002B7200">
              <w:rPr>
                <w:rFonts w:ascii="Arial" w:eastAsiaTheme="minorHAnsi" w:hAnsi="Arial" w:cs="Arial"/>
                <w:sz w:val="20"/>
                <w:szCs w:val="20"/>
                <w:lang w:eastAsia="en-US"/>
              </w:rPr>
              <w:t xml:space="preserve"> ter</w:t>
            </w:r>
          </w:p>
          <w:p w14:paraId="2EE7A6C5" w14:textId="6BEA7C03" w:rsidR="002B7200" w:rsidRDefault="002B7200" w:rsidP="00442C73">
            <w:pPr>
              <w:pStyle w:val="Odstavekseznama"/>
              <w:numPr>
                <w:ilvl w:val="0"/>
                <w:numId w:val="22"/>
              </w:numPr>
              <w:spacing w:line="276" w:lineRule="auto"/>
              <w:jc w:val="both"/>
              <w:rPr>
                <w:rFonts w:ascii="Arial" w:eastAsiaTheme="minorHAnsi" w:hAnsi="Arial" w:cs="Arial"/>
                <w:sz w:val="20"/>
                <w:szCs w:val="20"/>
                <w:lang w:eastAsia="en-US"/>
              </w:rPr>
            </w:pPr>
            <w:r w:rsidRPr="002B7200">
              <w:rPr>
                <w:rFonts w:ascii="Arial" w:eastAsiaTheme="minorHAnsi" w:hAnsi="Arial" w:cs="Arial"/>
                <w:sz w:val="20"/>
                <w:szCs w:val="20"/>
                <w:lang w:eastAsia="en-US"/>
              </w:rPr>
              <w:t xml:space="preserve">od tako izračunane dohodnine odšteje od takega dohodka izračunana in odtegnjena dohodnina oziroma akontacija dohodnine ali odmerjena akontacija dohodnine, ali </w:t>
            </w:r>
            <w:r w:rsidR="008F3BDB">
              <w:rPr>
                <w:rFonts w:ascii="Arial" w:eastAsiaTheme="minorHAnsi" w:hAnsi="Arial" w:cs="Arial"/>
                <w:sz w:val="20"/>
                <w:szCs w:val="20"/>
                <w:lang w:eastAsia="en-US"/>
              </w:rPr>
              <w:t xml:space="preserve">pa </w:t>
            </w:r>
            <w:r w:rsidRPr="002B7200">
              <w:rPr>
                <w:rFonts w:ascii="Arial" w:eastAsiaTheme="minorHAnsi" w:hAnsi="Arial" w:cs="Arial"/>
                <w:sz w:val="20"/>
                <w:szCs w:val="20"/>
                <w:lang w:eastAsia="en-US"/>
              </w:rPr>
              <w:t>da se ustrezni del dohodnine, ki jo je plačal od takega dohodka z virom izven Slovenije, odšteje od tako izračunane dohodnine skladno z IX.</w:t>
            </w:r>
            <w:r w:rsidR="008F3BDB">
              <w:rPr>
                <w:rFonts w:ascii="Arial" w:eastAsiaTheme="minorHAnsi" w:hAnsi="Arial" w:cs="Arial"/>
                <w:sz w:val="20"/>
                <w:szCs w:val="20"/>
                <w:lang w:eastAsia="en-US"/>
              </w:rPr>
              <w:t> </w:t>
            </w:r>
            <w:r w:rsidRPr="002B7200">
              <w:rPr>
                <w:rFonts w:ascii="Arial" w:eastAsiaTheme="minorHAnsi" w:hAnsi="Arial" w:cs="Arial"/>
                <w:sz w:val="20"/>
                <w:szCs w:val="20"/>
                <w:lang w:eastAsia="en-US"/>
              </w:rPr>
              <w:t xml:space="preserve">poglavjem zakona.  </w:t>
            </w:r>
          </w:p>
          <w:p w14:paraId="28E13842" w14:textId="77777777" w:rsidR="002B7200" w:rsidRPr="002B7200" w:rsidRDefault="002B7200" w:rsidP="00442C73">
            <w:pPr>
              <w:pStyle w:val="Odstavekseznama"/>
              <w:spacing w:line="276" w:lineRule="auto"/>
              <w:ind w:left="0"/>
              <w:jc w:val="both"/>
              <w:rPr>
                <w:rFonts w:ascii="Arial" w:eastAsiaTheme="minorHAnsi" w:hAnsi="Arial" w:cs="Arial"/>
                <w:sz w:val="20"/>
                <w:szCs w:val="20"/>
                <w:lang w:eastAsia="en-US"/>
              </w:rPr>
            </w:pPr>
          </w:p>
          <w:p w14:paraId="07F5A611" w14:textId="4928D8AD" w:rsidR="002B7200" w:rsidRDefault="002B7200" w:rsidP="002B7200">
            <w:pPr>
              <w:pStyle w:val="Odstavekseznama"/>
              <w:spacing w:line="276" w:lineRule="auto"/>
              <w:ind w:left="0"/>
              <w:jc w:val="both"/>
              <w:rPr>
                <w:rFonts w:ascii="Arial" w:eastAsiaTheme="minorHAnsi" w:hAnsi="Arial" w:cs="Arial"/>
                <w:sz w:val="20"/>
                <w:szCs w:val="20"/>
                <w:lang w:eastAsia="en-US"/>
              </w:rPr>
            </w:pPr>
            <w:r w:rsidRPr="002B7200">
              <w:rPr>
                <w:rFonts w:ascii="Arial" w:eastAsiaTheme="minorHAnsi" w:hAnsi="Arial" w:cs="Arial"/>
                <w:sz w:val="20"/>
                <w:szCs w:val="20"/>
                <w:lang w:eastAsia="en-US"/>
              </w:rPr>
              <w:t xml:space="preserve">(2) Davčni zavezanec odločitev iz prejšnjega odstavka uveljavlja z vlogo, ki jo </w:t>
            </w:r>
            <w:r w:rsidRPr="005B0933">
              <w:rPr>
                <w:rFonts w:ascii="Arial" w:eastAsiaTheme="minorHAnsi" w:hAnsi="Arial" w:cs="Arial"/>
                <w:sz w:val="20"/>
                <w:szCs w:val="20"/>
                <w:lang w:eastAsia="en-US"/>
              </w:rPr>
              <w:t>vloži najpozneje do 5.</w:t>
            </w:r>
            <w:r w:rsidR="00D54001" w:rsidRPr="005B0933">
              <w:rPr>
                <w:rFonts w:ascii="Arial" w:eastAsiaTheme="minorHAnsi" w:hAnsi="Arial" w:cs="Arial"/>
                <w:sz w:val="20"/>
                <w:szCs w:val="20"/>
                <w:lang w:eastAsia="en-US"/>
              </w:rPr>
              <w:t> </w:t>
            </w:r>
            <w:r w:rsidRPr="005B0933">
              <w:rPr>
                <w:rFonts w:ascii="Arial" w:eastAsiaTheme="minorHAnsi" w:hAnsi="Arial" w:cs="Arial"/>
                <w:sz w:val="20"/>
                <w:szCs w:val="20"/>
                <w:lang w:eastAsia="en-US"/>
              </w:rPr>
              <w:t>februarja 2023.</w:t>
            </w:r>
            <w:r w:rsidRPr="002B7200">
              <w:rPr>
                <w:rFonts w:ascii="Arial" w:eastAsiaTheme="minorHAnsi" w:hAnsi="Arial" w:cs="Arial"/>
                <w:sz w:val="20"/>
                <w:szCs w:val="20"/>
                <w:lang w:eastAsia="en-US"/>
              </w:rPr>
              <w:t xml:space="preserve"> </w:t>
            </w:r>
          </w:p>
          <w:p w14:paraId="7756BF5D" w14:textId="77777777" w:rsidR="002B7200" w:rsidRPr="002B7200" w:rsidRDefault="002B7200" w:rsidP="00442C73">
            <w:pPr>
              <w:pStyle w:val="Odstavekseznama"/>
              <w:spacing w:line="276" w:lineRule="auto"/>
              <w:ind w:left="0"/>
              <w:jc w:val="both"/>
              <w:rPr>
                <w:rFonts w:ascii="Arial" w:eastAsiaTheme="minorHAnsi" w:hAnsi="Arial" w:cs="Arial"/>
                <w:sz w:val="20"/>
                <w:szCs w:val="20"/>
                <w:lang w:eastAsia="en-US"/>
              </w:rPr>
            </w:pPr>
          </w:p>
          <w:p w14:paraId="75F08D20" w14:textId="6E35E0F8" w:rsidR="002B7200" w:rsidRPr="002B7200" w:rsidRDefault="002B7200" w:rsidP="00442C73">
            <w:pPr>
              <w:pStyle w:val="Odstavekseznama"/>
              <w:spacing w:line="276" w:lineRule="auto"/>
              <w:ind w:left="0"/>
              <w:jc w:val="both"/>
              <w:rPr>
                <w:rFonts w:ascii="Arial" w:eastAsiaTheme="minorHAnsi" w:hAnsi="Arial" w:cs="Arial"/>
                <w:sz w:val="20"/>
                <w:szCs w:val="20"/>
                <w:lang w:eastAsia="en-US"/>
              </w:rPr>
            </w:pPr>
            <w:r w:rsidRPr="002B7200">
              <w:rPr>
                <w:rFonts w:ascii="Arial" w:eastAsiaTheme="minorHAnsi" w:hAnsi="Arial" w:cs="Arial"/>
                <w:sz w:val="20"/>
                <w:szCs w:val="20"/>
                <w:lang w:eastAsia="en-US"/>
              </w:rPr>
              <w:t>(3) Davčni organ odloči o vlogi iz prejšnjega odstavka v 60 dneh od dneva njene vložitve. Če je z odločbo ugotovljeno, da znesek med letom izračunane in odtegnjene dohodnine oziroma akontacije dohodnine ali odmerjene akontacije dohodnine presega davčno obveznost, ugotovljeno v skladu s prvo alinejo prvega odstavka tega člena, se razlika ne glede na zakon, ki ureja davčni postopek, vrne zavezancu. Zavezancu v primeru vračila razlike ne pripadajo obresti.</w:t>
            </w:r>
          </w:p>
          <w:p w14:paraId="2862F23F" w14:textId="77777777" w:rsidR="002B7200" w:rsidRPr="002B7200" w:rsidRDefault="002B7200" w:rsidP="00442C73">
            <w:pPr>
              <w:pStyle w:val="Odstavekseznama"/>
              <w:spacing w:line="276" w:lineRule="auto"/>
              <w:ind w:left="0"/>
              <w:jc w:val="both"/>
              <w:rPr>
                <w:rFonts w:ascii="Arial" w:eastAsiaTheme="minorHAnsi" w:hAnsi="Arial" w:cs="Arial"/>
                <w:sz w:val="20"/>
                <w:szCs w:val="20"/>
                <w:lang w:eastAsia="en-US"/>
              </w:rPr>
            </w:pPr>
          </w:p>
          <w:p w14:paraId="76F42AD5" w14:textId="24046C54" w:rsidR="002B7200" w:rsidRPr="002B7200" w:rsidRDefault="002B7200" w:rsidP="00442C73">
            <w:pPr>
              <w:pStyle w:val="Odstavekseznama"/>
              <w:spacing w:line="276" w:lineRule="auto"/>
              <w:ind w:left="0"/>
              <w:jc w:val="both"/>
              <w:rPr>
                <w:rFonts w:ascii="Arial" w:eastAsiaTheme="minorHAnsi" w:hAnsi="Arial" w:cs="Arial"/>
                <w:sz w:val="20"/>
                <w:szCs w:val="20"/>
                <w:lang w:eastAsia="en-US"/>
              </w:rPr>
            </w:pPr>
            <w:r w:rsidRPr="002B7200">
              <w:rPr>
                <w:rFonts w:ascii="Arial" w:eastAsiaTheme="minorHAnsi" w:hAnsi="Arial" w:cs="Arial"/>
                <w:sz w:val="20"/>
                <w:szCs w:val="20"/>
                <w:lang w:eastAsia="en-US"/>
              </w:rPr>
              <w:t xml:space="preserve">(4) Odločba davčnega organa iz prejšnjega odstavka ne posega v obveznost plačnika davka, vzpostavljeno z obračunom davčnega odtegljaja, s katerim je bila izračunana in odtegnjena dohodnina oziroma akontacija dohodnine. </w:t>
            </w:r>
          </w:p>
          <w:p w14:paraId="101C2651" w14:textId="77777777" w:rsidR="002B7200" w:rsidRPr="002B7200" w:rsidRDefault="002B7200" w:rsidP="00442C73">
            <w:pPr>
              <w:pStyle w:val="Odstavekseznama"/>
              <w:spacing w:line="276" w:lineRule="auto"/>
              <w:ind w:left="0"/>
              <w:jc w:val="both"/>
              <w:rPr>
                <w:rFonts w:ascii="Arial" w:eastAsiaTheme="minorHAnsi" w:hAnsi="Arial" w:cs="Arial"/>
                <w:sz w:val="20"/>
                <w:szCs w:val="20"/>
                <w:lang w:eastAsia="en-US"/>
              </w:rPr>
            </w:pPr>
          </w:p>
          <w:p w14:paraId="22F6AB7F" w14:textId="1FF2410F" w:rsidR="002B7200" w:rsidRDefault="002B7200" w:rsidP="00442C73">
            <w:pPr>
              <w:pStyle w:val="Odstavekseznama"/>
              <w:spacing w:line="276" w:lineRule="auto"/>
              <w:ind w:left="0"/>
              <w:jc w:val="both"/>
              <w:rPr>
                <w:rFonts w:ascii="Arial" w:eastAsiaTheme="minorHAnsi" w:hAnsi="Arial" w:cs="Arial"/>
                <w:sz w:val="20"/>
                <w:szCs w:val="20"/>
                <w:lang w:eastAsia="en-US"/>
              </w:rPr>
            </w:pPr>
            <w:r w:rsidRPr="002B7200">
              <w:rPr>
                <w:rFonts w:ascii="Arial" w:eastAsiaTheme="minorHAnsi" w:hAnsi="Arial" w:cs="Arial"/>
                <w:sz w:val="20"/>
                <w:szCs w:val="20"/>
                <w:lang w:eastAsia="en-US"/>
              </w:rPr>
              <w:t>(5) Če davčni organ vlogi iz drugega odstavka tega člena ugodi, se v primeru, ko se zavezanec odloči za vštevanje davčnih osnov od dohodkov iz kapitala in dohodkov iz oddajanja premoženja v najem v letno davčno osnovo skladno s prvim odstavkom 109.</w:t>
            </w:r>
            <w:r w:rsidR="00D54001">
              <w:rPr>
                <w:rFonts w:ascii="Arial" w:eastAsiaTheme="minorHAnsi" w:hAnsi="Arial" w:cs="Arial"/>
                <w:sz w:val="20"/>
                <w:szCs w:val="20"/>
                <w:lang w:eastAsia="en-US"/>
              </w:rPr>
              <w:t> </w:t>
            </w:r>
            <w:r w:rsidRPr="002B7200">
              <w:rPr>
                <w:rFonts w:ascii="Arial" w:eastAsiaTheme="minorHAnsi" w:hAnsi="Arial" w:cs="Arial"/>
                <w:sz w:val="20"/>
                <w:szCs w:val="20"/>
                <w:lang w:eastAsia="en-US"/>
              </w:rPr>
              <w:t>člena Zakona o dohodnini (Uradni list RS, št.</w:t>
            </w:r>
            <w:r w:rsidR="00D54001">
              <w:rPr>
                <w:rFonts w:ascii="Arial" w:eastAsiaTheme="minorHAnsi" w:hAnsi="Arial" w:cs="Arial"/>
                <w:sz w:val="20"/>
                <w:szCs w:val="20"/>
                <w:lang w:eastAsia="en-US"/>
              </w:rPr>
              <w:t> </w:t>
            </w:r>
            <w:r w:rsidRPr="002B7200">
              <w:rPr>
                <w:rFonts w:ascii="Arial" w:eastAsiaTheme="minorHAnsi" w:hAnsi="Arial" w:cs="Arial"/>
                <w:sz w:val="20"/>
                <w:szCs w:val="20"/>
                <w:lang w:eastAsia="en-US"/>
              </w:rPr>
              <w:t xml:space="preserve">13/11 – uradno prečiščeno besedilo, 9/11 – ZUKD-1, 9/12 – </w:t>
            </w:r>
            <w:proofErr w:type="spellStart"/>
            <w:r w:rsidRPr="002B7200">
              <w:rPr>
                <w:rFonts w:ascii="Arial" w:eastAsiaTheme="minorHAnsi" w:hAnsi="Arial" w:cs="Arial"/>
                <w:sz w:val="20"/>
                <w:szCs w:val="20"/>
                <w:lang w:eastAsia="en-US"/>
              </w:rPr>
              <w:t>odl</w:t>
            </w:r>
            <w:proofErr w:type="spellEnd"/>
            <w:r w:rsidRPr="002B7200">
              <w:rPr>
                <w:rFonts w:ascii="Arial" w:eastAsiaTheme="minorHAnsi" w:hAnsi="Arial" w:cs="Arial"/>
                <w:sz w:val="20"/>
                <w:szCs w:val="20"/>
                <w:lang w:eastAsia="en-US"/>
              </w:rPr>
              <w:t xml:space="preserve">. US, 24/12, 30/12, 40/12 – ZUJF, 75/12, 94/12, 96/13, 29/14 – </w:t>
            </w:r>
            <w:proofErr w:type="spellStart"/>
            <w:r w:rsidRPr="002B7200">
              <w:rPr>
                <w:rFonts w:ascii="Arial" w:eastAsiaTheme="minorHAnsi" w:hAnsi="Arial" w:cs="Arial"/>
                <w:sz w:val="20"/>
                <w:szCs w:val="20"/>
                <w:lang w:eastAsia="en-US"/>
              </w:rPr>
              <w:t>odl</w:t>
            </w:r>
            <w:proofErr w:type="spellEnd"/>
            <w:r w:rsidRPr="002B7200">
              <w:rPr>
                <w:rFonts w:ascii="Arial" w:eastAsiaTheme="minorHAnsi" w:hAnsi="Arial" w:cs="Arial"/>
                <w:sz w:val="20"/>
                <w:szCs w:val="20"/>
                <w:lang w:eastAsia="en-US"/>
              </w:rPr>
              <w:t>. US, 50/14, 23/15, 55/15, 63/16, 69/17, 21/19, 28/19, 66/19 in 39/22), v letno davčno osnovo všteva tudi davčna osnova od dohodka iz prvega odstavka tega člena.</w:t>
            </w:r>
          </w:p>
          <w:p w14:paraId="67B6C8A1" w14:textId="77777777" w:rsidR="002B7200" w:rsidRPr="002B7200" w:rsidRDefault="002B7200" w:rsidP="002B7200">
            <w:pPr>
              <w:pStyle w:val="Odstavekseznama"/>
              <w:spacing w:line="276" w:lineRule="auto"/>
              <w:ind w:left="360"/>
              <w:jc w:val="both"/>
              <w:rPr>
                <w:rFonts w:ascii="Arial" w:eastAsiaTheme="minorHAnsi" w:hAnsi="Arial" w:cs="Arial"/>
                <w:sz w:val="20"/>
                <w:szCs w:val="20"/>
                <w:lang w:eastAsia="en-US"/>
              </w:rPr>
            </w:pPr>
          </w:p>
          <w:p w14:paraId="3A9F3DA0" w14:textId="1D52CA34" w:rsidR="002B7200" w:rsidRPr="00F45022" w:rsidRDefault="002B7200" w:rsidP="002B7200">
            <w:pPr>
              <w:spacing w:after="120" w:line="276" w:lineRule="auto"/>
              <w:jc w:val="both"/>
              <w:rPr>
                <w:rFonts w:ascii="Arial" w:hAnsi="Arial" w:cs="Arial"/>
                <w:sz w:val="20"/>
                <w:szCs w:val="20"/>
              </w:rPr>
            </w:pPr>
            <w:r w:rsidRPr="002B7200">
              <w:rPr>
                <w:rFonts w:ascii="Arial" w:hAnsi="Arial" w:cs="Arial"/>
                <w:sz w:val="20"/>
                <w:szCs w:val="20"/>
              </w:rPr>
              <w:t>(6) Nova 6.</w:t>
            </w:r>
            <w:r w:rsidR="00D54001">
              <w:rPr>
                <w:rFonts w:ascii="Arial" w:hAnsi="Arial" w:cs="Arial"/>
                <w:sz w:val="20"/>
                <w:szCs w:val="20"/>
              </w:rPr>
              <w:t> </w:t>
            </w:r>
            <w:r w:rsidRPr="002B7200">
              <w:rPr>
                <w:rFonts w:ascii="Arial" w:hAnsi="Arial" w:cs="Arial"/>
                <w:sz w:val="20"/>
                <w:szCs w:val="20"/>
              </w:rPr>
              <w:t>točka četrtega odstavka 90.</w:t>
            </w:r>
            <w:r w:rsidR="00D54001">
              <w:rPr>
                <w:rFonts w:ascii="Arial" w:hAnsi="Arial" w:cs="Arial"/>
                <w:sz w:val="20"/>
                <w:szCs w:val="20"/>
              </w:rPr>
              <w:t> </w:t>
            </w:r>
            <w:r w:rsidRPr="002B7200">
              <w:rPr>
                <w:rFonts w:ascii="Arial" w:hAnsi="Arial" w:cs="Arial"/>
                <w:sz w:val="20"/>
                <w:szCs w:val="20"/>
              </w:rPr>
              <w:t>člena zakona se ne uporablja za izplačila vrednosti ali dela vrednosti delnic ali deležev, odsvojenih pred letom</w:t>
            </w:r>
            <w:r w:rsidR="00D54001">
              <w:rPr>
                <w:rFonts w:ascii="Arial" w:hAnsi="Arial" w:cs="Arial"/>
                <w:sz w:val="20"/>
                <w:szCs w:val="20"/>
              </w:rPr>
              <w:t> </w:t>
            </w:r>
            <w:r w:rsidRPr="002B7200">
              <w:rPr>
                <w:rFonts w:ascii="Arial" w:hAnsi="Arial" w:cs="Arial"/>
                <w:sz w:val="20"/>
                <w:szCs w:val="20"/>
              </w:rPr>
              <w:t>2020 ali v letu</w:t>
            </w:r>
            <w:r w:rsidR="00D54001">
              <w:rPr>
                <w:rFonts w:ascii="Arial" w:hAnsi="Arial" w:cs="Arial"/>
                <w:sz w:val="20"/>
                <w:szCs w:val="20"/>
              </w:rPr>
              <w:t> </w:t>
            </w:r>
            <w:r w:rsidRPr="002B7200">
              <w:rPr>
                <w:rFonts w:ascii="Arial" w:hAnsi="Arial" w:cs="Arial"/>
                <w:sz w:val="20"/>
                <w:szCs w:val="20"/>
              </w:rPr>
              <w:t>2022.</w:t>
            </w:r>
          </w:p>
          <w:bookmarkEnd w:id="8"/>
          <w:p w14:paraId="49D523CA" w14:textId="77777777" w:rsidR="00087885" w:rsidRPr="002F364D" w:rsidRDefault="00087885" w:rsidP="00967D6D">
            <w:pPr>
              <w:spacing w:after="0" w:line="276" w:lineRule="auto"/>
              <w:jc w:val="both"/>
              <w:rPr>
                <w:rFonts w:ascii="Arial" w:hAnsi="Arial" w:cs="Arial"/>
                <w:sz w:val="20"/>
                <w:szCs w:val="20"/>
              </w:rPr>
            </w:pPr>
          </w:p>
          <w:p w14:paraId="1958AB49" w14:textId="77777777" w:rsidR="00087885" w:rsidRPr="002F364D" w:rsidRDefault="000F05B6" w:rsidP="00076F4A">
            <w:pPr>
              <w:pStyle w:val="Odstavekseznama"/>
              <w:numPr>
                <w:ilvl w:val="0"/>
                <w:numId w:val="21"/>
              </w:numPr>
              <w:spacing w:line="276" w:lineRule="auto"/>
              <w:jc w:val="center"/>
              <w:rPr>
                <w:rFonts w:ascii="Arial" w:hAnsi="Arial" w:cs="Arial"/>
                <w:sz w:val="20"/>
                <w:szCs w:val="20"/>
              </w:rPr>
            </w:pPr>
            <w:r w:rsidRPr="002F364D">
              <w:rPr>
                <w:rFonts w:ascii="Arial" w:hAnsi="Arial" w:cs="Arial"/>
                <w:sz w:val="20"/>
                <w:szCs w:val="20"/>
              </w:rPr>
              <w:t>č</w:t>
            </w:r>
            <w:r w:rsidR="00087885" w:rsidRPr="002F364D">
              <w:rPr>
                <w:rFonts w:ascii="Arial" w:hAnsi="Arial" w:cs="Arial"/>
                <w:sz w:val="20"/>
                <w:szCs w:val="20"/>
              </w:rPr>
              <w:t>len</w:t>
            </w:r>
          </w:p>
          <w:p w14:paraId="4AFAF28A" w14:textId="03B9498D" w:rsidR="000F05B6" w:rsidRPr="00210CFA" w:rsidRDefault="000F05B6" w:rsidP="00210CFA">
            <w:pPr>
              <w:spacing w:after="0" w:line="276" w:lineRule="auto"/>
              <w:jc w:val="center"/>
              <w:rPr>
                <w:rFonts w:ascii="Arial" w:hAnsi="Arial" w:cs="Arial"/>
                <w:sz w:val="20"/>
                <w:szCs w:val="20"/>
              </w:rPr>
            </w:pPr>
            <w:r w:rsidRPr="002F364D">
              <w:rPr>
                <w:rFonts w:ascii="Arial" w:hAnsi="Arial" w:cs="Arial"/>
                <w:sz w:val="20"/>
                <w:szCs w:val="20"/>
              </w:rPr>
              <w:t>(spremembe Zakona o spremembah in dopolnitvah</w:t>
            </w:r>
            <w:r w:rsidRPr="00210CFA">
              <w:rPr>
                <w:rFonts w:ascii="Arial" w:hAnsi="Arial" w:cs="Arial"/>
                <w:sz w:val="20"/>
                <w:szCs w:val="20"/>
              </w:rPr>
              <w:t xml:space="preserve"> Zakona o dohodnini)</w:t>
            </w:r>
          </w:p>
          <w:p w14:paraId="2D21B962" w14:textId="4012651D" w:rsidR="000F05B6" w:rsidRPr="00210CFA" w:rsidRDefault="000F05B6" w:rsidP="00210CFA">
            <w:pPr>
              <w:spacing w:after="0" w:line="276" w:lineRule="auto"/>
              <w:rPr>
                <w:rFonts w:ascii="Arial" w:hAnsi="Arial" w:cs="Arial"/>
                <w:sz w:val="20"/>
                <w:szCs w:val="20"/>
              </w:rPr>
            </w:pPr>
          </w:p>
          <w:p w14:paraId="54A77D81" w14:textId="0C23F5A6" w:rsidR="000F05B6" w:rsidRDefault="000F05B6" w:rsidP="000F05B6">
            <w:pPr>
              <w:spacing w:after="0" w:line="276" w:lineRule="auto"/>
              <w:jc w:val="both"/>
              <w:rPr>
                <w:rFonts w:ascii="Arial" w:hAnsi="Arial" w:cs="Arial"/>
                <w:sz w:val="20"/>
                <w:szCs w:val="20"/>
              </w:rPr>
            </w:pPr>
            <w:r w:rsidRPr="00EA2192">
              <w:rPr>
                <w:rFonts w:ascii="Arial" w:hAnsi="Arial" w:cs="Arial"/>
                <w:sz w:val="20"/>
                <w:szCs w:val="20"/>
              </w:rPr>
              <w:t>V Zakon</w:t>
            </w:r>
            <w:r>
              <w:rPr>
                <w:rFonts w:ascii="Arial" w:hAnsi="Arial" w:cs="Arial"/>
                <w:sz w:val="20"/>
                <w:szCs w:val="20"/>
              </w:rPr>
              <w:t>u</w:t>
            </w:r>
            <w:r w:rsidRPr="00EA2192">
              <w:rPr>
                <w:rFonts w:ascii="Arial" w:hAnsi="Arial" w:cs="Arial"/>
                <w:sz w:val="20"/>
                <w:szCs w:val="20"/>
              </w:rPr>
              <w:t xml:space="preserve"> o spremembah in dopolnitvah </w:t>
            </w:r>
            <w:r w:rsidR="00BB5B9E">
              <w:rPr>
                <w:rFonts w:ascii="Arial" w:hAnsi="Arial" w:cs="Arial"/>
                <w:sz w:val="20"/>
                <w:szCs w:val="20"/>
              </w:rPr>
              <w:t>Z</w:t>
            </w:r>
            <w:r w:rsidRPr="00EA2192">
              <w:rPr>
                <w:rFonts w:ascii="Arial" w:hAnsi="Arial" w:cs="Arial"/>
                <w:sz w:val="20"/>
                <w:szCs w:val="20"/>
              </w:rPr>
              <w:t>akona o dohodnini (Uradni list RS, št.</w:t>
            </w:r>
            <w:r w:rsidR="00440305">
              <w:rPr>
                <w:rFonts w:ascii="Arial" w:hAnsi="Arial" w:cs="Arial"/>
                <w:sz w:val="20"/>
                <w:szCs w:val="20"/>
              </w:rPr>
              <w:t> </w:t>
            </w:r>
            <w:r w:rsidRPr="00EA2192">
              <w:rPr>
                <w:rFonts w:ascii="Arial" w:hAnsi="Arial" w:cs="Arial"/>
                <w:sz w:val="20"/>
                <w:szCs w:val="20"/>
              </w:rPr>
              <w:t>39/22) se</w:t>
            </w:r>
            <w:r>
              <w:rPr>
                <w:rFonts w:ascii="Arial" w:hAnsi="Arial" w:cs="Arial"/>
                <w:sz w:val="20"/>
                <w:szCs w:val="20"/>
              </w:rPr>
              <w:t>:</w:t>
            </w:r>
          </w:p>
          <w:p w14:paraId="2240B5B1" w14:textId="22ADED76" w:rsidR="000F05B6" w:rsidRDefault="000F05B6" w:rsidP="00076F4A">
            <w:pPr>
              <w:pStyle w:val="Odstavekseznama"/>
              <w:numPr>
                <w:ilvl w:val="0"/>
                <w:numId w:val="22"/>
              </w:numPr>
              <w:spacing w:line="276" w:lineRule="auto"/>
              <w:jc w:val="both"/>
              <w:rPr>
                <w:rFonts w:ascii="Arial" w:hAnsi="Arial" w:cs="Arial"/>
                <w:sz w:val="20"/>
                <w:szCs w:val="20"/>
              </w:rPr>
            </w:pPr>
            <w:r w:rsidRPr="000F05B6">
              <w:rPr>
                <w:rFonts w:ascii="Arial" w:hAnsi="Arial" w:cs="Arial"/>
                <w:sz w:val="20"/>
                <w:szCs w:val="20"/>
              </w:rPr>
              <w:t>v 28.</w:t>
            </w:r>
            <w:r w:rsidR="00854D24">
              <w:rPr>
                <w:rFonts w:ascii="Arial" w:hAnsi="Arial" w:cs="Arial"/>
                <w:sz w:val="20"/>
                <w:szCs w:val="20"/>
              </w:rPr>
              <w:t> </w:t>
            </w:r>
            <w:r w:rsidRPr="000F05B6">
              <w:rPr>
                <w:rFonts w:ascii="Arial" w:hAnsi="Arial" w:cs="Arial"/>
                <w:sz w:val="20"/>
                <w:szCs w:val="20"/>
              </w:rPr>
              <w:t>členu za besedilom »4.500</w:t>
            </w:r>
            <w:r w:rsidR="00440305">
              <w:rPr>
                <w:rFonts w:ascii="Arial" w:hAnsi="Arial" w:cs="Arial"/>
                <w:sz w:val="20"/>
                <w:szCs w:val="20"/>
              </w:rPr>
              <w:t> </w:t>
            </w:r>
            <w:r w:rsidRPr="000F05B6">
              <w:rPr>
                <w:rFonts w:ascii="Arial" w:hAnsi="Arial" w:cs="Arial"/>
                <w:sz w:val="20"/>
                <w:szCs w:val="20"/>
              </w:rPr>
              <w:t>eurov« črtata vejica in besedilo »za davčno leto</w:t>
            </w:r>
            <w:r w:rsidR="00440305">
              <w:rPr>
                <w:rFonts w:ascii="Arial" w:hAnsi="Arial" w:cs="Arial"/>
                <w:sz w:val="20"/>
                <w:szCs w:val="20"/>
              </w:rPr>
              <w:t> </w:t>
            </w:r>
            <w:r w:rsidRPr="000F05B6">
              <w:rPr>
                <w:rFonts w:ascii="Arial" w:hAnsi="Arial" w:cs="Arial"/>
                <w:sz w:val="20"/>
                <w:szCs w:val="20"/>
              </w:rPr>
              <w:t>2023 5.500</w:t>
            </w:r>
            <w:r w:rsidR="00440305">
              <w:rPr>
                <w:rFonts w:ascii="Arial" w:hAnsi="Arial" w:cs="Arial"/>
                <w:sz w:val="20"/>
                <w:szCs w:val="20"/>
              </w:rPr>
              <w:t> </w:t>
            </w:r>
            <w:r w:rsidRPr="000F05B6">
              <w:rPr>
                <w:rFonts w:ascii="Arial" w:hAnsi="Arial" w:cs="Arial"/>
                <w:sz w:val="20"/>
                <w:szCs w:val="20"/>
              </w:rPr>
              <w:t>eurov in za davčno leto</w:t>
            </w:r>
            <w:r w:rsidR="00440305">
              <w:rPr>
                <w:rFonts w:ascii="Arial" w:hAnsi="Arial" w:cs="Arial"/>
                <w:sz w:val="20"/>
                <w:szCs w:val="20"/>
              </w:rPr>
              <w:t> </w:t>
            </w:r>
            <w:r w:rsidRPr="000F05B6">
              <w:rPr>
                <w:rFonts w:ascii="Arial" w:hAnsi="Arial" w:cs="Arial"/>
                <w:sz w:val="20"/>
                <w:szCs w:val="20"/>
              </w:rPr>
              <w:t>2024 6.500</w:t>
            </w:r>
            <w:r w:rsidR="00440305">
              <w:rPr>
                <w:rFonts w:ascii="Arial" w:hAnsi="Arial" w:cs="Arial"/>
                <w:sz w:val="20"/>
                <w:szCs w:val="20"/>
              </w:rPr>
              <w:t> </w:t>
            </w:r>
            <w:r w:rsidRPr="000F05B6">
              <w:rPr>
                <w:rFonts w:ascii="Arial" w:hAnsi="Arial" w:cs="Arial"/>
                <w:sz w:val="20"/>
                <w:szCs w:val="20"/>
              </w:rPr>
              <w:t>eurov«</w:t>
            </w:r>
            <w:r>
              <w:rPr>
                <w:rFonts w:ascii="Arial" w:hAnsi="Arial" w:cs="Arial"/>
                <w:sz w:val="20"/>
                <w:szCs w:val="20"/>
              </w:rPr>
              <w:t xml:space="preserve"> in</w:t>
            </w:r>
          </w:p>
          <w:p w14:paraId="12C56B13" w14:textId="36B9DD66" w:rsidR="000F05B6" w:rsidRPr="000F05B6" w:rsidRDefault="000F05B6" w:rsidP="00076F4A">
            <w:pPr>
              <w:pStyle w:val="Odstavekseznama"/>
              <w:numPr>
                <w:ilvl w:val="0"/>
                <w:numId w:val="22"/>
              </w:numPr>
              <w:spacing w:line="276" w:lineRule="auto"/>
              <w:jc w:val="both"/>
              <w:rPr>
                <w:rFonts w:ascii="Arial" w:hAnsi="Arial" w:cs="Arial"/>
                <w:sz w:val="20"/>
                <w:szCs w:val="20"/>
              </w:rPr>
            </w:pPr>
            <w:r>
              <w:rPr>
                <w:rFonts w:ascii="Arial" w:hAnsi="Arial" w:cs="Arial"/>
                <w:sz w:val="20"/>
                <w:szCs w:val="20"/>
              </w:rPr>
              <w:t>v</w:t>
            </w:r>
            <w:r w:rsidRPr="000F05B6">
              <w:rPr>
                <w:rFonts w:ascii="Arial" w:hAnsi="Arial" w:cs="Arial"/>
                <w:sz w:val="20"/>
                <w:szCs w:val="20"/>
              </w:rPr>
              <w:t xml:space="preserve"> 29.</w:t>
            </w:r>
            <w:r w:rsidR="00854D24">
              <w:rPr>
                <w:rFonts w:ascii="Arial" w:hAnsi="Arial" w:cs="Arial"/>
                <w:sz w:val="20"/>
                <w:szCs w:val="20"/>
              </w:rPr>
              <w:t> </w:t>
            </w:r>
            <w:r w:rsidRPr="000F05B6">
              <w:rPr>
                <w:rFonts w:ascii="Arial" w:hAnsi="Arial" w:cs="Arial"/>
                <w:sz w:val="20"/>
                <w:szCs w:val="20"/>
              </w:rPr>
              <w:t>členu črta drugi odstavek</w:t>
            </w:r>
            <w:r>
              <w:rPr>
                <w:rFonts w:ascii="Arial" w:hAnsi="Arial" w:cs="Arial"/>
                <w:sz w:val="20"/>
                <w:szCs w:val="20"/>
              </w:rPr>
              <w:t>.</w:t>
            </w:r>
          </w:p>
          <w:p w14:paraId="3E34759E" w14:textId="77777777" w:rsidR="000F05B6" w:rsidRPr="000F05B6" w:rsidRDefault="000F05B6" w:rsidP="000F05B6">
            <w:pPr>
              <w:spacing w:after="0"/>
              <w:rPr>
                <w:rFonts w:ascii="Arial" w:hAnsi="Arial" w:cs="Arial"/>
                <w:sz w:val="20"/>
                <w:szCs w:val="20"/>
              </w:rPr>
            </w:pPr>
          </w:p>
          <w:p w14:paraId="64947940" w14:textId="02EA8A41" w:rsidR="008A6AD4" w:rsidRDefault="008A6AD4" w:rsidP="001F74A0">
            <w:pPr>
              <w:pStyle w:val="Odstavekseznama"/>
              <w:numPr>
                <w:ilvl w:val="0"/>
                <w:numId w:val="21"/>
              </w:numPr>
              <w:spacing w:line="276" w:lineRule="auto"/>
              <w:jc w:val="center"/>
              <w:rPr>
                <w:rFonts w:ascii="Arial" w:hAnsi="Arial" w:cs="Arial"/>
                <w:sz w:val="20"/>
                <w:szCs w:val="20"/>
              </w:rPr>
            </w:pPr>
            <w:r>
              <w:rPr>
                <w:rFonts w:ascii="Arial" w:hAnsi="Arial" w:cs="Arial"/>
                <w:sz w:val="20"/>
                <w:szCs w:val="20"/>
              </w:rPr>
              <w:t>člen</w:t>
            </w:r>
          </w:p>
          <w:p w14:paraId="7AC685F9" w14:textId="3574ED96" w:rsidR="008A6AD4" w:rsidRDefault="008A6AD4" w:rsidP="001F74A0">
            <w:pPr>
              <w:pStyle w:val="Odstavekseznama"/>
              <w:spacing w:line="276" w:lineRule="auto"/>
              <w:ind w:left="360"/>
              <w:jc w:val="center"/>
              <w:rPr>
                <w:rFonts w:ascii="Arial" w:hAnsi="Arial" w:cs="Arial"/>
                <w:sz w:val="20"/>
                <w:szCs w:val="20"/>
              </w:rPr>
            </w:pPr>
            <w:r>
              <w:rPr>
                <w:rFonts w:ascii="Arial" w:hAnsi="Arial" w:cs="Arial"/>
                <w:sz w:val="20"/>
                <w:szCs w:val="20"/>
              </w:rPr>
              <w:t>(uporaba spremenjen</w:t>
            </w:r>
            <w:r w:rsidR="003B4853">
              <w:rPr>
                <w:rFonts w:ascii="Arial" w:hAnsi="Arial" w:cs="Arial"/>
                <w:sz w:val="20"/>
                <w:szCs w:val="20"/>
              </w:rPr>
              <w:t>ega</w:t>
            </w:r>
            <w:r>
              <w:rPr>
                <w:rFonts w:ascii="Arial" w:hAnsi="Arial" w:cs="Arial"/>
                <w:sz w:val="20"/>
                <w:szCs w:val="20"/>
              </w:rPr>
              <w:t xml:space="preserve"> 26.</w:t>
            </w:r>
            <w:r w:rsidR="00321F7C">
              <w:rPr>
                <w:rFonts w:ascii="Arial" w:hAnsi="Arial" w:cs="Arial"/>
                <w:sz w:val="20"/>
                <w:szCs w:val="20"/>
              </w:rPr>
              <w:t> </w:t>
            </w:r>
            <w:r w:rsidR="003B4853">
              <w:rPr>
                <w:rFonts w:ascii="Arial" w:hAnsi="Arial" w:cs="Arial"/>
                <w:sz w:val="20"/>
                <w:szCs w:val="20"/>
              </w:rPr>
              <w:t>člena zakona</w:t>
            </w:r>
            <w:r>
              <w:rPr>
                <w:rFonts w:ascii="Arial" w:hAnsi="Arial" w:cs="Arial"/>
                <w:sz w:val="20"/>
                <w:szCs w:val="20"/>
              </w:rPr>
              <w:t>)</w:t>
            </w:r>
          </w:p>
          <w:p w14:paraId="2F38249E" w14:textId="17E19266" w:rsidR="008A6AD4" w:rsidRPr="00E858D1" w:rsidRDefault="008A6AD4" w:rsidP="001F74A0">
            <w:pPr>
              <w:spacing w:after="0" w:line="276" w:lineRule="auto"/>
              <w:jc w:val="both"/>
              <w:rPr>
                <w:rFonts w:ascii="Arial" w:hAnsi="Arial" w:cs="Arial"/>
                <w:sz w:val="20"/>
                <w:szCs w:val="20"/>
              </w:rPr>
            </w:pPr>
          </w:p>
          <w:p w14:paraId="5DD8803E" w14:textId="38F9DE79" w:rsidR="008A6AD4" w:rsidRPr="008A6AD4" w:rsidRDefault="008A6AD4" w:rsidP="001F74A0">
            <w:pPr>
              <w:pStyle w:val="Odstavekseznama"/>
              <w:spacing w:line="276" w:lineRule="auto"/>
              <w:ind w:left="0"/>
              <w:jc w:val="both"/>
              <w:rPr>
                <w:rFonts w:ascii="Arial" w:hAnsi="Arial" w:cs="Arial"/>
                <w:sz w:val="20"/>
                <w:szCs w:val="20"/>
              </w:rPr>
            </w:pPr>
            <w:r w:rsidRPr="008A6AD4">
              <w:rPr>
                <w:rFonts w:ascii="Arial" w:hAnsi="Arial" w:cs="Arial"/>
                <w:sz w:val="20"/>
                <w:szCs w:val="20"/>
              </w:rPr>
              <w:t>Ne glede na spremenjen</w:t>
            </w:r>
            <w:r w:rsidR="0076560C">
              <w:rPr>
                <w:rFonts w:ascii="Arial" w:hAnsi="Arial" w:cs="Arial"/>
                <w:sz w:val="20"/>
                <w:szCs w:val="20"/>
              </w:rPr>
              <w:t>i</w:t>
            </w:r>
            <w:r w:rsidRPr="008A6AD4">
              <w:rPr>
                <w:rFonts w:ascii="Arial" w:hAnsi="Arial" w:cs="Arial"/>
                <w:sz w:val="20"/>
                <w:szCs w:val="20"/>
              </w:rPr>
              <w:t xml:space="preserve"> 26.</w:t>
            </w:r>
            <w:r w:rsidR="00440305">
              <w:rPr>
                <w:rFonts w:ascii="Arial" w:hAnsi="Arial" w:cs="Arial"/>
                <w:sz w:val="20"/>
                <w:szCs w:val="20"/>
              </w:rPr>
              <w:t> </w:t>
            </w:r>
            <w:r w:rsidRPr="008A6AD4">
              <w:rPr>
                <w:rFonts w:ascii="Arial" w:hAnsi="Arial" w:cs="Arial"/>
                <w:sz w:val="20"/>
                <w:szCs w:val="20"/>
              </w:rPr>
              <w:t xml:space="preserve">člen zakona se za druge dohodke, izplačane na podlagi </w:t>
            </w:r>
            <w:r w:rsidR="00BF1841" w:rsidRPr="00BF1841">
              <w:rPr>
                <w:rFonts w:ascii="Arial" w:hAnsi="Arial" w:cs="Arial"/>
                <w:sz w:val="20"/>
                <w:szCs w:val="20"/>
              </w:rPr>
              <w:t>Uredbe (EU) št.</w:t>
            </w:r>
            <w:r w:rsidR="0076560C">
              <w:rPr>
                <w:rFonts w:ascii="Arial" w:hAnsi="Arial" w:cs="Arial"/>
                <w:sz w:val="20"/>
                <w:szCs w:val="20"/>
              </w:rPr>
              <w:t> </w:t>
            </w:r>
            <w:r w:rsidR="00BF1841" w:rsidRPr="00BF1841">
              <w:rPr>
                <w:rFonts w:ascii="Arial" w:hAnsi="Arial" w:cs="Arial"/>
                <w:sz w:val="20"/>
                <w:szCs w:val="20"/>
              </w:rPr>
              <w:t>1305/2013 Evropskega parlamenta in Sveta z dne 17.</w:t>
            </w:r>
            <w:r w:rsidR="0076560C">
              <w:rPr>
                <w:rFonts w:ascii="Arial" w:hAnsi="Arial" w:cs="Arial"/>
                <w:sz w:val="20"/>
                <w:szCs w:val="20"/>
              </w:rPr>
              <w:t> </w:t>
            </w:r>
            <w:r w:rsidR="00BF1841" w:rsidRPr="00BF1841">
              <w:rPr>
                <w:rFonts w:ascii="Arial" w:hAnsi="Arial" w:cs="Arial"/>
                <w:sz w:val="20"/>
                <w:szCs w:val="20"/>
              </w:rPr>
              <w:t>decembra 2013 o podpori za razvoj podeželja iz Evropskega kmetijskega sklada za razvoj podeželja (EKSRP) in razveljavitvi Uredbe Sveta (ES) št.</w:t>
            </w:r>
            <w:r w:rsidR="0076560C">
              <w:rPr>
                <w:rFonts w:ascii="Arial" w:hAnsi="Arial" w:cs="Arial"/>
                <w:sz w:val="20"/>
                <w:szCs w:val="20"/>
              </w:rPr>
              <w:t> </w:t>
            </w:r>
            <w:r w:rsidR="00BF1841" w:rsidRPr="00BF1841">
              <w:rPr>
                <w:rFonts w:ascii="Arial" w:hAnsi="Arial" w:cs="Arial"/>
                <w:sz w:val="20"/>
                <w:szCs w:val="20"/>
              </w:rPr>
              <w:t>1698/2005 (UL L 347 z dne 20.</w:t>
            </w:r>
            <w:r w:rsidR="0076560C">
              <w:rPr>
                <w:rFonts w:ascii="Arial" w:hAnsi="Arial" w:cs="Arial"/>
                <w:sz w:val="20"/>
                <w:szCs w:val="20"/>
              </w:rPr>
              <w:t> </w:t>
            </w:r>
            <w:r w:rsidR="00BF1841" w:rsidRPr="00BF1841">
              <w:rPr>
                <w:rFonts w:ascii="Arial" w:hAnsi="Arial" w:cs="Arial"/>
                <w:sz w:val="20"/>
                <w:szCs w:val="20"/>
              </w:rPr>
              <w:t>12.</w:t>
            </w:r>
            <w:r w:rsidR="0076560C">
              <w:rPr>
                <w:rFonts w:ascii="Arial" w:hAnsi="Arial" w:cs="Arial"/>
                <w:sz w:val="20"/>
                <w:szCs w:val="20"/>
              </w:rPr>
              <w:t> </w:t>
            </w:r>
            <w:r w:rsidR="00BF1841" w:rsidRPr="00BF1841">
              <w:rPr>
                <w:rFonts w:ascii="Arial" w:hAnsi="Arial" w:cs="Arial"/>
                <w:sz w:val="20"/>
                <w:szCs w:val="20"/>
              </w:rPr>
              <w:t>2013, str.</w:t>
            </w:r>
            <w:r w:rsidR="0076560C">
              <w:rPr>
                <w:rFonts w:ascii="Arial" w:hAnsi="Arial" w:cs="Arial"/>
                <w:sz w:val="20"/>
                <w:szCs w:val="20"/>
              </w:rPr>
              <w:t> </w:t>
            </w:r>
            <w:r w:rsidR="00BF1841" w:rsidRPr="00BF1841">
              <w:rPr>
                <w:rFonts w:ascii="Arial" w:hAnsi="Arial" w:cs="Arial"/>
                <w:sz w:val="20"/>
                <w:szCs w:val="20"/>
              </w:rPr>
              <w:t>487), zadnjič spremenjene z Uredbo (EU) 2022/1033 Evropskega parlamenta in Sveta z dne 29.</w:t>
            </w:r>
            <w:r w:rsidR="0076560C">
              <w:rPr>
                <w:rFonts w:ascii="Arial" w:hAnsi="Arial" w:cs="Arial"/>
                <w:sz w:val="20"/>
                <w:szCs w:val="20"/>
              </w:rPr>
              <w:t> </w:t>
            </w:r>
            <w:r w:rsidR="00BF1841" w:rsidRPr="00BF1841">
              <w:rPr>
                <w:rFonts w:ascii="Arial" w:hAnsi="Arial" w:cs="Arial"/>
                <w:sz w:val="20"/>
                <w:szCs w:val="20"/>
              </w:rPr>
              <w:t>junija 2022 o spremembi Uredbe (EU) št.</w:t>
            </w:r>
            <w:r w:rsidR="0076560C">
              <w:rPr>
                <w:rFonts w:ascii="Arial" w:hAnsi="Arial" w:cs="Arial"/>
                <w:sz w:val="20"/>
                <w:szCs w:val="20"/>
              </w:rPr>
              <w:t> </w:t>
            </w:r>
            <w:r w:rsidR="00BF1841" w:rsidRPr="00BF1841">
              <w:rPr>
                <w:rFonts w:ascii="Arial" w:hAnsi="Arial" w:cs="Arial"/>
                <w:sz w:val="20"/>
                <w:szCs w:val="20"/>
              </w:rPr>
              <w:t>1305/2013 glede posebnega ukrepa za zagotovitev izjemne začasne podpore v okviru Evropskega kmetijskega sklada za razvoj podeželja (EKSRP) kot odziv na vpliv ruske invazije na Ukrajino (UL L št.</w:t>
            </w:r>
            <w:r w:rsidR="0076560C">
              <w:rPr>
                <w:rFonts w:ascii="Arial" w:hAnsi="Arial" w:cs="Arial"/>
                <w:sz w:val="20"/>
                <w:szCs w:val="20"/>
              </w:rPr>
              <w:t> </w:t>
            </w:r>
            <w:r w:rsidR="00BF1841" w:rsidRPr="00BF1841">
              <w:rPr>
                <w:rFonts w:ascii="Arial" w:hAnsi="Arial" w:cs="Arial"/>
                <w:sz w:val="20"/>
                <w:szCs w:val="20"/>
              </w:rPr>
              <w:t>173 z dne 30.</w:t>
            </w:r>
            <w:r w:rsidR="0076560C">
              <w:rPr>
                <w:rFonts w:ascii="Arial" w:hAnsi="Arial" w:cs="Arial"/>
                <w:sz w:val="20"/>
                <w:szCs w:val="20"/>
              </w:rPr>
              <w:t> </w:t>
            </w:r>
            <w:r w:rsidR="00BF1841" w:rsidRPr="00BF1841">
              <w:rPr>
                <w:rFonts w:ascii="Arial" w:hAnsi="Arial" w:cs="Arial"/>
                <w:sz w:val="20"/>
                <w:szCs w:val="20"/>
              </w:rPr>
              <w:t>6.</w:t>
            </w:r>
            <w:r w:rsidR="0076560C">
              <w:rPr>
                <w:rFonts w:ascii="Arial" w:hAnsi="Arial" w:cs="Arial"/>
                <w:sz w:val="20"/>
                <w:szCs w:val="20"/>
              </w:rPr>
              <w:t> </w:t>
            </w:r>
            <w:r w:rsidR="00BF1841" w:rsidRPr="00BF1841">
              <w:rPr>
                <w:rFonts w:ascii="Arial" w:hAnsi="Arial" w:cs="Arial"/>
                <w:sz w:val="20"/>
                <w:szCs w:val="20"/>
              </w:rPr>
              <w:t>2022, str.</w:t>
            </w:r>
            <w:r w:rsidR="0076560C">
              <w:rPr>
                <w:rFonts w:ascii="Arial" w:hAnsi="Arial" w:cs="Arial"/>
                <w:sz w:val="20"/>
                <w:szCs w:val="20"/>
              </w:rPr>
              <w:t> </w:t>
            </w:r>
            <w:r w:rsidR="00BF1841" w:rsidRPr="00BF1841">
              <w:rPr>
                <w:rFonts w:ascii="Arial" w:hAnsi="Arial" w:cs="Arial"/>
                <w:sz w:val="20"/>
                <w:szCs w:val="20"/>
              </w:rPr>
              <w:t>34), in Uredbe (EU) št.</w:t>
            </w:r>
            <w:r w:rsidR="0076560C">
              <w:rPr>
                <w:rFonts w:ascii="Arial" w:hAnsi="Arial" w:cs="Arial"/>
                <w:sz w:val="20"/>
                <w:szCs w:val="20"/>
              </w:rPr>
              <w:t> </w:t>
            </w:r>
            <w:r w:rsidR="00BF1841" w:rsidRPr="00BF1841">
              <w:rPr>
                <w:rFonts w:ascii="Arial" w:hAnsi="Arial" w:cs="Arial"/>
                <w:sz w:val="20"/>
                <w:szCs w:val="20"/>
              </w:rPr>
              <w:t>1307/2013 (EU) Evropskega parlamenta in Sveta z dne 17.</w:t>
            </w:r>
            <w:r w:rsidR="0076560C">
              <w:rPr>
                <w:rFonts w:ascii="Arial" w:hAnsi="Arial" w:cs="Arial"/>
                <w:sz w:val="20"/>
                <w:szCs w:val="20"/>
              </w:rPr>
              <w:t> </w:t>
            </w:r>
            <w:r w:rsidR="00BF1841" w:rsidRPr="00BF1841">
              <w:rPr>
                <w:rFonts w:ascii="Arial" w:hAnsi="Arial" w:cs="Arial"/>
                <w:sz w:val="20"/>
                <w:szCs w:val="20"/>
              </w:rPr>
              <w:t>decemb</w:t>
            </w:r>
            <w:r w:rsidR="0076560C">
              <w:rPr>
                <w:rFonts w:ascii="Arial" w:hAnsi="Arial" w:cs="Arial"/>
                <w:sz w:val="20"/>
                <w:szCs w:val="20"/>
              </w:rPr>
              <w:t>ra</w:t>
            </w:r>
            <w:r w:rsidR="00BF1841" w:rsidRPr="00BF1841">
              <w:rPr>
                <w:rFonts w:ascii="Arial" w:hAnsi="Arial" w:cs="Arial"/>
                <w:sz w:val="20"/>
                <w:szCs w:val="20"/>
              </w:rPr>
              <w:t xml:space="preserve"> 2013 o pravilih za neposredna plačila kmetom na podlagi shem podpore v okviru skupne kmetijske politike ter razveljavitvi Uredbe Sveta (ES) št.</w:t>
            </w:r>
            <w:r w:rsidR="0076560C">
              <w:rPr>
                <w:rFonts w:ascii="Arial" w:hAnsi="Arial" w:cs="Arial"/>
                <w:sz w:val="20"/>
                <w:szCs w:val="20"/>
              </w:rPr>
              <w:t> </w:t>
            </w:r>
            <w:r w:rsidR="00BF1841" w:rsidRPr="00BF1841">
              <w:rPr>
                <w:rFonts w:ascii="Arial" w:hAnsi="Arial" w:cs="Arial"/>
                <w:sz w:val="20"/>
                <w:szCs w:val="20"/>
              </w:rPr>
              <w:t xml:space="preserve">637/2008 in Uredbe Sveta </w:t>
            </w:r>
            <w:r w:rsidR="00BF1841" w:rsidRPr="00BF1841">
              <w:rPr>
                <w:rFonts w:ascii="Arial" w:hAnsi="Arial" w:cs="Arial"/>
                <w:sz w:val="20"/>
                <w:szCs w:val="20"/>
              </w:rPr>
              <w:lastRenderedPageBreak/>
              <w:t>(ES) št.</w:t>
            </w:r>
            <w:r w:rsidR="0076560C">
              <w:rPr>
                <w:rFonts w:ascii="Arial" w:hAnsi="Arial" w:cs="Arial"/>
                <w:sz w:val="20"/>
                <w:szCs w:val="20"/>
              </w:rPr>
              <w:t> </w:t>
            </w:r>
            <w:r w:rsidR="00BF1841" w:rsidRPr="00BF1841">
              <w:rPr>
                <w:rFonts w:ascii="Arial" w:hAnsi="Arial" w:cs="Arial"/>
                <w:sz w:val="20"/>
                <w:szCs w:val="20"/>
              </w:rPr>
              <w:t>73/2009 (UL L št.</w:t>
            </w:r>
            <w:r w:rsidR="0076560C">
              <w:rPr>
                <w:rFonts w:ascii="Arial" w:hAnsi="Arial" w:cs="Arial"/>
                <w:sz w:val="20"/>
                <w:szCs w:val="20"/>
              </w:rPr>
              <w:t> </w:t>
            </w:r>
            <w:r w:rsidR="00BF1841" w:rsidRPr="00BF1841">
              <w:rPr>
                <w:rFonts w:ascii="Arial" w:hAnsi="Arial" w:cs="Arial"/>
                <w:sz w:val="20"/>
                <w:szCs w:val="20"/>
              </w:rPr>
              <w:t>347 z dne 20.</w:t>
            </w:r>
            <w:r w:rsidR="0076560C">
              <w:rPr>
                <w:rFonts w:ascii="Arial" w:hAnsi="Arial" w:cs="Arial"/>
                <w:sz w:val="20"/>
                <w:szCs w:val="20"/>
              </w:rPr>
              <w:t> </w:t>
            </w:r>
            <w:r w:rsidR="00BF1841" w:rsidRPr="00BF1841">
              <w:rPr>
                <w:rFonts w:ascii="Arial" w:hAnsi="Arial" w:cs="Arial"/>
                <w:sz w:val="20"/>
                <w:szCs w:val="20"/>
              </w:rPr>
              <w:t>12.</w:t>
            </w:r>
            <w:r w:rsidR="0076560C">
              <w:rPr>
                <w:rFonts w:ascii="Arial" w:hAnsi="Arial" w:cs="Arial"/>
                <w:sz w:val="20"/>
                <w:szCs w:val="20"/>
              </w:rPr>
              <w:t> </w:t>
            </w:r>
            <w:r w:rsidR="00BF1841" w:rsidRPr="00BF1841">
              <w:rPr>
                <w:rFonts w:ascii="Arial" w:hAnsi="Arial" w:cs="Arial"/>
                <w:sz w:val="20"/>
                <w:szCs w:val="20"/>
              </w:rPr>
              <w:t>2013, str.</w:t>
            </w:r>
            <w:r w:rsidR="0076560C">
              <w:rPr>
                <w:rFonts w:ascii="Arial" w:hAnsi="Arial" w:cs="Arial"/>
                <w:sz w:val="20"/>
                <w:szCs w:val="20"/>
              </w:rPr>
              <w:t> </w:t>
            </w:r>
            <w:r w:rsidR="00BF1841" w:rsidRPr="00BF1841">
              <w:rPr>
                <w:rFonts w:ascii="Arial" w:hAnsi="Arial" w:cs="Arial"/>
                <w:sz w:val="20"/>
                <w:szCs w:val="20"/>
              </w:rPr>
              <w:t>608), zadnjič spremenjene z Delegirano uredbo Komisije (EU) 2022/42 z dne 8.</w:t>
            </w:r>
            <w:r w:rsidR="0076560C">
              <w:rPr>
                <w:rFonts w:ascii="Arial" w:hAnsi="Arial" w:cs="Arial"/>
                <w:sz w:val="20"/>
                <w:szCs w:val="20"/>
              </w:rPr>
              <w:t> </w:t>
            </w:r>
            <w:r w:rsidR="00BF1841" w:rsidRPr="00BF1841">
              <w:rPr>
                <w:rFonts w:ascii="Arial" w:hAnsi="Arial" w:cs="Arial"/>
                <w:sz w:val="20"/>
                <w:szCs w:val="20"/>
              </w:rPr>
              <w:t>novembra 2021 o spremembi prilog</w:t>
            </w:r>
            <w:r w:rsidR="0076560C">
              <w:rPr>
                <w:rFonts w:ascii="Arial" w:hAnsi="Arial" w:cs="Arial"/>
                <w:sz w:val="20"/>
                <w:szCs w:val="20"/>
              </w:rPr>
              <w:t> </w:t>
            </w:r>
            <w:r w:rsidR="00BF1841" w:rsidRPr="00BF1841">
              <w:rPr>
                <w:rFonts w:ascii="Arial" w:hAnsi="Arial" w:cs="Arial"/>
                <w:sz w:val="20"/>
                <w:szCs w:val="20"/>
              </w:rPr>
              <w:t>II in III k Uredbi (EU) št.</w:t>
            </w:r>
            <w:r w:rsidR="0076560C">
              <w:rPr>
                <w:rFonts w:ascii="Arial" w:hAnsi="Arial" w:cs="Arial"/>
                <w:sz w:val="20"/>
                <w:szCs w:val="20"/>
              </w:rPr>
              <w:t> </w:t>
            </w:r>
            <w:r w:rsidR="00BF1841" w:rsidRPr="00BF1841">
              <w:rPr>
                <w:rFonts w:ascii="Arial" w:hAnsi="Arial" w:cs="Arial"/>
                <w:sz w:val="20"/>
                <w:szCs w:val="20"/>
              </w:rPr>
              <w:t>1307/2013 Evropskega parlamenta in Sveta glede nacionalnih in neto zgornjih mej za neposredna plačila za nekatere države članice za koledarsko leto 2022 (UL L št.</w:t>
            </w:r>
            <w:r w:rsidR="0076560C">
              <w:rPr>
                <w:rFonts w:ascii="Arial" w:hAnsi="Arial" w:cs="Arial"/>
                <w:sz w:val="20"/>
                <w:szCs w:val="20"/>
              </w:rPr>
              <w:t> </w:t>
            </w:r>
            <w:r w:rsidR="00BF1841" w:rsidRPr="00BF1841">
              <w:rPr>
                <w:rFonts w:ascii="Arial" w:hAnsi="Arial" w:cs="Arial"/>
                <w:sz w:val="20"/>
                <w:szCs w:val="20"/>
              </w:rPr>
              <w:t>9 z dne 14.</w:t>
            </w:r>
            <w:r w:rsidR="0076560C">
              <w:rPr>
                <w:rFonts w:ascii="Arial" w:hAnsi="Arial" w:cs="Arial"/>
                <w:sz w:val="20"/>
                <w:szCs w:val="20"/>
              </w:rPr>
              <w:t> </w:t>
            </w:r>
            <w:r w:rsidR="00BF1841" w:rsidRPr="00BF1841">
              <w:rPr>
                <w:rFonts w:ascii="Arial" w:hAnsi="Arial" w:cs="Arial"/>
                <w:sz w:val="20"/>
                <w:szCs w:val="20"/>
              </w:rPr>
              <w:t>1.</w:t>
            </w:r>
            <w:r w:rsidR="0076560C">
              <w:rPr>
                <w:rFonts w:ascii="Arial" w:hAnsi="Arial" w:cs="Arial"/>
                <w:sz w:val="20"/>
                <w:szCs w:val="20"/>
              </w:rPr>
              <w:t> </w:t>
            </w:r>
            <w:r w:rsidR="00BF1841" w:rsidRPr="00BF1841">
              <w:rPr>
                <w:rFonts w:ascii="Arial" w:hAnsi="Arial" w:cs="Arial"/>
                <w:sz w:val="20"/>
                <w:szCs w:val="20"/>
              </w:rPr>
              <w:t>2022, str.</w:t>
            </w:r>
            <w:r w:rsidR="0076560C">
              <w:rPr>
                <w:rFonts w:ascii="Arial" w:hAnsi="Arial" w:cs="Arial"/>
                <w:sz w:val="20"/>
                <w:szCs w:val="20"/>
              </w:rPr>
              <w:t> </w:t>
            </w:r>
            <w:r w:rsidR="00BF1841" w:rsidRPr="00BF1841">
              <w:rPr>
                <w:rFonts w:ascii="Arial" w:hAnsi="Arial" w:cs="Arial"/>
                <w:sz w:val="20"/>
                <w:szCs w:val="20"/>
              </w:rPr>
              <w:t xml:space="preserve">3), </w:t>
            </w:r>
            <w:r w:rsidRPr="008A6AD4">
              <w:rPr>
                <w:rFonts w:ascii="Arial" w:hAnsi="Arial" w:cs="Arial"/>
                <w:sz w:val="20"/>
                <w:szCs w:val="20"/>
              </w:rPr>
              <w:t>uporablja 26.</w:t>
            </w:r>
            <w:r w:rsidR="0076560C">
              <w:rPr>
                <w:rFonts w:ascii="Arial" w:hAnsi="Arial" w:cs="Arial"/>
                <w:sz w:val="20"/>
                <w:szCs w:val="20"/>
              </w:rPr>
              <w:t> </w:t>
            </w:r>
            <w:r w:rsidRPr="008A6AD4">
              <w:rPr>
                <w:rFonts w:ascii="Arial" w:hAnsi="Arial" w:cs="Arial"/>
                <w:sz w:val="20"/>
                <w:szCs w:val="20"/>
              </w:rPr>
              <w:t>člen Zakona o dohodnini (Uradni list RS, št.</w:t>
            </w:r>
            <w:r w:rsidR="00440305">
              <w:rPr>
                <w:rFonts w:ascii="Arial" w:hAnsi="Arial" w:cs="Arial"/>
                <w:sz w:val="20"/>
                <w:szCs w:val="20"/>
              </w:rPr>
              <w:t> </w:t>
            </w:r>
            <w:r w:rsidRPr="008A6AD4">
              <w:rPr>
                <w:rFonts w:ascii="Arial" w:hAnsi="Arial" w:cs="Arial"/>
                <w:sz w:val="20"/>
                <w:szCs w:val="20"/>
              </w:rPr>
              <w:t xml:space="preserve">13/11 – uradno prečiščeno besedilo, 9/11 – ZUKD-1, 9/12 – </w:t>
            </w:r>
            <w:proofErr w:type="spellStart"/>
            <w:r w:rsidRPr="008A6AD4">
              <w:rPr>
                <w:rFonts w:ascii="Arial" w:hAnsi="Arial" w:cs="Arial"/>
                <w:sz w:val="20"/>
                <w:szCs w:val="20"/>
              </w:rPr>
              <w:t>odl</w:t>
            </w:r>
            <w:proofErr w:type="spellEnd"/>
            <w:r w:rsidRPr="008A6AD4">
              <w:rPr>
                <w:rFonts w:ascii="Arial" w:hAnsi="Arial" w:cs="Arial"/>
                <w:sz w:val="20"/>
                <w:szCs w:val="20"/>
              </w:rPr>
              <w:t xml:space="preserve">. US, 24/12, 30/12, 40/12 – ZUJF, 75/12, 94/12, 96/13, 29/14 – </w:t>
            </w:r>
            <w:proofErr w:type="spellStart"/>
            <w:r w:rsidRPr="008A6AD4">
              <w:rPr>
                <w:rFonts w:ascii="Arial" w:hAnsi="Arial" w:cs="Arial"/>
                <w:sz w:val="20"/>
                <w:szCs w:val="20"/>
              </w:rPr>
              <w:t>odl</w:t>
            </w:r>
            <w:proofErr w:type="spellEnd"/>
            <w:r w:rsidRPr="008A6AD4">
              <w:rPr>
                <w:rFonts w:ascii="Arial" w:hAnsi="Arial" w:cs="Arial"/>
                <w:sz w:val="20"/>
                <w:szCs w:val="20"/>
              </w:rPr>
              <w:t>. US, 50/14, 23/15, 55/15, 63/16, 69/17, 21/19, 28/19, 66/19 in 39/22).</w:t>
            </w:r>
          </w:p>
          <w:p w14:paraId="4947D862" w14:textId="77777777" w:rsidR="008A6AD4" w:rsidRPr="00E858D1" w:rsidRDefault="008A6AD4" w:rsidP="00F172B2">
            <w:pPr>
              <w:spacing w:after="0" w:line="276" w:lineRule="auto"/>
              <w:rPr>
                <w:rFonts w:ascii="Arial" w:hAnsi="Arial" w:cs="Arial"/>
                <w:sz w:val="20"/>
                <w:szCs w:val="20"/>
              </w:rPr>
            </w:pPr>
          </w:p>
          <w:p w14:paraId="09B1CB73" w14:textId="7501255F" w:rsidR="000F05B6" w:rsidRDefault="000F05B6" w:rsidP="00F172B2">
            <w:pPr>
              <w:pStyle w:val="Odstavekseznama"/>
              <w:numPr>
                <w:ilvl w:val="0"/>
                <w:numId w:val="21"/>
              </w:numPr>
              <w:spacing w:line="276" w:lineRule="auto"/>
              <w:jc w:val="center"/>
              <w:rPr>
                <w:rFonts w:ascii="Arial" w:hAnsi="Arial" w:cs="Arial"/>
                <w:sz w:val="20"/>
                <w:szCs w:val="20"/>
              </w:rPr>
            </w:pPr>
            <w:bookmarkStart w:id="9" w:name="_Hlk114128086"/>
            <w:r>
              <w:rPr>
                <w:rFonts w:ascii="Arial" w:hAnsi="Arial" w:cs="Arial"/>
                <w:sz w:val="20"/>
                <w:szCs w:val="20"/>
              </w:rPr>
              <w:t>člen</w:t>
            </w:r>
          </w:p>
          <w:p w14:paraId="0BABA0AA" w14:textId="77777777" w:rsidR="00F172B2" w:rsidRPr="00F172B2" w:rsidRDefault="00F172B2" w:rsidP="00F172B2">
            <w:pPr>
              <w:spacing w:after="0" w:line="276" w:lineRule="auto"/>
              <w:jc w:val="center"/>
              <w:rPr>
                <w:rFonts w:ascii="Arial" w:hAnsi="Arial" w:cs="Arial"/>
                <w:sz w:val="20"/>
                <w:szCs w:val="20"/>
              </w:rPr>
            </w:pPr>
            <w:r w:rsidRPr="00F172B2">
              <w:rPr>
                <w:rFonts w:ascii="Arial" w:hAnsi="Arial" w:cs="Arial"/>
                <w:sz w:val="20"/>
                <w:szCs w:val="20"/>
              </w:rPr>
              <w:t>(prenehanje uporabe določb drugih zakonov)</w:t>
            </w:r>
          </w:p>
          <w:p w14:paraId="523F5566" w14:textId="77777777" w:rsidR="00F172B2" w:rsidRPr="00F172B2" w:rsidRDefault="00F172B2" w:rsidP="00F172B2">
            <w:pPr>
              <w:spacing w:after="0" w:line="276" w:lineRule="auto"/>
              <w:rPr>
                <w:rFonts w:ascii="Arial" w:hAnsi="Arial" w:cs="Arial"/>
                <w:sz w:val="20"/>
                <w:szCs w:val="20"/>
              </w:rPr>
            </w:pPr>
          </w:p>
          <w:p w14:paraId="62BC1A5F" w14:textId="29E732D4" w:rsidR="00F172B2" w:rsidRPr="00F172B2" w:rsidRDefault="00F172B2" w:rsidP="00F172B2">
            <w:pPr>
              <w:spacing w:after="0" w:line="276" w:lineRule="auto"/>
              <w:jc w:val="both"/>
              <w:rPr>
                <w:rFonts w:ascii="Arial" w:hAnsi="Arial" w:cs="Arial"/>
                <w:sz w:val="20"/>
                <w:szCs w:val="20"/>
              </w:rPr>
            </w:pPr>
            <w:r w:rsidRPr="00F172B2">
              <w:rPr>
                <w:rFonts w:ascii="Arial" w:hAnsi="Arial" w:cs="Arial"/>
                <w:sz w:val="20"/>
                <w:szCs w:val="20"/>
              </w:rPr>
              <w:t xml:space="preserve">Z začetkom uporabe </w:t>
            </w:r>
            <w:r w:rsidR="005B2360">
              <w:rPr>
                <w:rFonts w:ascii="Arial" w:hAnsi="Arial" w:cs="Arial"/>
                <w:sz w:val="20"/>
                <w:szCs w:val="20"/>
              </w:rPr>
              <w:t>spremenjenega 142. člena</w:t>
            </w:r>
            <w:r w:rsidRPr="00F172B2">
              <w:rPr>
                <w:rFonts w:ascii="Arial" w:hAnsi="Arial" w:cs="Arial"/>
                <w:sz w:val="20"/>
                <w:szCs w:val="20"/>
              </w:rPr>
              <w:t xml:space="preserve"> zakona se prenehajo uporabljati naslednje določbe zakonov v delu, ki se nanašajo na namenitev dela dohodnine za donacije:</w:t>
            </w:r>
          </w:p>
          <w:p w14:paraId="654C9310" w14:textId="40B098AB" w:rsidR="00F172B2" w:rsidRPr="00F172B2" w:rsidRDefault="00F172B2" w:rsidP="00F172B2">
            <w:pPr>
              <w:pStyle w:val="Odstavekseznama"/>
              <w:numPr>
                <w:ilvl w:val="0"/>
                <w:numId w:val="37"/>
              </w:numPr>
              <w:spacing w:line="276" w:lineRule="auto"/>
              <w:jc w:val="both"/>
              <w:rPr>
                <w:rFonts w:ascii="Arial" w:hAnsi="Arial" w:cs="Arial"/>
                <w:sz w:val="20"/>
                <w:szCs w:val="20"/>
              </w:rPr>
            </w:pPr>
            <w:r w:rsidRPr="00F172B2">
              <w:rPr>
                <w:rFonts w:ascii="Arial" w:hAnsi="Arial" w:cs="Arial"/>
                <w:sz w:val="20"/>
                <w:szCs w:val="20"/>
              </w:rPr>
              <w:t>drugi odstavek 135.</w:t>
            </w:r>
            <w:r>
              <w:rPr>
                <w:rFonts w:ascii="Arial" w:hAnsi="Arial" w:cs="Arial"/>
                <w:sz w:val="20"/>
                <w:szCs w:val="20"/>
              </w:rPr>
              <w:t> </w:t>
            </w:r>
            <w:r w:rsidRPr="00F172B2">
              <w:rPr>
                <w:rFonts w:ascii="Arial" w:hAnsi="Arial" w:cs="Arial"/>
                <w:sz w:val="20"/>
                <w:szCs w:val="20"/>
              </w:rPr>
              <w:t>člena Zakona o organizaciji in financiranju vzgoje in izobraževanja Zakona o organizaciji in financiranju vzgoje in izobraževanja (Uradni list RS, št.</w:t>
            </w:r>
            <w:r>
              <w:rPr>
                <w:rFonts w:ascii="Arial" w:hAnsi="Arial" w:cs="Arial"/>
                <w:sz w:val="20"/>
                <w:szCs w:val="20"/>
              </w:rPr>
              <w:t> </w:t>
            </w:r>
            <w:r w:rsidRPr="00F172B2">
              <w:rPr>
                <w:rFonts w:ascii="Arial" w:hAnsi="Arial" w:cs="Arial"/>
                <w:sz w:val="20"/>
                <w:szCs w:val="20"/>
              </w:rPr>
              <w:t xml:space="preserve">16/07 – uradno prečiščeno besedilo, 36/08, 58/09, 64/09 – </w:t>
            </w:r>
            <w:proofErr w:type="spellStart"/>
            <w:r w:rsidRPr="00F172B2">
              <w:rPr>
                <w:rFonts w:ascii="Arial" w:hAnsi="Arial" w:cs="Arial"/>
                <w:sz w:val="20"/>
                <w:szCs w:val="20"/>
              </w:rPr>
              <w:t>popr</w:t>
            </w:r>
            <w:proofErr w:type="spellEnd"/>
            <w:r w:rsidRPr="00F172B2">
              <w:rPr>
                <w:rFonts w:ascii="Arial" w:hAnsi="Arial" w:cs="Arial"/>
                <w:sz w:val="20"/>
                <w:szCs w:val="20"/>
              </w:rPr>
              <w:t xml:space="preserve">., 65/09 – </w:t>
            </w:r>
            <w:proofErr w:type="spellStart"/>
            <w:r w:rsidRPr="00F172B2">
              <w:rPr>
                <w:rFonts w:ascii="Arial" w:hAnsi="Arial" w:cs="Arial"/>
                <w:sz w:val="20"/>
                <w:szCs w:val="20"/>
              </w:rPr>
              <w:t>popr</w:t>
            </w:r>
            <w:proofErr w:type="spellEnd"/>
            <w:r w:rsidRPr="00F172B2">
              <w:rPr>
                <w:rFonts w:ascii="Arial" w:hAnsi="Arial" w:cs="Arial"/>
                <w:sz w:val="20"/>
                <w:szCs w:val="20"/>
              </w:rPr>
              <w:t xml:space="preserve">., 20/11, 40/12 – ZUJF, 57/12 – ZPCP-2D, 47/15, 46/16, 49/16 – </w:t>
            </w:r>
            <w:proofErr w:type="spellStart"/>
            <w:r w:rsidRPr="00F172B2">
              <w:rPr>
                <w:rFonts w:ascii="Arial" w:hAnsi="Arial" w:cs="Arial"/>
                <w:sz w:val="20"/>
                <w:szCs w:val="20"/>
              </w:rPr>
              <w:t>popr</w:t>
            </w:r>
            <w:proofErr w:type="spellEnd"/>
            <w:r w:rsidRPr="00F172B2">
              <w:rPr>
                <w:rFonts w:ascii="Arial" w:hAnsi="Arial" w:cs="Arial"/>
                <w:sz w:val="20"/>
                <w:szCs w:val="20"/>
              </w:rPr>
              <w:t xml:space="preserve">., 25/17 – </w:t>
            </w:r>
            <w:proofErr w:type="spellStart"/>
            <w:r w:rsidRPr="00F172B2">
              <w:rPr>
                <w:rFonts w:ascii="Arial" w:hAnsi="Arial" w:cs="Arial"/>
                <w:sz w:val="20"/>
                <w:szCs w:val="20"/>
              </w:rPr>
              <w:t>ZVaj</w:t>
            </w:r>
            <w:proofErr w:type="spellEnd"/>
            <w:r w:rsidRPr="00F172B2">
              <w:rPr>
                <w:rFonts w:ascii="Arial" w:hAnsi="Arial" w:cs="Arial"/>
                <w:sz w:val="20"/>
                <w:szCs w:val="20"/>
              </w:rPr>
              <w:t>, 123/21, 172/21, 207/21 in 105/22 – ZZNŠPP) in</w:t>
            </w:r>
          </w:p>
          <w:p w14:paraId="4803937D" w14:textId="60069893" w:rsidR="00F172B2" w:rsidRPr="00F172B2" w:rsidRDefault="00F172B2" w:rsidP="00F172B2">
            <w:pPr>
              <w:pStyle w:val="Odstavekseznama"/>
              <w:numPr>
                <w:ilvl w:val="0"/>
                <w:numId w:val="37"/>
              </w:numPr>
              <w:spacing w:line="276" w:lineRule="auto"/>
              <w:jc w:val="both"/>
              <w:rPr>
                <w:rFonts w:ascii="Arial" w:hAnsi="Arial" w:cs="Arial"/>
                <w:sz w:val="20"/>
                <w:szCs w:val="20"/>
              </w:rPr>
            </w:pPr>
            <w:r w:rsidRPr="00F172B2">
              <w:rPr>
                <w:rFonts w:ascii="Arial" w:hAnsi="Arial" w:cs="Arial"/>
                <w:sz w:val="20"/>
                <w:szCs w:val="20"/>
              </w:rPr>
              <w:t>prvi odstavek 60.</w:t>
            </w:r>
            <w:r>
              <w:rPr>
                <w:rFonts w:ascii="Arial" w:hAnsi="Arial" w:cs="Arial"/>
                <w:sz w:val="20"/>
                <w:szCs w:val="20"/>
              </w:rPr>
              <w:t> </w:t>
            </w:r>
            <w:r w:rsidRPr="00F172B2">
              <w:rPr>
                <w:rFonts w:ascii="Arial" w:hAnsi="Arial" w:cs="Arial"/>
                <w:sz w:val="20"/>
                <w:szCs w:val="20"/>
              </w:rPr>
              <w:t>člena Zakona o interventnih ukrepih za pomoč pri omilitvi posledic drugega vala epidemije COVID-19 (Uradni list RS, št.</w:t>
            </w:r>
            <w:r>
              <w:rPr>
                <w:rFonts w:ascii="Arial" w:hAnsi="Arial" w:cs="Arial"/>
                <w:sz w:val="20"/>
                <w:szCs w:val="20"/>
              </w:rPr>
              <w:t> </w:t>
            </w:r>
            <w:r w:rsidRPr="00F172B2">
              <w:rPr>
                <w:rFonts w:ascii="Arial" w:hAnsi="Arial" w:cs="Arial"/>
                <w:sz w:val="20"/>
                <w:szCs w:val="20"/>
              </w:rPr>
              <w:t>203/20, 15/21 – ZDUOP, 82/21 – ZNB-C, 112/21 – ZNUPZ in 206/21 – ZDUPŠOP).</w:t>
            </w:r>
          </w:p>
          <w:p w14:paraId="06A0153B" w14:textId="77777777" w:rsidR="00F172B2" w:rsidRPr="00F172B2" w:rsidRDefault="00F172B2" w:rsidP="00F172B2">
            <w:pPr>
              <w:spacing w:after="0" w:line="276" w:lineRule="auto"/>
              <w:rPr>
                <w:rFonts w:ascii="Arial" w:hAnsi="Arial" w:cs="Arial"/>
                <w:sz w:val="20"/>
                <w:szCs w:val="20"/>
              </w:rPr>
            </w:pPr>
          </w:p>
          <w:p w14:paraId="5C2E838F" w14:textId="2FEEBE24" w:rsidR="00F172B2" w:rsidRDefault="00F172B2" w:rsidP="00076F4A">
            <w:pPr>
              <w:pStyle w:val="Odstavekseznama"/>
              <w:numPr>
                <w:ilvl w:val="0"/>
                <w:numId w:val="21"/>
              </w:numPr>
              <w:jc w:val="center"/>
              <w:rPr>
                <w:rFonts w:ascii="Arial" w:hAnsi="Arial" w:cs="Arial"/>
                <w:sz w:val="20"/>
                <w:szCs w:val="20"/>
              </w:rPr>
            </w:pPr>
            <w:r>
              <w:rPr>
                <w:rFonts w:ascii="Arial" w:hAnsi="Arial" w:cs="Arial"/>
                <w:sz w:val="20"/>
                <w:szCs w:val="20"/>
              </w:rPr>
              <w:t>člen</w:t>
            </w:r>
          </w:p>
          <w:p w14:paraId="10488CD3" w14:textId="2475FDF6" w:rsidR="000F05B6" w:rsidRPr="000F05B6" w:rsidRDefault="000F05B6" w:rsidP="000F05B6">
            <w:pPr>
              <w:spacing w:after="0"/>
              <w:jc w:val="center"/>
              <w:rPr>
                <w:rFonts w:ascii="Arial" w:hAnsi="Arial" w:cs="Arial"/>
                <w:sz w:val="20"/>
                <w:szCs w:val="20"/>
              </w:rPr>
            </w:pPr>
            <w:r>
              <w:rPr>
                <w:rFonts w:ascii="Arial" w:hAnsi="Arial" w:cs="Arial"/>
                <w:sz w:val="20"/>
                <w:szCs w:val="20"/>
              </w:rPr>
              <w:t>(</w:t>
            </w:r>
            <w:r w:rsidR="00BB5B9E">
              <w:rPr>
                <w:rFonts w:ascii="Arial" w:hAnsi="Arial" w:cs="Arial"/>
                <w:sz w:val="20"/>
                <w:szCs w:val="20"/>
              </w:rPr>
              <w:t>začetek veljavnosti</w:t>
            </w:r>
            <w:r w:rsidR="001A29E5" w:rsidRPr="001A29E5">
              <w:rPr>
                <w:rFonts w:ascii="Arial" w:hAnsi="Arial" w:cs="Arial"/>
                <w:sz w:val="20"/>
                <w:szCs w:val="20"/>
              </w:rPr>
              <w:t>)</w:t>
            </w:r>
          </w:p>
          <w:p w14:paraId="50401121" w14:textId="77777777" w:rsidR="00087885" w:rsidRDefault="00087885" w:rsidP="000F05B6">
            <w:pPr>
              <w:spacing w:after="0" w:line="276" w:lineRule="auto"/>
              <w:contextualSpacing/>
              <w:jc w:val="both"/>
              <w:rPr>
                <w:rFonts w:ascii="Arial" w:hAnsi="Arial" w:cs="Arial"/>
                <w:sz w:val="20"/>
                <w:szCs w:val="20"/>
              </w:rPr>
            </w:pPr>
          </w:p>
          <w:p w14:paraId="4ABA877B" w14:textId="655C656F" w:rsidR="009B523C" w:rsidRDefault="00087885" w:rsidP="000F05B6">
            <w:pPr>
              <w:spacing w:after="0" w:line="276" w:lineRule="auto"/>
              <w:contextualSpacing/>
              <w:jc w:val="both"/>
              <w:rPr>
                <w:rFonts w:ascii="Arial" w:hAnsi="Arial" w:cs="Arial"/>
                <w:sz w:val="20"/>
                <w:szCs w:val="20"/>
              </w:rPr>
            </w:pPr>
            <w:r>
              <w:rPr>
                <w:rFonts w:ascii="Arial" w:hAnsi="Arial" w:cs="Arial"/>
                <w:sz w:val="20"/>
                <w:szCs w:val="20"/>
              </w:rPr>
              <w:t>(1)</w:t>
            </w:r>
            <w:r w:rsidR="001A29E5" w:rsidRPr="001923BE">
              <w:rPr>
                <w:rFonts w:ascii="Arial" w:hAnsi="Arial" w:cs="Arial"/>
                <w:sz w:val="20"/>
                <w:szCs w:val="20"/>
              </w:rPr>
              <w:t xml:space="preserve"> Ta zakon začne veljati </w:t>
            </w:r>
            <w:r w:rsidR="00CD5A36">
              <w:rPr>
                <w:rFonts w:ascii="Arial" w:hAnsi="Arial" w:cs="Arial"/>
                <w:sz w:val="20"/>
                <w:szCs w:val="20"/>
              </w:rPr>
              <w:t>naslednji</w:t>
            </w:r>
            <w:r w:rsidR="00A35943">
              <w:rPr>
                <w:rFonts w:ascii="Arial" w:hAnsi="Arial" w:cs="Arial"/>
                <w:sz w:val="20"/>
                <w:szCs w:val="20"/>
              </w:rPr>
              <w:t xml:space="preserve"> </w:t>
            </w:r>
            <w:r w:rsidR="001A29E5" w:rsidRPr="001923BE">
              <w:rPr>
                <w:rFonts w:ascii="Arial" w:hAnsi="Arial" w:cs="Arial"/>
                <w:sz w:val="20"/>
                <w:szCs w:val="20"/>
              </w:rPr>
              <w:t>dan po objavi v Uradnem listu Republike</w:t>
            </w:r>
            <w:r w:rsidR="00BB5B9E">
              <w:rPr>
                <w:rFonts w:ascii="Arial" w:hAnsi="Arial" w:cs="Arial"/>
                <w:sz w:val="20"/>
                <w:szCs w:val="20"/>
              </w:rPr>
              <w:t xml:space="preserve"> Slovenije</w:t>
            </w:r>
            <w:r w:rsidR="001A29E5">
              <w:rPr>
                <w:rFonts w:ascii="Arial" w:hAnsi="Arial" w:cs="Arial"/>
                <w:sz w:val="20"/>
                <w:szCs w:val="20"/>
              </w:rPr>
              <w:t xml:space="preserve">, </w:t>
            </w:r>
            <w:r w:rsidR="005B0933">
              <w:rPr>
                <w:rFonts w:ascii="Arial" w:hAnsi="Arial" w:cs="Arial"/>
                <w:sz w:val="20"/>
                <w:szCs w:val="20"/>
              </w:rPr>
              <w:t>razen 1</w:t>
            </w:r>
            <w:r w:rsidR="0066564F">
              <w:rPr>
                <w:rFonts w:ascii="Arial" w:hAnsi="Arial" w:cs="Arial"/>
                <w:sz w:val="20"/>
                <w:szCs w:val="20"/>
              </w:rPr>
              <w:t>7</w:t>
            </w:r>
            <w:r w:rsidR="005B0933">
              <w:rPr>
                <w:rFonts w:ascii="Arial" w:hAnsi="Arial" w:cs="Arial"/>
                <w:sz w:val="20"/>
                <w:szCs w:val="20"/>
              </w:rPr>
              <w:t>. člena tega zakona, ki začne veljati 1.</w:t>
            </w:r>
            <w:r w:rsidR="00321F7C">
              <w:rPr>
                <w:rFonts w:ascii="Arial" w:hAnsi="Arial" w:cs="Arial"/>
                <w:sz w:val="20"/>
                <w:szCs w:val="20"/>
              </w:rPr>
              <w:t> </w:t>
            </w:r>
            <w:r w:rsidR="005B0933">
              <w:rPr>
                <w:rFonts w:ascii="Arial" w:hAnsi="Arial" w:cs="Arial"/>
                <w:sz w:val="20"/>
                <w:szCs w:val="20"/>
              </w:rPr>
              <w:t>januarja 2023. S</w:t>
            </w:r>
            <w:r w:rsidR="004F1205">
              <w:rPr>
                <w:rFonts w:ascii="Arial" w:hAnsi="Arial" w:cs="Arial"/>
                <w:sz w:val="20"/>
                <w:szCs w:val="20"/>
              </w:rPr>
              <w:t>premenjeni 44., 48., 59., 90., 109., 111., 113. in 123. člen, spremenjeno poglavje VII.A ter spremenjeni a131.a, 135.č in 142. člen pa se</w:t>
            </w:r>
            <w:r w:rsidR="004F1205" w:rsidRPr="001923BE">
              <w:rPr>
                <w:rFonts w:ascii="Arial" w:hAnsi="Arial" w:cs="Arial"/>
                <w:sz w:val="20"/>
                <w:szCs w:val="20"/>
              </w:rPr>
              <w:t xml:space="preserve"> </w:t>
            </w:r>
            <w:r w:rsidR="001A29E5">
              <w:rPr>
                <w:rFonts w:ascii="Arial" w:hAnsi="Arial" w:cs="Arial"/>
                <w:sz w:val="20"/>
                <w:szCs w:val="20"/>
              </w:rPr>
              <w:t>uporablja</w:t>
            </w:r>
            <w:r w:rsidR="004F1205">
              <w:rPr>
                <w:rFonts w:ascii="Arial" w:hAnsi="Arial" w:cs="Arial"/>
                <w:sz w:val="20"/>
                <w:szCs w:val="20"/>
              </w:rPr>
              <w:t>jo</w:t>
            </w:r>
            <w:r w:rsidR="001A29E5">
              <w:rPr>
                <w:rFonts w:ascii="Arial" w:hAnsi="Arial" w:cs="Arial"/>
                <w:sz w:val="20"/>
                <w:szCs w:val="20"/>
              </w:rPr>
              <w:t xml:space="preserve"> </w:t>
            </w:r>
            <w:r>
              <w:rPr>
                <w:rFonts w:ascii="Arial" w:hAnsi="Arial" w:cs="Arial"/>
                <w:sz w:val="20"/>
                <w:szCs w:val="20"/>
              </w:rPr>
              <w:t xml:space="preserve">za davčna leta, </w:t>
            </w:r>
            <w:r w:rsidRPr="0052557D">
              <w:rPr>
                <w:rFonts w:ascii="Arial" w:hAnsi="Arial" w:cs="Arial"/>
                <w:sz w:val="20"/>
                <w:szCs w:val="20"/>
              </w:rPr>
              <w:t>ki se začnejo od vključno 1.</w:t>
            </w:r>
            <w:r w:rsidR="00440305">
              <w:rPr>
                <w:rFonts w:ascii="Arial" w:hAnsi="Arial" w:cs="Arial"/>
                <w:sz w:val="20"/>
                <w:szCs w:val="20"/>
              </w:rPr>
              <w:t> </w:t>
            </w:r>
            <w:r w:rsidRPr="0052557D">
              <w:rPr>
                <w:rFonts w:ascii="Arial" w:hAnsi="Arial" w:cs="Arial"/>
                <w:sz w:val="20"/>
                <w:szCs w:val="20"/>
              </w:rPr>
              <w:t>januarja 2023</w:t>
            </w:r>
            <w:r w:rsidR="004F1205">
              <w:rPr>
                <w:rFonts w:ascii="Arial" w:hAnsi="Arial" w:cs="Arial"/>
                <w:sz w:val="20"/>
                <w:szCs w:val="20"/>
              </w:rPr>
              <w:t>.</w:t>
            </w:r>
          </w:p>
          <w:bookmarkEnd w:id="9"/>
          <w:p w14:paraId="2D981F98" w14:textId="77777777" w:rsidR="00087885" w:rsidRDefault="00087885" w:rsidP="000F05B6">
            <w:pPr>
              <w:spacing w:after="0" w:line="276" w:lineRule="auto"/>
              <w:contextualSpacing/>
              <w:jc w:val="both"/>
              <w:rPr>
                <w:rFonts w:ascii="Arial" w:hAnsi="Arial" w:cs="Arial"/>
                <w:sz w:val="20"/>
                <w:szCs w:val="20"/>
              </w:rPr>
            </w:pPr>
          </w:p>
          <w:p w14:paraId="4000D8BE" w14:textId="7F29C1FD" w:rsidR="00087885" w:rsidRDefault="008A6AD4" w:rsidP="000F05B6">
            <w:pPr>
              <w:spacing w:after="0" w:line="276" w:lineRule="auto"/>
              <w:contextualSpacing/>
              <w:jc w:val="both"/>
              <w:rPr>
                <w:rFonts w:ascii="Arial" w:hAnsi="Arial" w:cs="Arial"/>
                <w:sz w:val="20"/>
                <w:szCs w:val="20"/>
              </w:rPr>
            </w:pPr>
            <w:r>
              <w:rPr>
                <w:rFonts w:ascii="Arial" w:hAnsi="Arial" w:cs="Arial"/>
                <w:sz w:val="20"/>
                <w:szCs w:val="20"/>
              </w:rPr>
              <w:t>(2</w:t>
            </w:r>
            <w:r w:rsidR="00087885" w:rsidRPr="001923BE">
              <w:rPr>
                <w:rFonts w:ascii="Arial" w:hAnsi="Arial" w:cs="Arial"/>
                <w:sz w:val="20"/>
                <w:szCs w:val="20"/>
              </w:rPr>
              <w:t>) Do začetka uporabe</w:t>
            </w:r>
            <w:r w:rsidR="00087885">
              <w:rPr>
                <w:rFonts w:ascii="Arial" w:hAnsi="Arial" w:cs="Arial"/>
                <w:sz w:val="20"/>
                <w:szCs w:val="20"/>
              </w:rPr>
              <w:t xml:space="preserve"> </w:t>
            </w:r>
            <w:r w:rsidR="0048649A">
              <w:rPr>
                <w:rFonts w:ascii="Arial" w:hAnsi="Arial" w:cs="Arial"/>
                <w:sz w:val="20"/>
                <w:szCs w:val="20"/>
              </w:rPr>
              <w:t>spremenjen</w:t>
            </w:r>
            <w:r w:rsidR="00137D9C">
              <w:rPr>
                <w:rFonts w:ascii="Arial" w:hAnsi="Arial" w:cs="Arial"/>
                <w:sz w:val="20"/>
                <w:szCs w:val="20"/>
              </w:rPr>
              <w:t>ih</w:t>
            </w:r>
            <w:r w:rsidR="0048649A">
              <w:rPr>
                <w:rFonts w:ascii="Arial" w:hAnsi="Arial" w:cs="Arial"/>
                <w:sz w:val="20"/>
                <w:szCs w:val="20"/>
              </w:rPr>
              <w:t xml:space="preserve"> 44., 48., 59., 90., 109., 111., 113. </w:t>
            </w:r>
            <w:r w:rsidR="00137D9C">
              <w:rPr>
                <w:rFonts w:ascii="Arial" w:hAnsi="Arial" w:cs="Arial"/>
                <w:sz w:val="20"/>
                <w:szCs w:val="20"/>
              </w:rPr>
              <w:t xml:space="preserve">in </w:t>
            </w:r>
            <w:r w:rsidR="0048649A">
              <w:rPr>
                <w:rFonts w:ascii="Arial" w:hAnsi="Arial" w:cs="Arial"/>
                <w:sz w:val="20"/>
                <w:szCs w:val="20"/>
              </w:rPr>
              <w:t>123.</w:t>
            </w:r>
            <w:r w:rsidR="00440305">
              <w:rPr>
                <w:rFonts w:ascii="Arial" w:hAnsi="Arial" w:cs="Arial"/>
                <w:sz w:val="20"/>
                <w:szCs w:val="20"/>
              </w:rPr>
              <w:t> </w:t>
            </w:r>
            <w:r w:rsidR="0048649A">
              <w:rPr>
                <w:rFonts w:ascii="Arial" w:hAnsi="Arial" w:cs="Arial"/>
                <w:sz w:val="20"/>
                <w:szCs w:val="20"/>
              </w:rPr>
              <w:t>člena, spremenjenega poglavja</w:t>
            </w:r>
            <w:r w:rsidR="00440305">
              <w:rPr>
                <w:rFonts w:ascii="Arial" w:hAnsi="Arial" w:cs="Arial"/>
                <w:sz w:val="20"/>
                <w:szCs w:val="20"/>
              </w:rPr>
              <w:t> VII.A</w:t>
            </w:r>
            <w:r w:rsidR="0048649A">
              <w:rPr>
                <w:rFonts w:ascii="Arial" w:hAnsi="Arial" w:cs="Arial"/>
                <w:sz w:val="20"/>
                <w:szCs w:val="20"/>
              </w:rPr>
              <w:t xml:space="preserve"> ter spremenjen</w:t>
            </w:r>
            <w:r w:rsidR="00137D9C">
              <w:rPr>
                <w:rFonts w:ascii="Arial" w:hAnsi="Arial" w:cs="Arial"/>
                <w:sz w:val="20"/>
                <w:szCs w:val="20"/>
              </w:rPr>
              <w:t>ih</w:t>
            </w:r>
            <w:r w:rsidR="0048649A">
              <w:rPr>
                <w:rFonts w:ascii="Arial" w:hAnsi="Arial" w:cs="Arial"/>
                <w:sz w:val="20"/>
                <w:szCs w:val="20"/>
              </w:rPr>
              <w:t xml:space="preserve"> a131.a, 135.č</w:t>
            </w:r>
            <w:r w:rsidR="00755DFF">
              <w:rPr>
                <w:rFonts w:ascii="Arial" w:hAnsi="Arial" w:cs="Arial"/>
                <w:sz w:val="20"/>
                <w:szCs w:val="20"/>
              </w:rPr>
              <w:t xml:space="preserve"> in 142</w:t>
            </w:r>
            <w:r w:rsidR="00E858D1">
              <w:rPr>
                <w:rFonts w:ascii="Arial" w:hAnsi="Arial" w:cs="Arial"/>
                <w:sz w:val="20"/>
                <w:szCs w:val="20"/>
              </w:rPr>
              <w:t>.</w:t>
            </w:r>
            <w:r w:rsidR="00440305">
              <w:rPr>
                <w:rFonts w:ascii="Arial" w:hAnsi="Arial" w:cs="Arial"/>
                <w:sz w:val="20"/>
                <w:szCs w:val="20"/>
              </w:rPr>
              <w:t> </w:t>
            </w:r>
            <w:r w:rsidR="00FF56A9">
              <w:rPr>
                <w:rFonts w:ascii="Arial" w:hAnsi="Arial" w:cs="Arial"/>
                <w:sz w:val="20"/>
                <w:szCs w:val="20"/>
              </w:rPr>
              <w:t>člena</w:t>
            </w:r>
            <w:r w:rsidR="00087885" w:rsidRPr="001923BE">
              <w:rPr>
                <w:rFonts w:ascii="Arial" w:hAnsi="Arial" w:cs="Arial"/>
                <w:sz w:val="20"/>
                <w:szCs w:val="20"/>
              </w:rPr>
              <w:t xml:space="preserve"> zakona se uporablj</w:t>
            </w:r>
            <w:r w:rsidR="00FF56A9">
              <w:rPr>
                <w:rFonts w:ascii="Arial" w:hAnsi="Arial" w:cs="Arial"/>
                <w:sz w:val="20"/>
                <w:szCs w:val="20"/>
              </w:rPr>
              <w:t xml:space="preserve">ajo </w:t>
            </w:r>
            <w:r w:rsidR="00FF56A9" w:rsidRPr="00FF56A9">
              <w:rPr>
                <w:rFonts w:ascii="Arial" w:hAnsi="Arial" w:cs="Arial"/>
                <w:sz w:val="20"/>
                <w:szCs w:val="20"/>
              </w:rPr>
              <w:t xml:space="preserve">44., 48., 59., 90., 109., 111., 113., </w:t>
            </w:r>
            <w:r w:rsidR="00137D9C">
              <w:rPr>
                <w:rFonts w:ascii="Arial" w:hAnsi="Arial" w:cs="Arial"/>
                <w:sz w:val="20"/>
                <w:szCs w:val="20"/>
              </w:rPr>
              <w:t xml:space="preserve">in </w:t>
            </w:r>
            <w:r w:rsidR="00FF56A9" w:rsidRPr="00FF56A9">
              <w:rPr>
                <w:rFonts w:ascii="Arial" w:hAnsi="Arial" w:cs="Arial"/>
                <w:sz w:val="20"/>
                <w:szCs w:val="20"/>
              </w:rPr>
              <w:t>123.</w:t>
            </w:r>
            <w:r w:rsidR="00440305">
              <w:rPr>
                <w:rFonts w:ascii="Arial" w:hAnsi="Arial" w:cs="Arial"/>
                <w:sz w:val="20"/>
                <w:szCs w:val="20"/>
              </w:rPr>
              <w:t> </w:t>
            </w:r>
            <w:r w:rsidR="00FF56A9" w:rsidRPr="00FF56A9">
              <w:rPr>
                <w:rFonts w:ascii="Arial" w:hAnsi="Arial" w:cs="Arial"/>
                <w:sz w:val="20"/>
                <w:szCs w:val="20"/>
              </w:rPr>
              <w:t xml:space="preserve">člen, </w:t>
            </w:r>
            <w:r w:rsidR="00FF56A9">
              <w:rPr>
                <w:rFonts w:ascii="Arial" w:hAnsi="Arial" w:cs="Arial"/>
                <w:sz w:val="20"/>
                <w:szCs w:val="20"/>
              </w:rPr>
              <w:t>poglavje</w:t>
            </w:r>
            <w:r w:rsidR="00321F7C">
              <w:rPr>
                <w:rFonts w:ascii="Arial" w:hAnsi="Arial" w:cs="Arial"/>
                <w:sz w:val="20"/>
                <w:szCs w:val="20"/>
              </w:rPr>
              <w:t> </w:t>
            </w:r>
            <w:r w:rsidR="00FF56A9" w:rsidRPr="00FF56A9">
              <w:rPr>
                <w:rFonts w:ascii="Arial" w:hAnsi="Arial" w:cs="Arial"/>
                <w:sz w:val="20"/>
                <w:szCs w:val="20"/>
              </w:rPr>
              <w:t>VII.A ter a131.a</w:t>
            </w:r>
            <w:r w:rsidR="00755DFF">
              <w:rPr>
                <w:rFonts w:ascii="Arial" w:hAnsi="Arial" w:cs="Arial"/>
                <w:sz w:val="20"/>
                <w:szCs w:val="20"/>
              </w:rPr>
              <w:t>,</w:t>
            </w:r>
            <w:r w:rsidR="00FF56A9" w:rsidRPr="00FF56A9">
              <w:rPr>
                <w:rFonts w:ascii="Arial" w:hAnsi="Arial" w:cs="Arial"/>
                <w:sz w:val="20"/>
                <w:szCs w:val="20"/>
              </w:rPr>
              <w:t xml:space="preserve"> 135.č </w:t>
            </w:r>
            <w:r w:rsidR="00755DFF">
              <w:rPr>
                <w:rFonts w:ascii="Arial" w:hAnsi="Arial" w:cs="Arial"/>
                <w:sz w:val="20"/>
                <w:szCs w:val="20"/>
              </w:rPr>
              <w:t>in 142.</w:t>
            </w:r>
            <w:r w:rsidR="00440305">
              <w:rPr>
                <w:rFonts w:ascii="Arial" w:hAnsi="Arial" w:cs="Arial"/>
                <w:sz w:val="20"/>
                <w:szCs w:val="20"/>
              </w:rPr>
              <w:t> </w:t>
            </w:r>
            <w:r w:rsidR="00FF56A9" w:rsidRPr="00FF56A9">
              <w:rPr>
                <w:rFonts w:ascii="Arial" w:hAnsi="Arial" w:cs="Arial"/>
                <w:sz w:val="20"/>
                <w:szCs w:val="20"/>
              </w:rPr>
              <w:t xml:space="preserve">člen </w:t>
            </w:r>
            <w:r w:rsidR="00087885" w:rsidRPr="001923BE">
              <w:rPr>
                <w:rFonts w:ascii="Arial" w:hAnsi="Arial" w:cs="Arial"/>
                <w:sz w:val="20"/>
                <w:szCs w:val="20"/>
              </w:rPr>
              <w:t>Zakon</w:t>
            </w:r>
            <w:r w:rsidR="00755DFF">
              <w:rPr>
                <w:rFonts w:ascii="Arial" w:hAnsi="Arial" w:cs="Arial"/>
                <w:sz w:val="20"/>
                <w:szCs w:val="20"/>
              </w:rPr>
              <w:t>a</w:t>
            </w:r>
            <w:r w:rsidR="00087885" w:rsidRPr="001923BE">
              <w:rPr>
                <w:rFonts w:ascii="Arial" w:hAnsi="Arial" w:cs="Arial"/>
                <w:sz w:val="20"/>
                <w:szCs w:val="20"/>
              </w:rPr>
              <w:t xml:space="preserve"> o dohodnini (Uradni list RS, št.</w:t>
            </w:r>
            <w:r w:rsidR="00321F7C">
              <w:rPr>
                <w:rFonts w:ascii="Arial" w:hAnsi="Arial" w:cs="Arial"/>
                <w:sz w:val="20"/>
                <w:szCs w:val="20"/>
              </w:rPr>
              <w:t> </w:t>
            </w:r>
            <w:r w:rsidR="00087885" w:rsidRPr="001923BE">
              <w:rPr>
                <w:rFonts w:ascii="Arial" w:hAnsi="Arial" w:cs="Arial"/>
                <w:sz w:val="20"/>
                <w:szCs w:val="20"/>
              </w:rPr>
              <w:t xml:space="preserve">13/11 – uradno prečiščeno besedilo, 9/11 – ZUKD-1, 9/12 – </w:t>
            </w:r>
            <w:proofErr w:type="spellStart"/>
            <w:r w:rsidR="00087885" w:rsidRPr="001923BE">
              <w:rPr>
                <w:rFonts w:ascii="Arial" w:hAnsi="Arial" w:cs="Arial"/>
                <w:sz w:val="20"/>
                <w:szCs w:val="20"/>
              </w:rPr>
              <w:t>odl</w:t>
            </w:r>
            <w:proofErr w:type="spellEnd"/>
            <w:r w:rsidR="00087885" w:rsidRPr="001923BE">
              <w:rPr>
                <w:rFonts w:ascii="Arial" w:hAnsi="Arial" w:cs="Arial"/>
                <w:sz w:val="20"/>
                <w:szCs w:val="20"/>
              </w:rPr>
              <w:t xml:space="preserve">. US, 24/12, 30/12, 40/12 – ZUJF, 75/12, 94/12, 96/13, 29/14 – </w:t>
            </w:r>
            <w:proofErr w:type="spellStart"/>
            <w:r w:rsidR="00087885" w:rsidRPr="001923BE">
              <w:rPr>
                <w:rFonts w:ascii="Arial" w:hAnsi="Arial" w:cs="Arial"/>
                <w:sz w:val="20"/>
                <w:szCs w:val="20"/>
              </w:rPr>
              <w:t>odl</w:t>
            </w:r>
            <w:proofErr w:type="spellEnd"/>
            <w:r w:rsidR="00087885" w:rsidRPr="001923BE">
              <w:rPr>
                <w:rFonts w:ascii="Arial" w:hAnsi="Arial" w:cs="Arial"/>
                <w:sz w:val="20"/>
                <w:szCs w:val="20"/>
              </w:rPr>
              <w:t>. US, 50/14, 23/15, 55/15, 63/16, 69/17, 21/19, 28/19</w:t>
            </w:r>
            <w:r w:rsidR="00087885">
              <w:rPr>
                <w:rFonts w:ascii="Arial" w:hAnsi="Arial" w:cs="Arial"/>
                <w:sz w:val="20"/>
                <w:szCs w:val="20"/>
              </w:rPr>
              <w:t>,</w:t>
            </w:r>
            <w:r w:rsidR="00087885" w:rsidRPr="001923BE">
              <w:rPr>
                <w:rFonts w:ascii="Arial" w:hAnsi="Arial" w:cs="Arial"/>
                <w:sz w:val="20"/>
                <w:szCs w:val="20"/>
              </w:rPr>
              <w:t xml:space="preserve"> 66/19</w:t>
            </w:r>
            <w:r w:rsidR="00087885">
              <w:rPr>
                <w:rFonts w:ascii="Arial" w:hAnsi="Arial" w:cs="Arial"/>
                <w:sz w:val="20"/>
                <w:szCs w:val="20"/>
              </w:rPr>
              <w:t xml:space="preserve"> in 39/22</w:t>
            </w:r>
            <w:r w:rsidR="00087885" w:rsidRPr="001923BE">
              <w:rPr>
                <w:rFonts w:ascii="Arial" w:hAnsi="Arial" w:cs="Arial"/>
                <w:sz w:val="20"/>
                <w:szCs w:val="20"/>
              </w:rPr>
              <w:t>).</w:t>
            </w:r>
          </w:p>
          <w:p w14:paraId="106D3DBC" w14:textId="1D649DAF" w:rsidR="005C1F6F" w:rsidRPr="00204492" w:rsidRDefault="005C1F6F" w:rsidP="001F74A0">
            <w:pPr>
              <w:spacing w:after="0" w:line="276" w:lineRule="auto"/>
              <w:jc w:val="both"/>
              <w:rPr>
                <w:rFonts w:ascii="Arial" w:hAnsi="Arial"/>
                <w:sz w:val="20"/>
              </w:rPr>
            </w:pPr>
          </w:p>
        </w:tc>
      </w:tr>
      <w:bookmarkEnd w:id="3"/>
    </w:tbl>
    <w:p w14:paraId="61F074DC" w14:textId="0FA83544" w:rsidR="0081738E" w:rsidRDefault="0081738E" w:rsidP="0081738E"/>
    <w:p w14:paraId="6F78F45D" w14:textId="3A789691" w:rsidR="005C1F6F" w:rsidRDefault="00817D13">
      <w:r>
        <w:br w:type="page"/>
      </w:r>
    </w:p>
    <w:tbl>
      <w:tblPr>
        <w:tblW w:w="0" w:type="auto"/>
        <w:tblLook w:val="04A0" w:firstRow="1" w:lastRow="0" w:firstColumn="1" w:lastColumn="0" w:noHBand="0" w:noVBand="1"/>
      </w:tblPr>
      <w:tblGrid>
        <w:gridCol w:w="9072"/>
      </w:tblGrid>
      <w:tr w:rsidR="004513FD" w:rsidRPr="004513FD" w14:paraId="0FC01FF1" w14:textId="77777777" w:rsidTr="190C9E04">
        <w:tc>
          <w:tcPr>
            <w:tcW w:w="9213" w:type="dxa"/>
          </w:tcPr>
          <w:p w14:paraId="162B21E6" w14:textId="77777777" w:rsidR="004513FD" w:rsidRPr="00F120D9" w:rsidRDefault="004513FD" w:rsidP="00F120D9">
            <w:pPr>
              <w:spacing w:after="0" w:line="276" w:lineRule="auto"/>
              <w:rPr>
                <w:rFonts w:ascii="Arial" w:eastAsia="Calibri" w:hAnsi="Arial" w:cs="Arial"/>
                <w:b/>
                <w:bCs/>
              </w:rPr>
            </w:pPr>
            <w:r w:rsidRPr="004513FD">
              <w:rPr>
                <w:rFonts w:ascii="Calibri" w:eastAsia="Calibri" w:hAnsi="Calibri" w:cs="Times New Roman"/>
              </w:rPr>
              <w:lastRenderedPageBreak/>
              <w:br w:type="page"/>
            </w:r>
            <w:r w:rsidRPr="001D4E2D">
              <w:rPr>
                <w:rFonts w:ascii="Arial" w:eastAsia="Calibri" w:hAnsi="Arial" w:cs="Arial"/>
                <w:b/>
                <w:bCs/>
              </w:rPr>
              <w:t>III. OBRAZLOŽITEV</w:t>
            </w:r>
          </w:p>
        </w:tc>
      </w:tr>
      <w:tr w:rsidR="004513FD" w:rsidRPr="004513FD" w14:paraId="2165297C" w14:textId="77777777" w:rsidTr="190C9E04">
        <w:tc>
          <w:tcPr>
            <w:tcW w:w="9213" w:type="dxa"/>
          </w:tcPr>
          <w:p w14:paraId="57940534" w14:textId="77777777" w:rsidR="00BD6A3B" w:rsidRDefault="00BD6A3B" w:rsidP="004F2DCB">
            <w:pPr>
              <w:spacing w:after="0" w:line="276" w:lineRule="auto"/>
              <w:contextualSpacing/>
              <w:jc w:val="both"/>
              <w:rPr>
                <w:rFonts w:ascii="Arial" w:eastAsia="Calibri" w:hAnsi="Arial" w:cs="Arial"/>
                <w:sz w:val="20"/>
                <w:szCs w:val="20"/>
              </w:rPr>
            </w:pPr>
          </w:p>
          <w:p w14:paraId="1C31DA32" w14:textId="371B213B" w:rsidR="00B83E33" w:rsidRPr="00B83E33" w:rsidRDefault="00B83E33" w:rsidP="00076F4A">
            <w:pPr>
              <w:pStyle w:val="Odstavekseznama"/>
              <w:numPr>
                <w:ilvl w:val="0"/>
                <w:numId w:val="28"/>
              </w:numPr>
              <w:spacing w:line="276" w:lineRule="auto"/>
              <w:contextualSpacing/>
              <w:jc w:val="both"/>
              <w:rPr>
                <w:rFonts w:ascii="Arial" w:eastAsia="Calibri" w:hAnsi="Arial" w:cs="Arial"/>
                <w:b/>
                <w:bCs/>
                <w:sz w:val="20"/>
                <w:szCs w:val="20"/>
              </w:rPr>
            </w:pPr>
          </w:p>
          <w:p w14:paraId="71D668DA" w14:textId="18B61FB9" w:rsidR="00C45F29" w:rsidRDefault="00C45F29" w:rsidP="00C45F29">
            <w:pPr>
              <w:spacing w:after="0" w:line="276" w:lineRule="auto"/>
              <w:contextualSpacing/>
              <w:jc w:val="both"/>
              <w:rPr>
                <w:rFonts w:ascii="Arial" w:eastAsia="Calibri" w:hAnsi="Arial" w:cs="Arial"/>
                <w:sz w:val="20"/>
                <w:szCs w:val="20"/>
              </w:rPr>
            </w:pPr>
            <w:bookmarkStart w:id="10" w:name="_Hlk114157542"/>
            <w:r>
              <w:rPr>
                <w:rFonts w:ascii="Arial" w:eastAsia="Calibri" w:hAnsi="Arial" w:cs="Arial"/>
                <w:sz w:val="20"/>
                <w:szCs w:val="20"/>
              </w:rPr>
              <w:t>S posegom v 2.</w:t>
            </w:r>
            <w:r w:rsidR="00440305">
              <w:rPr>
                <w:rFonts w:ascii="Arial" w:eastAsia="Calibri" w:hAnsi="Arial" w:cs="Arial"/>
                <w:sz w:val="20"/>
                <w:szCs w:val="20"/>
              </w:rPr>
              <w:t> </w:t>
            </w:r>
            <w:r>
              <w:rPr>
                <w:rFonts w:ascii="Arial" w:eastAsia="Calibri" w:hAnsi="Arial" w:cs="Arial"/>
                <w:sz w:val="20"/>
                <w:szCs w:val="20"/>
              </w:rPr>
              <w:t>točko 26.</w:t>
            </w:r>
            <w:r w:rsidR="00440305">
              <w:rPr>
                <w:rFonts w:ascii="Arial" w:eastAsia="Calibri" w:hAnsi="Arial" w:cs="Arial"/>
                <w:sz w:val="20"/>
                <w:szCs w:val="20"/>
              </w:rPr>
              <w:t> </w:t>
            </w:r>
            <w:r>
              <w:rPr>
                <w:rFonts w:ascii="Arial" w:eastAsia="Calibri" w:hAnsi="Arial" w:cs="Arial"/>
                <w:sz w:val="20"/>
                <w:szCs w:val="20"/>
              </w:rPr>
              <w:t xml:space="preserve">člena </w:t>
            </w:r>
            <w:r w:rsidR="00BB5B9E">
              <w:rPr>
                <w:rFonts w:ascii="Arial" w:eastAsia="Calibri" w:hAnsi="Arial" w:cs="Arial"/>
                <w:sz w:val="20"/>
                <w:szCs w:val="20"/>
              </w:rPr>
              <w:t>Zakona o dohodnini (</w:t>
            </w:r>
            <w:r w:rsidR="00BB5B9E" w:rsidRPr="001923BE">
              <w:rPr>
                <w:rFonts w:ascii="Arial" w:hAnsi="Arial" w:cs="Arial"/>
                <w:sz w:val="20"/>
                <w:szCs w:val="20"/>
              </w:rPr>
              <w:t>Uradni list RS, št.</w:t>
            </w:r>
            <w:r w:rsidR="00440305">
              <w:rPr>
                <w:rFonts w:ascii="Arial" w:hAnsi="Arial" w:cs="Arial"/>
                <w:sz w:val="20"/>
                <w:szCs w:val="20"/>
              </w:rPr>
              <w:t> </w:t>
            </w:r>
            <w:r w:rsidR="00BB5B9E" w:rsidRPr="001923BE">
              <w:rPr>
                <w:rFonts w:ascii="Arial" w:hAnsi="Arial" w:cs="Arial"/>
                <w:sz w:val="20"/>
                <w:szCs w:val="20"/>
              </w:rPr>
              <w:t xml:space="preserve">13/11 – uradno prečiščeno besedilo, 9/11 – ZUKD-1, 9/12 – </w:t>
            </w:r>
            <w:proofErr w:type="spellStart"/>
            <w:r w:rsidR="00BB5B9E" w:rsidRPr="001923BE">
              <w:rPr>
                <w:rFonts w:ascii="Arial" w:hAnsi="Arial" w:cs="Arial"/>
                <w:sz w:val="20"/>
                <w:szCs w:val="20"/>
              </w:rPr>
              <w:t>odl</w:t>
            </w:r>
            <w:proofErr w:type="spellEnd"/>
            <w:r w:rsidR="00BB5B9E" w:rsidRPr="001923BE">
              <w:rPr>
                <w:rFonts w:ascii="Arial" w:hAnsi="Arial" w:cs="Arial"/>
                <w:sz w:val="20"/>
                <w:szCs w:val="20"/>
              </w:rPr>
              <w:t xml:space="preserve">. US, 24/12, 30/12, 40/12 – ZUJF, 75/12, 94/12, 96/13, 29/14 – </w:t>
            </w:r>
            <w:proofErr w:type="spellStart"/>
            <w:r w:rsidR="00BB5B9E" w:rsidRPr="001923BE">
              <w:rPr>
                <w:rFonts w:ascii="Arial" w:hAnsi="Arial" w:cs="Arial"/>
                <w:sz w:val="20"/>
                <w:szCs w:val="20"/>
              </w:rPr>
              <w:t>odl</w:t>
            </w:r>
            <w:proofErr w:type="spellEnd"/>
            <w:r w:rsidR="00BB5B9E" w:rsidRPr="001923BE">
              <w:rPr>
                <w:rFonts w:ascii="Arial" w:hAnsi="Arial" w:cs="Arial"/>
                <w:sz w:val="20"/>
                <w:szCs w:val="20"/>
              </w:rPr>
              <w:t>. US, 50/14, 23/15, 55/15, 63/16, 69/17, 21/19, 28/19</w:t>
            </w:r>
            <w:r w:rsidR="00BB5B9E">
              <w:rPr>
                <w:rFonts w:ascii="Arial" w:hAnsi="Arial" w:cs="Arial"/>
                <w:sz w:val="20"/>
                <w:szCs w:val="20"/>
              </w:rPr>
              <w:t>,</w:t>
            </w:r>
            <w:r w:rsidR="00BB5B9E" w:rsidRPr="001923BE">
              <w:rPr>
                <w:rFonts w:ascii="Arial" w:hAnsi="Arial" w:cs="Arial"/>
                <w:sz w:val="20"/>
                <w:szCs w:val="20"/>
              </w:rPr>
              <w:t xml:space="preserve"> 66/19</w:t>
            </w:r>
            <w:r w:rsidR="00BB5B9E">
              <w:rPr>
                <w:rFonts w:ascii="Arial" w:hAnsi="Arial" w:cs="Arial"/>
                <w:sz w:val="20"/>
                <w:szCs w:val="20"/>
              </w:rPr>
              <w:t xml:space="preserve"> in 39/22; v nadaljnjem besedilu: Z</w:t>
            </w:r>
            <w:r w:rsidR="00BB5B9E">
              <w:rPr>
                <w:rFonts w:ascii="Arial" w:eastAsia="Calibri" w:hAnsi="Arial" w:cs="Arial"/>
                <w:sz w:val="20"/>
                <w:szCs w:val="20"/>
              </w:rPr>
              <w:t xml:space="preserve">Doh-2) </w:t>
            </w:r>
            <w:r>
              <w:rPr>
                <w:rFonts w:ascii="Arial" w:eastAsia="Calibri" w:hAnsi="Arial" w:cs="Arial"/>
                <w:sz w:val="20"/>
                <w:szCs w:val="20"/>
              </w:rPr>
              <w:t xml:space="preserve">se </w:t>
            </w:r>
            <w:r w:rsidR="0034214E" w:rsidRPr="0034214E">
              <w:rPr>
                <w:rFonts w:ascii="Arial" w:eastAsia="Calibri" w:hAnsi="Arial" w:cs="Arial"/>
                <w:sz w:val="20"/>
                <w:szCs w:val="20"/>
              </w:rPr>
              <w:t xml:space="preserve">na novo ureja oprostitve za plačila, vezana na izvajanje nadstandardnih, okolju bolj prijaznih tehnologij na način, da se glede na novo vsebino in pravno podlago, ki jo ureja na ravni Evropske unije, eksplicitno navaja plačila za nove ukrepe kmetijske politike, kot jih določa nova finančna perspektiva za obdobje 2023-27 ter ureja </w:t>
            </w:r>
            <w:r w:rsidRPr="00AD191F">
              <w:rPr>
                <w:rFonts w:ascii="Arial" w:eastAsia="Calibri" w:hAnsi="Arial" w:cs="Arial"/>
                <w:sz w:val="20"/>
                <w:szCs w:val="20"/>
              </w:rPr>
              <w:t>Uredb</w:t>
            </w:r>
            <w:r w:rsidR="00995BD2">
              <w:rPr>
                <w:rFonts w:ascii="Arial" w:eastAsia="Calibri" w:hAnsi="Arial" w:cs="Arial"/>
                <w:sz w:val="20"/>
                <w:szCs w:val="20"/>
              </w:rPr>
              <w:t>a</w:t>
            </w:r>
            <w:r w:rsidRPr="00AD191F">
              <w:rPr>
                <w:rFonts w:ascii="Arial" w:eastAsia="Calibri" w:hAnsi="Arial" w:cs="Arial"/>
                <w:sz w:val="20"/>
                <w:szCs w:val="20"/>
              </w:rPr>
              <w:t xml:space="preserve"> </w:t>
            </w:r>
            <w:r w:rsidRPr="000C680C">
              <w:rPr>
                <w:rFonts w:ascii="Arial" w:hAnsi="Arial" w:cs="Arial"/>
                <w:sz w:val="20"/>
                <w:szCs w:val="20"/>
              </w:rPr>
              <w:t>(EU) 2021/2115 Evropskega parlamenta in Sveta z</w:t>
            </w:r>
            <w:r w:rsidR="003D3A7C">
              <w:rPr>
                <w:rFonts w:ascii="Arial" w:hAnsi="Arial" w:cs="Arial"/>
                <w:sz w:val="20"/>
                <w:szCs w:val="20"/>
              </w:rPr>
              <w:t xml:space="preserve"> </w:t>
            </w:r>
            <w:r w:rsidRPr="000C680C">
              <w:rPr>
                <w:rFonts w:ascii="Arial" w:hAnsi="Arial" w:cs="Arial"/>
                <w:sz w:val="20"/>
                <w:szCs w:val="20"/>
              </w:rPr>
              <w:t>dne 2. decembra 2021 o</w:t>
            </w:r>
            <w:r w:rsidR="003D3A7C">
              <w:rPr>
                <w:rFonts w:ascii="Arial" w:hAnsi="Arial" w:cs="Arial"/>
                <w:sz w:val="20"/>
                <w:szCs w:val="20"/>
              </w:rPr>
              <w:t xml:space="preserve"> </w:t>
            </w:r>
            <w:r w:rsidRPr="000C680C">
              <w:rPr>
                <w:rFonts w:ascii="Arial" w:hAnsi="Arial" w:cs="Arial"/>
                <w:sz w:val="20"/>
                <w:szCs w:val="20"/>
              </w:rPr>
              <w:t>določitvi pravil o</w:t>
            </w:r>
            <w:r w:rsidR="003D3A7C">
              <w:rPr>
                <w:rFonts w:ascii="Arial" w:hAnsi="Arial" w:cs="Arial"/>
                <w:sz w:val="20"/>
                <w:szCs w:val="20"/>
              </w:rPr>
              <w:t xml:space="preserve"> </w:t>
            </w:r>
            <w:r w:rsidRPr="000C680C">
              <w:rPr>
                <w:rFonts w:ascii="Arial" w:hAnsi="Arial" w:cs="Arial"/>
                <w:sz w:val="20"/>
                <w:szCs w:val="20"/>
              </w:rPr>
              <w:t xml:space="preserve">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w:t>
            </w:r>
            <w:r w:rsidRPr="000C680C" w:rsidDel="003D3A7C">
              <w:rPr>
                <w:rFonts w:ascii="Arial" w:hAnsi="Arial" w:cs="Arial"/>
                <w:sz w:val="20"/>
                <w:szCs w:val="20"/>
              </w:rPr>
              <w:t>št. </w:t>
            </w:r>
            <w:r w:rsidRPr="000C680C">
              <w:rPr>
                <w:rFonts w:ascii="Arial" w:hAnsi="Arial" w:cs="Arial"/>
                <w:sz w:val="20"/>
                <w:szCs w:val="20"/>
              </w:rPr>
              <w:t>1305/2013 in (EU) št. 1307/2013</w:t>
            </w:r>
            <w:r w:rsidRPr="00EE0FA7">
              <w:rPr>
                <w:rFonts w:ascii="Arial" w:eastAsia="Calibri" w:hAnsi="Arial" w:cs="Arial"/>
                <w:sz w:val="20"/>
                <w:szCs w:val="20"/>
              </w:rPr>
              <w:t xml:space="preserve"> (EU)</w:t>
            </w:r>
            <w:r w:rsidRPr="008146C3">
              <w:rPr>
                <w:rFonts w:ascii="Arial" w:eastAsia="Calibri" w:hAnsi="Arial" w:cs="Arial"/>
                <w:sz w:val="20"/>
                <w:szCs w:val="20"/>
              </w:rPr>
              <w:t>.</w:t>
            </w:r>
            <w:r w:rsidRPr="000209C8">
              <w:rPr>
                <w:rFonts w:ascii="Arial" w:eastAsia="Calibri" w:hAnsi="Arial" w:cs="Arial"/>
                <w:sz w:val="20"/>
                <w:szCs w:val="20"/>
              </w:rPr>
              <w:t xml:space="preserve"> S 1.</w:t>
            </w:r>
            <w:r w:rsidR="003D3A7C">
              <w:rPr>
                <w:rFonts w:ascii="Arial" w:eastAsia="Calibri" w:hAnsi="Arial" w:cs="Arial"/>
                <w:sz w:val="20"/>
                <w:szCs w:val="20"/>
              </w:rPr>
              <w:t> </w:t>
            </w:r>
            <w:r w:rsidR="00137D9C">
              <w:rPr>
                <w:rFonts w:ascii="Arial" w:eastAsia="Calibri" w:hAnsi="Arial" w:cs="Arial"/>
                <w:sz w:val="20"/>
                <w:szCs w:val="20"/>
              </w:rPr>
              <w:t>januarjem</w:t>
            </w:r>
            <w:r w:rsidR="003D3A7C">
              <w:rPr>
                <w:rFonts w:ascii="Arial" w:eastAsia="Calibri" w:hAnsi="Arial" w:cs="Arial"/>
                <w:sz w:val="20"/>
                <w:szCs w:val="20"/>
              </w:rPr>
              <w:t> </w:t>
            </w:r>
            <w:r w:rsidRPr="000209C8">
              <w:rPr>
                <w:rFonts w:ascii="Arial" w:eastAsia="Calibri" w:hAnsi="Arial" w:cs="Arial"/>
                <w:sz w:val="20"/>
                <w:szCs w:val="20"/>
              </w:rPr>
              <w:t>2023</w:t>
            </w:r>
            <w:r w:rsidRPr="000209C8" w:rsidDel="00915F7B">
              <w:rPr>
                <w:rFonts w:ascii="Arial" w:eastAsia="Calibri" w:hAnsi="Arial" w:cs="Arial"/>
                <w:sz w:val="20"/>
                <w:szCs w:val="20"/>
              </w:rPr>
              <w:t xml:space="preserve"> </w:t>
            </w:r>
            <w:r w:rsidRPr="000209C8">
              <w:rPr>
                <w:rFonts w:ascii="Arial" w:eastAsia="Calibri" w:hAnsi="Arial" w:cs="Arial"/>
                <w:sz w:val="20"/>
                <w:szCs w:val="20"/>
              </w:rPr>
              <w:t>posledi</w:t>
            </w:r>
            <w:r w:rsidRPr="00AD191F">
              <w:rPr>
                <w:rFonts w:ascii="Arial" w:eastAsia="Calibri" w:hAnsi="Arial" w:cs="Arial"/>
                <w:sz w:val="20"/>
                <w:szCs w:val="20"/>
              </w:rPr>
              <w:t xml:space="preserve">čno prenehajo </w:t>
            </w:r>
            <w:r w:rsidR="00915F7B">
              <w:rPr>
                <w:rFonts w:ascii="Arial" w:eastAsia="Calibri" w:hAnsi="Arial" w:cs="Arial"/>
                <w:sz w:val="20"/>
                <w:szCs w:val="20"/>
              </w:rPr>
              <w:t>veljati</w:t>
            </w:r>
            <w:r w:rsidRPr="00AD191F">
              <w:rPr>
                <w:rFonts w:ascii="Arial" w:eastAsia="Calibri" w:hAnsi="Arial" w:cs="Arial"/>
                <w:sz w:val="20"/>
                <w:szCs w:val="20"/>
              </w:rPr>
              <w:t xml:space="preserve"> določbe </w:t>
            </w:r>
            <w:r w:rsidR="0086750E" w:rsidRPr="001F74A0">
              <w:rPr>
                <w:rFonts w:ascii="Arial" w:hAnsi="Arial" w:cs="Arial"/>
                <w:sz w:val="20"/>
                <w:szCs w:val="20"/>
              </w:rPr>
              <w:t>Uredbe (EU) št. 1305/2013 Evropskega parlamenta in Sveta z dne 17. decembra 2013 o podpori za razvoj podeželja iz Evropskega kmetijskega sklada za razvoj podeželja (EKSRP) in razveljavitvi Uredbe Sveta (ES) št. 1698/2005 (UL L 347 z dne 20. 12. 2013, str. 487), zadnjič spremenjene z Uredbo (EU) 2022/1033 Evropskega parlamenta in Sveta z dne 29. junija 2022 o spremembi Uredbe (EU) št. 1305/2013 glede posebnega ukrepa za zagotovitev izjemne začasne podpore v okviru Evropskega kmetijskega sklada za razvoj podeželja (EKSRP) kot odziv na vpliv ruske invazije na Ukrajino (UL L št. 173 z dne 30. 6. 2022, str. 34),</w:t>
            </w:r>
            <w:r w:rsidR="0086750E" w:rsidRPr="0086750E">
              <w:rPr>
                <w:rFonts w:ascii="Arial" w:hAnsi="Arial" w:cs="Arial"/>
                <w:sz w:val="20"/>
                <w:szCs w:val="20"/>
              </w:rPr>
              <w:t xml:space="preserve"> in </w:t>
            </w:r>
            <w:r w:rsidR="0086750E" w:rsidRPr="001F74A0">
              <w:rPr>
                <w:rFonts w:ascii="Arial" w:hAnsi="Arial" w:cs="Arial"/>
                <w:sz w:val="20"/>
                <w:szCs w:val="20"/>
              </w:rPr>
              <w:t>Uredbe (EU) št. 1307/2013 Evropskega parlamenta in Sveta z dne 17. december 2013 o pravilih za neposredna plačila kmetom na podlagi shem podpore v okviru skupne kmetijske politike ter razveljavitvi Uredbe Sveta (ES) št. 637/2008 in Uredbe Sveta (ES) št. 73/2009 (UL L št. 347 z dne 20. 12. 2013, str. 608), zadnjič spremenjene z Delegirano uredbo Komisije (EU) 2022/42 z dne 8. novembra 2021 o spremembi prilog II in III k Uredbi (EU) št. 1307/2013 Evropskega parlamenta in Sveta glede nacionalnih in neto zgornjih mej za neposredna plačila za nekatere države članice za koledarsko leto 2022 (UL L št. 9 z dne 14. 1. 2022, str. 3)</w:t>
            </w:r>
            <w:r w:rsidR="0086750E" w:rsidRPr="0086750E">
              <w:rPr>
                <w:rFonts w:ascii="Arial" w:hAnsi="Arial" w:cs="Arial"/>
                <w:sz w:val="20"/>
                <w:szCs w:val="20"/>
              </w:rPr>
              <w:t>,</w:t>
            </w:r>
            <w:r w:rsidRPr="008146C3">
              <w:rPr>
                <w:rFonts w:ascii="Arial" w:eastAsia="Calibri" w:hAnsi="Arial" w:cs="Arial"/>
                <w:sz w:val="20"/>
                <w:szCs w:val="20"/>
              </w:rPr>
              <w:t>, na kater</w:t>
            </w:r>
            <w:r w:rsidR="0086750E">
              <w:rPr>
                <w:rFonts w:ascii="Arial" w:eastAsia="Calibri" w:hAnsi="Arial" w:cs="Arial"/>
                <w:sz w:val="20"/>
                <w:szCs w:val="20"/>
              </w:rPr>
              <w:t>i</w:t>
            </w:r>
            <w:r w:rsidRPr="008146C3">
              <w:rPr>
                <w:rFonts w:ascii="Arial" w:eastAsia="Calibri" w:hAnsi="Arial" w:cs="Arial"/>
                <w:sz w:val="20"/>
                <w:szCs w:val="20"/>
              </w:rPr>
              <w:t xml:space="preserve"> se</w:t>
            </w:r>
            <w:r w:rsidRPr="000209C8">
              <w:rPr>
                <w:rFonts w:ascii="Arial" w:eastAsia="Calibri" w:hAnsi="Arial" w:cs="Arial"/>
                <w:sz w:val="20"/>
                <w:szCs w:val="20"/>
              </w:rPr>
              <w:t xml:space="preserve"> </w:t>
            </w:r>
            <w:r w:rsidR="00137D9C">
              <w:rPr>
                <w:rFonts w:ascii="Arial" w:eastAsia="Calibri" w:hAnsi="Arial" w:cs="Arial"/>
                <w:sz w:val="20"/>
                <w:szCs w:val="20"/>
              </w:rPr>
              <w:t>nanašajo</w:t>
            </w:r>
            <w:r w:rsidR="00137D9C" w:rsidRPr="000209C8">
              <w:rPr>
                <w:rFonts w:ascii="Arial" w:eastAsia="Calibri" w:hAnsi="Arial" w:cs="Arial"/>
                <w:sz w:val="20"/>
                <w:szCs w:val="20"/>
              </w:rPr>
              <w:t xml:space="preserve"> </w:t>
            </w:r>
            <w:r w:rsidRPr="000209C8">
              <w:rPr>
                <w:rFonts w:ascii="Arial" w:eastAsia="Calibri" w:hAnsi="Arial" w:cs="Arial"/>
                <w:sz w:val="20"/>
                <w:szCs w:val="20"/>
              </w:rPr>
              <w:t>oprostitve, določene v 2.</w:t>
            </w:r>
            <w:r w:rsidR="003D3A7C">
              <w:rPr>
                <w:rFonts w:ascii="Arial" w:eastAsia="Calibri" w:hAnsi="Arial" w:cs="Arial"/>
                <w:sz w:val="20"/>
                <w:szCs w:val="20"/>
              </w:rPr>
              <w:t> </w:t>
            </w:r>
            <w:r w:rsidRPr="000209C8">
              <w:rPr>
                <w:rFonts w:ascii="Arial" w:eastAsia="Calibri" w:hAnsi="Arial" w:cs="Arial"/>
                <w:sz w:val="20"/>
                <w:szCs w:val="20"/>
              </w:rPr>
              <w:t>točki 26.</w:t>
            </w:r>
            <w:r w:rsidR="003D3A7C">
              <w:rPr>
                <w:rFonts w:ascii="Arial" w:eastAsia="Calibri" w:hAnsi="Arial" w:cs="Arial"/>
                <w:sz w:val="20"/>
                <w:szCs w:val="20"/>
              </w:rPr>
              <w:t> </w:t>
            </w:r>
            <w:r w:rsidRPr="000209C8">
              <w:rPr>
                <w:rFonts w:ascii="Arial" w:eastAsia="Calibri" w:hAnsi="Arial" w:cs="Arial"/>
                <w:sz w:val="20"/>
                <w:szCs w:val="20"/>
              </w:rPr>
              <w:t>člena ZDoh-2. Spremembe 26.</w:t>
            </w:r>
            <w:r w:rsidR="003D3A7C">
              <w:rPr>
                <w:rFonts w:ascii="Arial" w:eastAsia="Calibri" w:hAnsi="Arial" w:cs="Arial"/>
                <w:sz w:val="20"/>
                <w:szCs w:val="20"/>
              </w:rPr>
              <w:t> </w:t>
            </w:r>
            <w:r w:rsidRPr="000209C8">
              <w:rPr>
                <w:rFonts w:ascii="Arial" w:eastAsia="Calibri" w:hAnsi="Arial" w:cs="Arial"/>
                <w:sz w:val="20"/>
                <w:szCs w:val="20"/>
              </w:rPr>
              <w:t xml:space="preserve">člena ZDoh-2 so torej </w:t>
            </w:r>
            <w:r w:rsidRPr="00AD191F">
              <w:rPr>
                <w:rFonts w:ascii="Arial" w:eastAsia="Calibri" w:hAnsi="Arial" w:cs="Arial"/>
                <w:sz w:val="20"/>
                <w:szCs w:val="20"/>
              </w:rPr>
              <w:t xml:space="preserve">potrebne zaradi spremenjenih pravnih podlag, na katerih bodo </w:t>
            </w:r>
            <w:r w:rsidR="00137D9C">
              <w:rPr>
                <w:rFonts w:ascii="Arial" w:eastAsia="Calibri" w:hAnsi="Arial" w:cs="Arial"/>
                <w:sz w:val="20"/>
                <w:szCs w:val="20"/>
              </w:rPr>
              <w:t xml:space="preserve">temeljili </w:t>
            </w:r>
            <w:r w:rsidRPr="00AD191F">
              <w:rPr>
                <w:rFonts w:ascii="Arial" w:eastAsia="Calibri" w:hAnsi="Arial" w:cs="Arial"/>
                <w:sz w:val="20"/>
                <w:szCs w:val="20"/>
              </w:rPr>
              <w:t>uk</w:t>
            </w:r>
            <w:r>
              <w:rPr>
                <w:rFonts w:ascii="Arial" w:eastAsia="Calibri" w:hAnsi="Arial" w:cs="Arial"/>
                <w:sz w:val="20"/>
                <w:szCs w:val="20"/>
              </w:rPr>
              <w:t>repi</w:t>
            </w:r>
            <w:r w:rsidRPr="00EE0FA7">
              <w:rPr>
                <w:rFonts w:ascii="Arial" w:eastAsia="Calibri" w:hAnsi="Arial" w:cs="Arial"/>
                <w:sz w:val="20"/>
                <w:szCs w:val="20"/>
              </w:rPr>
              <w:t xml:space="preserve"> km</w:t>
            </w:r>
            <w:r>
              <w:rPr>
                <w:rFonts w:ascii="Arial" w:eastAsia="Calibri" w:hAnsi="Arial" w:cs="Arial"/>
                <w:sz w:val="20"/>
                <w:szCs w:val="20"/>
              </w:rPr>
              <w:t>e</w:t>
            </w:r>
            <w:r w:rsidRPr="00EE0FA7">
              <w:rPr>
                <w:rFonts w:ascii="Arial" w:eastAsia="Calibri" w:hAnsi="Arial" w:cs="Arial"/>
                <w:sz w:val="20"/>
                <w:szCs w:val="20"/>
              </w:rPr>
              <w:t>t</w:t>
            </w:r>
            <w:r>
              <w:rPr>
                <w:rFonts w:ascii="Arial" w:eastAsia="Calibri" w:hAnsi="Arial" w:cs="Arial"/>
                <w:sz w:val="20"/>
                <w:szCs w:val="20"/>
              </w:rPr>
              <w:t>i</w:t>
            </w:r>
            <w:r w:rsidRPr="00EE0FA7">
              <w:rPr>
                <w:rFonts w:ascii="Arial" w:eastAsia="Calibri" w:hAnsi="Arial" w:cs="Arial"/>
                <w:sz w:val="20"/>
                <w:szCs w:val="20"/>
              </w:rPr>
              <w:t>jsk</w:t>
            </w:r>
            <w:r>
              <w:rPr>
                <w:rFonts w:ascii="Arial" w:eastAsia="Calibri" w:hAnsi="Arial" w:cs="Arial"/>
                <w:sz w:val="20"/>
                <w:szCs w:val="20"/>
              </w:rPr>
              <w:t>e</w:t>
            </w:r>
            <w:r w:rsidRPr="00EE0FA7">
              <w:rPr>
                <w:rFonts w:ascii="Arial" w:eastAsia="Calibri" w:hAnsi="Arial" w:cs="Arial"/>
                <w:sz w:val="20"/>
                <w:szCs w:val="20"/>
              </w:rPr>
              <w:t xml:space="preserve"> politike v obdobju 2023-27</w:t>
            </w:r>
            <w:r w:rsidR="00995BD2">
              <w:rPr>
                <w:rFonts w:ascii="Arial" w:eastAsia="Calibri" w:hAnsi="Arial" w:cs="Arial"/>
                <w:sz w:val="20"/>
                <w:szCs w:val="20"/>
              </w:rPr>
              <w:t>.</w:t>
            </w:r>
          </w:p>
          <w:p w14:paraId="49817815" w14:textId="77777777" w:rsidR="00C45F29" w:rsidRDefault="00C45F29" w:rsidP="00C45F29">
            <w:pPr>
              <w:spacing w:after="0" w:line="276" w:lineRule="auto"/>
              <w:contextualSpacing/>
              <w:jc w:val="both"/>
              <w:rPr>
                <w:rFonts w:ascii="Arial" w:eastAsia="Calibri" w:hAnsi="Arial" w:cs="Arial"/>
                <w:sz w:val="20"/>
                <w:szCs w:val="20"/>
              </w:rPr>
            </w:pPr>
          </w:p>
          <w:p w14:paraId="06E889AF" w14:textId="069963D6" w:rsidR="00C45F29" w:rsidRDefault="00C45F29" w:rsidP="00C45F29">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Sprememba se predlaga tudi zaradi po letu 2016 prenovljene metodologije izračuna katastrskega dohodka, ki je prej slonela na intenzivnih tehnologijah, po novem pa sloni na povprečnem stanju in torej v izračun katastrskega dohodka že vključuje </w:t>
            </w:r>
            <w:r w:rsidDel="004B0EC2">
              <w:rPr>
                <w:rFonts w:ascii="Arial" w:eastAsia="Calibri" w:hAnsi="Arial" w:cs="Arial"/>
                <w:sz w:val="20"/>
                <w:szCs w:val="20"/>
              </w:rPr>
              <w:t>tudi</w:t>
            </w:r>
            <w:r>
              <w:rPr>
                <w:rFonts w:ascii="Arial" w:eastAsia="Calibri" w:hAnsi="Arial" w:cs="Arial"/>
                <w:sz w:val="20"/>
                <w:szCs w:val="20"/>
              </w:rPr>
              <w:t xml:space="preserve"> vpliv višjih stroškov oziroma nižjih pridelkov zaradi pridelave z okolju bolj prijaznimi tehnologijami (</w:t>
            </w:r>
            <w:proofErr w:type="spellStart"/>
            <w:r>
              <w:rPr>
                <w:rFonts w:ascii="Arial" w:eastAsia="Calibri" w:hAnsi="Arial" w:cs="Arial"/>
                <w:sz w:val="20"/>
                <w:szCs w:val="20"/>
              </w:rPr>
              <w:t>ponder</w:t>
            </w:r>
            <w:proofErr w:type="spellEnd"/>
            <w:r>
              <w:rPr>
                <w:rFonts w:ascii="Arial" w:eastAsia="Calibri" w:hAnsi="Arial" w:cs="Arial"/>
                <w:sz w:val="20"/>
                <w:szCs w:val="20"/>
              </w:rPr>
              <w:t xml:space="preserve"> je sicer majhen), zaradi česar argumenti, ki so bili razlog za ureditev oprostitve za plačila, ki nadomeščajo višje stroške ali izpad prihodkov zaradi zahtevn</w:t>
            </w:r>
            <w:r w:rsidR="003D3A7C">
              <w:rPr>
                <w:rFonts w:ascii="Arial" w:eastAsia="Calibri" w:hAnsi="Arial" w:cs="Arial"/>
                <w:sz w:val="20"/>
                <w:szCs w:val="20"/>
              </w:rPr>
              <w:t>ejših</w:t>
            </w:r>
            <w:r>
              <w:rPr>
                <w:rFonts w:ascii="Arial" w:eastAsia="Calibri" w:hAnsi="Arial" w:cs="Arial"/>
                <w:sz w:val="20"/>
                <w:szCs w:val="20"/>
              </w:rPr>
              <w:t xml:space="preserve"> tehnologij, izgubljajo na svoji moči. Posebej to velja za plačila za težje pridelovalne razmere, saj so te že primerno upoštevane v okviru ugotavljanja katastrskega dohodka in torej oprostitev dohodnine za podpore takemu kmetovanju predstavlja dvakratno upoštevanje istih stroškov pridelave.</w:t>
            </w:r>
          </w:p>
          <w:p w14:paraId="1FF6A2AC" w14:textId="6713BD69" w:rsidR="00995BD2" w:rsidRDefault="00995BD2" w:rsidP="00C45F29">
            <w:pPr>
              <w:spacing w:after="0" w:line="276" w:lineRule="auto"/>
              <w:contextualSpacing/>
              <w:jc w:val="both"/>
              <w:rPr>
                <w:rFonts w:ascii="Arial" w:eastAsia="Calibri" w:hAnsi="Arial" w:cs="Arial"/>
                <w:sz w:val="20"/>
                <w:szCs w:val="20"/>
              </w:rPr>
            </w:pPr>
          </w:p>
          <w:p w14:paraId="4E41C177" w14:textId="5DC0CA2C" w:rsidR="00995BD2" w:rsidRDefault="00995BD2" w:rsidP="00995BD2">
            <w:pPr>
              <w:spacing w:after="0" w:line="276" w:lineRule="auto"/>
              <w:contextualSpacing/>
              <w:jc w:val="both"/>
              <w:rPr>
                <w:rFonts w:ascii="Arial" w:eastAsia="Calibri" w:hAnsi="Arial" w:cs="Arial"/>
                <w:sz w:val="20"/>
                <w:szCs w:val="20"/>
              </w:rPr>
            </w:pPr>
            <w:r w:rsidRPr="00995BD2">
              <w:rPr>
                <w:rFonts w:ascii="Arial" w:eastAsia="Calibri" w:hAnsi="Arial" w:cs="Arial"/>
                <w:sz w:val="20"/>
                <w:szCs w:val="20"/>
              </w:rPr>
              <w:t xml:space="preserve">Dodatno se v 26. členu </w:t>
            </w:r>
            <w:r>
              <w:rPr>
                <w:rFonts w:ascii="Arial" w:eastAsia="Calibri" w:hAnsi="Arial" w:cs="Arial"/>
                <w:sz w:val="20"/>
                <w:szCs w:val="20"/>
              </w:rPr>
              <w:t xml:space="preserve">ZDoh-2 </w:t>
            </w:r>
            <w:r w:rsidRPr="00995BD2">
              <w:rPr>
                <w:rFonts w:ascii="Arial" w:eastAsia="Calibri" w:hAnsi="Arial" w:cs="Arial"/>
                <w:sz w:val="20"/>
                <w:szCs w:val="20"/>
              </w:rPr>
              <w:t>ureja določba, ki je bolj pojasnjevalne narave, vendar bistvena za pravilno izvajanje določbe o oprostitvi podpor za naložbe glede na njihovo ekonomsko vsebino. In sicer se 3. točka 26. člena</w:t>
            </w:r>
            <w:r>
              <w:rPr>
                <w:rFonts w:ascii="Arial" w:eastAsia="Calibri" w:hAnsi="Arial" w:cs="Arial"/>
                <w:sz w:val="20"/>
                <w:szCs w:val="20"/>
              </w:rPr>
              <w:t xml:space="preserve"> ZDoh-2</w:t>
            </w:r>
            <w:r w:rsidRPr="00995BD2">
              <w:rPr>
                <w:rFonts w:ascii="Arial" w:eastAsia="Calibri" w:hAnsi="Arial" w:cs="Arial"/>
                <w:sz w:val="20"/>
                <w:szCs w:val="20"/>
              </w:rPr>
              <w:t xml:space="preserve">, poleg tega da se jasno nasloni na ustrezno pravno podlago v Uredbi (EU) št. 2021/2115, dopolnjuje s pojasnilom, da se kot podpore naložbam štejejo tudi podpore za vzpostavitev gospodarstev mladih kmetov, ki se dokazano namenijo poplačilu deležev drugih upravičencev do premoženja kmetije, če tako izhaja iz pogodbe o prevzemu, in se plačila nanašajo na pridobitev osnovnih sredstev kmetije. </w:t>
            </w:r>
          </w:p>
          <w:p w14:paraId="4818EFB2" w14:textId="77777777" w:rsidR="00995BD2" w:rsidRPr="00995BD2" w:rsidRDefault="00995BD2" w:rsidP="00995BD2">
            <w:pPr>
              <w:spacing w:after="0" w:line="276" w:lineRule="auto"/>
              <w:contextualSpacing/>
              <w:jc w:val="both"/>
              <w:rPr>
                <w:rFonts w:ascii="Arial" w:eastAsia="Calibri" w:hAnsi="Arial" w:cs="Arial"/>
                <w:sz w:val="20"/>
                <w:szCs w:val="20"/>
              </w:rPr>
            </w:pPr>
          </w:p>
          <w:p w14:paraId="4BA7BF7B" w14:textId="5DFE82C6" w:rsidR="00995BD2" w:rsidRPr="00995BD2" w:rsidRDefault="00995BD2" w:rsidP="00995BD2">
            <w:pPr>
              <w:spacing w:after="0" w:line="276" w:lineRule="auto"/>
              <w:contextualSpacing/>
              <w:jc w:val="both"/>
              <w:rPr>
                <w:rFonts w:ascii="Arial" w:eastAsia="Calibri" w:hAnsi="Arial" w:cs="Arial"/>
                <w:sz w:val="20"/>
                <w:szCs w:val="20"/>
              </w:rPr>
            </w:pPr>
            <w:r w:rsidRPr="00995BD2">
              <w:rPr>
                <w:rFonts w:ascii="Arial" w:eastAsia="Calibri" w:hAnsi="Arial" w:cs="Arial"/>
                <w:sz w:val="20"/>
                <w:szCs w:val="20"/>
              </w:rPr>
              <w:t>Na novo pa se v 5. točko v 26. člen</w:t>
            </w:r>
            <w:r>
              <w:rPr>
                <w:rFonts w:ascii="Arial" w:eastAsia="Calibri" w:hAnsi="Arial" w:cs="Arial"/>
                <w:sz w:val="20"/>
                <w:szCs w:val="20"/>
              </w:rPr>
              <w:t>a ZDoh-2</w:t>
            </w:r>
            <w:r w:rsidRPr="00995BD2">
              <w:rPr>
                <w:rFonts w:ascii="Arial" w:eastAsia="Calibri" w:hAnsi="Arial" w:cs="Arial"/>
                <w:sz w:val="20"/>
                <w:szCs w:val="20"/>
              </w:rPr>
              <w:t xml:space="preserve"> dodaja tudi oprostitev za podpore subvencioniranju zavarovalnih premij, s čimer se želi tudi skozi davčno politiko spodbuditi večji obseg zavarovanj </w:t>
            </w:r>
            <w:r w:rsidRPr="00995BD2">
              <w:rPr>
                <w:rFonts w:ascii="Arial" w:eastAsia="Calibri" w:hAnsi="Arial" w:cs="Arial"/>
                <w:sz w:val="20"/>
                <w:szCs w:val="20"/>
              </w:rPr>
              <w:lastRenderedPageBreak/>
              <w:t xml:space="preserve">kmetijskih pridelkov in živali s ciljem tudi s tem v večji meri ublažiti posledice podnebnih sprememb v kmetijski pridelavi.  </w:t>
            </w:r>
          </w:p>
          <w:bookmarkEnd w:id="10"/>
          <w:p w14:paraId="16DA6B61" w14:textId="77777777" w:rsidR="00C45F29" w:rsidRDefault="00C45F29" w:rsidP="004F2DCB">
            <w:pPr>
              <w:spacing w:after="0" w:line="276" w:lineRule="auto"/>
              <w:contextualSpacing/>
              <w:jc w:val="both"/>
              <w:rPr>
                <w:rFonts w:ascii="Arial" w:eastAsia="Calibri" w:hAnsi="Arial" w:cs="Arial"/>
                <w:sz w:val="20"/>
                <w:szCs w:val="20"/>
              </w:rPr>
            </w:pPr>
          </w:p>
          <w:p w14:paraId="05081ABA" w14:textId="77777777" w:rsidR="00C45F29" w:rsidRPr="001860CA" w:rsidRDefault="00C45F29" w:rsidP="00076F4A">
            <w:pPr>
              <w:pStyle w:val="Odstavekseznama"/>
              <w:numPr>
                <w:ilvl w:val="0"/>
                <w:numId w:val="28"/>
              </w:numPr>
              <w:spacing w:line="276" w:lineRule="auto"/>
              <w:contextualSpacing/>
              <w:jc w:val="both"/>
              <w:rPr>
                <w:rFonts w:ascii="Arial" w:eastAsia="Calibri" w:hAnsi="Arial" w:cs="Arial"/>
                <w:sz w:val="20"/>
                <w:szCs w:val="20"/>
              </w:rPr>
            </w:pPr>
          </w:p>
          <w:p w14:paraId="3CA43282" w14:textId="09778921" w:rsidR="00B00C31" w:rsidRPr="00B00C31" w:rsidRDefault="00B00C31" w:rsidP="00B00C31">
            <w:pPr>
              <w:spacing w:after="0" w:line="276" w:lineRule="auto"/>
              <w:contextualSpacing/>
              <w:jc w:val="both"/>
              <w:rPr>
                <w:rFonts w:ascii="Arial" w:eastAsia="Calibri" w:hAnsi="Arial" w:cs="Arial"/>
                <w:sz w:val="20"/>
                <w:szCs w:val="20"/>
              </w:rPr>
            </w:pPr>
            <w:r>
              <w:rPr>
                <w:rFonts w:ascii="Arial" w:eastAsia="Calibri" w:hAnsi="Arial" w:cs="Arial"/>
                <w:sz w:val="20"/>
                <w:szCs w:val="20"/>
              </w:rPr>
              <w:t>S spremembo 10.</w:t>
            </w:r>
            <w:r w:rsidR="003D3A7C">
              <w:rPr>
                <w:rFonts w:ascii="Arial" w:eastAsia="Calibri" w:hAnsi="Arial" w:cs="Arial"/>
                <w:sz w:val="20"/>
                <w:szCs w:val="20"/>
              </w:rPr>
              <w:t> </w:t>
            </w:r>
            <w:r>
              <w:rPr>
                <w:rFonts w:ascii="Arial" w:eastAsia="Calibri" w:hAnsi="Arial" w:cs="Arial"/>
                <w:sz w:val="20"/>
                <w:szCs w:val="20"/>
              </w:rPr>
              <w:t>točke prvega odstavka 44.</w:t>
            </w:r>
            <w:r w:rsidR="003D3A7C">
              <w:rPr>
                <w:rFonts w:ascii="Arial" w:eastAsia="Calibri" w:hAnsi="Arial" w:cs="Arial"/>
                <w:sz w:val="20"/>
                <w:szCs w:val="20"/>
              </w:rPr>
              <w:t> </w:t>
            </w:r>
            <w:r>
              <w:rPr>
                <w:rFonts w:ascii="Arial" w:eastAsia="Calibri" w:hAnsi="Arial" w:cs="Arial"/>
                <w:sz w:val="20"/>
                <w:szCs w:val="20"/>
              </w:rPr>
              <w:t xml:space="preserve">člena ZDoh-2 </w:t>
            </w:r>
            <w:r w:rsidRPr="00B00C31">
              <w:rPr>
                <w:rFonts w:ascii="Arial" w:eastAsia="Calibri" w:hAnsi="Arial" w:cs="Arial"/>
                <w:sz w:val="20"/>
                <w:szCs w:val="20"/>
              </w:rPr>
              <w:t xml:space="preserve">se spreminjajo pogoji za </w:t>
            </w:r>
            <w:proofErr w:type="spellStart"/>
            <w:r w:rsidRPr="00B00C31">
              <w:rPr>
                <w:rFonts w:ascii="Arial" w:eastAsia="Calibri" w:hAnsi="Arial" w:cs="Arial"/>
                <w:sz w:val="20"/>
                <w:szCs w:val="20"/>
              </w:rPr>
              <w:t>nevštevanje</w:t>
            </w:r>
            <w:proofErr w:type="spellEnd"/>
            <w:r w:rsidRPr="00B00C31">
              <w:rPr>
                <w:rFonts w:ascii="Arial" w:eastAsia="Calibri" w:hAnsi="Arial" w:cs="Arial"/>
                <w:sz w:val="20"/>
                <w:szCs w:val="20"/>
              </w:rPr>
              <w:t xml:space="preserve"> nadomestila za uporabo lastnih sredstev pri delu na domu v davčno osnovo </w:t>
            </w:r>
            <w:r w:rsidR="003D3A7C">
              <w:rPr>
                <w:rFonts w:ascii="Arial" w:eastAsia="Calibri" w:hAnsi="Arial" w:cs="Arial"/>
                <w:sz w:val="20"/>
                <w:szCs w:val="20"/>
              </w:rPr>
              <w:t>in</w:t>
            </w:r>
            <w:r w:rsidRPr="00B00C31">
              <w:rPr>
                <w:rFonts w:ascii="Arial" w:eastAsia="Calibri" w:hAnsi="Arial" w:cs="Arial"/>
                <w:sz w:val="20"/>
                <w:szCs w:val="20"/>
              </w:rPr>
              <w:t xml:space="preserve"> višina nadomestila, ki se ne všteva v davčno osnovo</w:t>
            </w:r>
            <w:r>
              <w:rPr>
                <w:rFonts w:ascii="Arial" w:eastAsia="Calibri" w:hAnsi="Arial" w:cs="Arial"/>
                <w:sz w:val="20"/>
                <w:szCs w:val="20"/>
              </w:rPr>
              <w:t>.</w:t>
            </w:r>
            <w:r w:rsidRPr="00B00C31">
              <w:rPr>
                <w:rFonts w:ascii="Arial" w:eastAsia="Calibri" w:hAnsi="Arial" w:cs="Arial"/>
                <w:sz w:val="20"/>
                <w:szCs w:val="20"/>
              </w:rPr>
              <w:t xml:space="preserve"> Odpravlja se pogoj, da nadomestilo delodajalec določi na podlagi izračuna realnih stroškov</w:t>
            </w:r>
            <w:r w:rsidR="003D3A7C">
              <w:rPr>
                <w:rFonts w:ascii="Arial" w:eastAsia="Calibri" w:hAnsi="Arial" w:cs="Arial"/>
                <w:sz w:val="20"/>
                <w:szCs w:val="20"/>
              </w:rPr>
              <w:t>,</w:t>
            </w:r>
            <w:r w:rsidRPr="00B00C31">
              <w:rPr>
                <w:rFonts w:ascii="Arial" w:eastAsia="Calibri" w:hAnsi="Arial" w:cs="Arial"/>
                <w:sz w:val="20"/>
                <w:szCs w:val="20"/>
              </w:rPr>
              <w:t xml:space="preserve"> </w:t>
            </w:r>
            <w:r w:rsidR="003D3A7C">
              <w:rPr>
                <w:rFonts w:ascii="Arial" w:eastAsia="Calibri" w:hAnsi="Arial" w:cs="Arial"/>
                <w:sz w:val="20"/>
                <w:szCs w:val="20"/>
              </w:rPr>
              <w:t>ter</w:t>
            </w:r>
            <w:r w:rsidRPr="00B00C31">
              <w:rPr>
                <w:rFonts w:ascii="Arial" w:eastAsia="Calibri" w:hAnsi="Arial" w:cs="Arial"/>
                <w:sz w:val="20"/>
                <w:szCs w:val="20"/>
              </w:rPr>
              <w:t xml:space="preserve"> pogoj, da gre za sredstva, ki so značilna, nujna in običajna za opravljanje določenega dela. Črta se tudi omejitev višine, ki je določena z vezavo na mesečno plačo delojemalca (do višine 5</w:t>
            </w:r>
            <w:r w:rsidR="003D3A7C">
              <w:rPr>
                <w:rFonts w:ascii="Arial" w:eastAsia="Calibri" w:hAnsi="Arial" w:cs="Arial"/>
                <w:sz w:val="20"/>
                <w:szCs w:val="20"/>
              </w:rPr>
              <w:t> </w:t>
            </w:r>
            <w:r w:rsidRPr="00B00C31">
              <w:rPr>
                <w:rFonts w:ascii="Arial" w:eastAsia="Calibri" w:hAnsi="Arial" w:cs="Arial"/>
                <w:sz w:val="20"/>
                <w:szCs w:val="20"/>
              </w:rPr>
              <w:t>% mesečne plače delojemalca). Višina neobdavčenega dela se določa v pavšalni višini.</w:t>
            </w:r>
          </w:p>
          <w:p w14:paraId="52C7D6B2" w14:textId="77777777" w:rsidR="00B00C31" w:rsidRDefault="00B00C31" w:rsidP="00B00C31">
            <w:pPr>
              <w:spacing w:after="0" w:line="276" w:lineRule="auto"/>
              <w:contextualSpacing/>
              <w:jc w:val="both"/>
              <w:rPr>
                <w:rFonts w:ascii="Arial" w:eastAsia="Calibri" w:hAnsi="Arial" w:cs="Arial"/>
                <w:sz w:val="20"/>
                <w:szCs w:val="20"/>
              </w:rPr>
            </w:pPr>
          </w:p>
          <w:p w14:paraId="0232727B" w14:textId="7A763C06" w:rsidR="00B00C31" w:rsidRDefault="00B00C31" w:rsidP="00B00C31">
            <w:pPr>
              <w:spacing w:after="0" w:line="276" w:lineRule="auto"/>
              <w:contextualSpacing/>
              <w:jc w:val="both"/>
              <w:rPr>
                <w:rFonts w:ascii="Arial" w:eastAsia="Calibri" w:hAnsi="Arial" w:cs="Arial"/>
                <w:sz w:val="20"/>
                <w:szCs w:val="20"/>
              </w:rPr>
            </w:pPr>
            <w:r w:rsidRPr="00B00C31">
              <w:rPr>
                <w:rFonts w:ascii="Arial" w:eastAsia="Calibri" w:hAnsi="Arial" w:cs="Arial"/>
                <w:sz w:val="20"/>
                <w:szCs w:val="20"/>
              </w:rPr>
              <w:t xml:space="preserve">To pomeni znatno poenostavitev pri določanju višine neobdavčenega dela </w:t>
            </w:r>
            <w:r w:rsidR="003D3A7C">
              <w:rPr>
                <w:rFonts w:ascii="Arial" w:eastAsia="Calibri" w:hAnsi="Arial" w:cs="Arial"/>
                <w:sz w:val="20"/>
                <w:szCs w:val="20"/>
              </w:rPr>
              <w:t>in</w:t>
            </w:r>
            <w:r w:rsidRPr="00B00C31">
              <w:rPr>
                <w:rFonts w:ascii="Arial" w:eastAsia="Calibri" w:hAnsi="Arial" w:cs="Arial"/>
                <w:sz w:val="20"/>
                <w:szCs w:val="20"/>
              </w:rPr>
              <w:t xml:space="preserve"> odpravlja glede na naravo stvari neprimerno vezavo omejitve na višino delojemalčeve plače.</w:t>
            </w:r>
          </w:p>
          <w:p w14:paraId="0767847F" w14:textId="77777777" w:rsidR="00B00C31" w:rsidRPr="00B00C31" w:rsidRDefault="00B00C31" w:rsidP="00B00C31">
            <w:pPr>
              <w:spacing w:after="0" w:line="276" w:lineRule="auto"/>
              <w:contextualSpacing/>
              <w:jc w:val="both"/>
              <w:rPr>
                <w:rFonts w:ascii="Arial" w:eastAsia="Calibri" w:hAnsi="Arial" w:cs="Arial"/>
                <w:sz w:val="20"/>
                <w:szCs w:val="20"/>
              </w:rPr>
            </w:pPr>
          </w:p>
          <w:p w14:paraId="645E9693" w14:textId="2DD833C0" w:rsidR="00B00C31" w:rsidRDefault="00B00C31" w:rsidP="00B00C31">
            <w:pPr>
              <w:spacing w:after="0" w:line="276" w:lineRule="auto"/>
              <w:contextualSpacing/>
              <w:jc w:val="both"/>
              <w:rPr>
                <w:rFonts w:ascii="Arial" w:eastAsia="Calibri" w:hAnsi="Arial" w:cs="Arial"/>
                <w:sz w:val="20"/>
                <w:szCs w:val="20"/>
              </w:rPr>
            </w:pPr>
            <w:r w:rsidRPr="00B00C31">
              <w:rPr>
                <w:rFonts w:ascii="Arial" w:eastAsia="Calibri" w:hAnsi="Arial" w:cs="Arial"/>
                <w:sz w:val="20"/>
                <w:szCs w:val="20"/>
              </w:rPr>
              <w:t xml:space="preserve">Predlaga se, da se v davčno osnovo od dohodka iz delovnega razmerja ne všteva nadomestilo za uporabo lastnih sredstev pri delu na domu do višine </w:t>
            </w:r>
            <w:r w:rsidR="009A788C">
              <w:rPr>
                <w:rFonts w:ascii="Arial" w:eastAsia="Calibri" w:hAnsi="Arial" w:cs="Arial"/>
                <w:sz w:val="20"/>
                <w:szCs w:val="20"/>
              </w:rPr>
              <w:t>0,</w:t>
            </w:r>
            <w:r w:rsidR="00E5680A">
              <w:rPr>
                <w:rFonts w:ascii="Arial" w:eastAsia="Calibri" w:hAnsi="Arial" w:cs="Arial"/>
                <w:sz w:val="20"/>
                <w:szCs w:val="20"/>
              </w:rPr>
              <w:t>20</w:t>
            </w:r>
            <w:r w:rsidR="00D96B16">
              <w:rPr>
                <w:rFonts w:ascii="Arial" w:eastAsia="Calibri" w:hAnsi="Arial" w:cs="Arial"/>
                <w:sz w:val="20"/>
                <w:szCs w:val="20"/>
              </w:rPr>
              <w:t> </w:t>
            </w:r>
            <w:r w:rsidRPr="00B00C31">
              <w:rPr>
                <w:rFonts w:ascii="Arial" w:eastAsia="Calibri" w:hAnsi="Arial" w:cs="Arial"/>
                <w:sz w:val="20"/>
                <w:szCs w:val="20"/>
              </w:rPr>
              <w:t xml:space="preserve">% zadnje znane povprečne letne plače zaposlenih v Sloveniji, preračunane na </w:t>
            </w:r>
            <w:r w:rsidR="009A788C">
              <w:rPr>
                <w:rFonts w:ascii="Arial" w:eastAsia="Calibri" w:hAnsi="Arial" w:cs="Arial"/>
                <w:sz w:val="20"/>
                <w:szCs w:val="20"/>
              </w:rPr>
              <w:t>mesec</w:t>
            </w:r>
            <w:r w:rsidRPr="00B00C31">
              <w:rPr>
                <w:rFonts w:ascii="Arial" w:eastAsia="Calibri" w:hAnsi="Arial" w:cs="Arial"/>
                <w:sz w:val="20"/>
                <w:szCs w:val="20"/>
              </w:rPr>
              <w:t>, za vsak dan dela na domu.</w:t>
            </w:r>
          </w:p>
          <w:p w14:paraId="0F09FCA3" w14:textId="77777777" w:rsidR="00B00C31" w:rsidRPr="00B00C31" w:rsidRDefault="00B00C31" w:rsidP="00B00C31">
            <w:pPr>
              <w:spacing w:after="0" w:line="276" w:lineRule="auto"/>
              <w:contextualSpacing/>
              <w:jc w:val="both"/>
              <w:rPr>
                <w:rFonts w:ascii="Arial" w:eastAsia="Calibri" w:hAnsi="Arial" w:cs="Arial"/>
                <w:sz w:val="20"/>
                <w:szCs w:val="20"/>
              </w:rPr>
            </w:pPr>
          </w:p>
          <w:p w14:paraId="1BC36098" w14:textId="77777777" w:rsidR="00B00C31" w:rsidRPr="00B00C31" w:rsidRDefault="00B00C31" w:rsidP="00B00C31">
            <w:pPr>
              <w:spacing w:after="0" w:line="276" w:lineRule="auto"/>
              <w:contextualSpacing/>
              <w:jc w:val="both"/>
              <w:rPr>
                <w:rFonts w:ascii="Arial" w:eastAsia="Calibri" w:hAnsi="Arial" w:cs="Arial"/>
                <w:sz w:val="20"/>
                <w:szCs w:val="20"/>
              </w:rPr>
            </w:pPr>
            <w:r w:rsidRPr="00B00C31">
              <w:rPr>
                <w:rFonts w:ascii="Arial" w:eastAsia="Calibri" w:hAnsi="Arial" w:cs="Arial"/>
                <w:sz w:val="20"/>
                <w:szCs w:val="20"/>
              </w:rPr>
              <w:t>Nadomestilo za uporabo lastnih sredstev za delo na domu se do navedene višine ne všteva v davčno osnovo dohodka iz delovnega razmerja pod pogoji, da:</w:t>
            </w:r>
          </w:p>
          <w:p w14:paraId="6EF181A9" w14:textId="4B738791" w:rsidR="00B00C31" w:rsidRDefault="00B00C31" w:rsidP="00B00C31">
            <w:pPr>
              <w:spacing w:after="0" w:line="276" w:lineRule="auto"/>
              <w:contextualSpacing/>
              <w:jc w:val="both"/>
              <w:rPr>
                <w:rFonts w:ascii="Arial" w:eastAsia="Calibri" w:hAnsi="Arial" w:cs="Arial"/>
                <w:sz w:val="20"/>
                <w:szCs w:val="20"/>
              </w:rPr>
            </w:pPr>
            <w:r w:rsidRPr="00B00C31">
              <w:rPr>
                <w:rFonts w:ascii="Arial" w:eastAsia="Calibri" w:hAnsi="Arial" w:cs="Arial"/>
                <w:sz w:val="20"/>
                <w:szCs w:val="20"/>
              </w:rPr>
              <w:t>-</w:t>
            </w:r>
            <w:r w:rsidRPr="00B00C31">
              <w:rPr>
                <w:rFonts w:ascii="Arial" w:eastAsia="Calibri" w:hAnsi="Arial" w:cs="Arial"/>
                <w:sz w:val="20"/>
                <w:szCs w:val="20"/>
              </w:rPr>
              <w:tab/>
              <w:t>je delavec dejansko delal na domu,</w:t>
            </w:r>
          </w:p>
          <w:p w14:paraId="6BF32CFC" w14:textId="1E20AA0E" w:rsidR="00B00C31" w:rsidRPr="00B00C31" w:rsidRDefault="00B00C31" w:rsidP="00076F4A">
            <w:pPr>
              <w:numPr>
                <w:ilvl w:val="0"/>
                <w:numId w:val="30"/>
              </w:numPr>
              <w:spacing w:after="0" w:line="276" w:lineRule="auto"/>
              <w:contextualSpacing/>
              <w:jc w:val="both"/>
              <w:rPr>
                <w:rFonts w:ascii="Arial" w:eastAsia="Calibri" w:hAnsi="Arial" w:cs="Arial"/>
                <w:sz w:val="20"/>
                <w:szCs w:val="20"/>
              </w:rPr>
            </w:pPr>
            <w:r w:rsidRPr="00B00C31">
              <w:rPr>
                <w:rFonts w:ascii="Arial" w:eastAsia="Calibri" w:hAnsi="Arial" w:cs="Arial"/>
                <w:sz w:val="20"/>
                <w:szCs w:val="20"/>
              </w:rPr>
              <w:t>je delo na domu organizirano v skladu s predpisi, ki urejajo delovna razmerja</w:t>
            </w:r>
            <w:r w:rsidR="00D96B16">
              <w:rPr>
                <w:rFonts w:ascii="Arial" w:eastAsia="Calibri" w:hAnsi="Arial" w:cs="Arial"/>
                <w:sz w:val="20"/>
                <w:szCs w:val="20"/>
              </w:rPr>
              <w:t>,</w:t>
            </w:r>
            <w:r w:rsidRPr="00B00C31">
              <w:rPr>
                <w:rFonts w:ascii="Arial" w:eastAsia="Calibri" w:hAnsi="Arial" w:cs="Arial"/>
                <w:sz w:val="20"/>
                <w:szCs w:val="20"/>
              </w:rPr>
              <w:t xml:space="preserve"> in</w:t>
            </w:r>
          </w:p>
          <w:p w14:paraId="6B11AC7E" w14:textId="32FBBF73" w:rsidR="00B00C31" w:rsidRPr="00B00C31" w:rsidRDefault="00B00C31" w:rsidP="00076F4A">
            <w:pPr>
              <w:numPr>
                <w:ilvl w:val="0"/>
                <w:numId w:val="30"/>
              </w:numPr>
              <w:spacing w:after="0" w:line="276" w:lineRule="auto"/>
              <w:contextualSpacing/>
              <w:jc w:val="both"/>
              <w:rPr>
                <w:rFonts w:ascii="Arial" w:eastAsia="Calibri" w:hAnsi="Arial" w:cs="Arial"/>
                <w:sz w:val="20"/>
                <w:szCs w:val="20"/>
              </w:rPr>
            </w:pPr>
            <w:r w:rsidRPr="00B00C31">
              <w:rPr>
                <w:rFonts w:ascii="Arial" w:eastAsia="Calibri" w:hAnsi="Arial" w:cs="Arial"/>
                <w:sz w:val="20"/>
                <w:szCs w:val="20"/>
              </w:rPr>
              <w:t>je nadomestilo za delo na domu določeno s posebnimi predpisi ali na podlagi kolektivne pogodbe oziroma splošnega akta delodajalca.</w:t>
            </w:r>
          </w:p>
          <w:p w14:paraId="24007654" w14:textId="77777777" w:rsidR="00B00C31" w:rsidRDefault="00B00C31" w:rsidP="00B00C31">
            <w:pPr>
              <w:spacing w:after="0" w:line="276" w:lineRule="auto"/>
              <w:contextualSpacing/>
              <w:jc w:val="both"/>
              <w:rPr>
                <w:rFonts w:ascii="Arial" w:eastAsia="Calibri" w:hAnsi="Arial" w:cs="Arial"/>
                <w:sz w:val="20"/>
                <w:szCs w:val="20"/>
              </w:rPr>
            </w:pPr>
          </w:p>
          <w:p w14:paraId="20133BD0" w14:textId="0672F0BE" w:rsidR="00B00C31" w:rsidRDefault="00D96B16" w:rsidP="00B00C31">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Ob upoštevanju </w:t>
            </w:r>
            <w:r w:rsidR="00B00C31" w:rsidRPr="00B00C31">
              <w:rPr>
                <w:rFonts w:ascii="Arial" w:eastAsia="Calibri" w:hAnsi="Arial" w:cs="Arial"/>
                <w:sz w:val="20"/>
                <w:szCs w:val="20"/>
              </w:rPr>
              <w:t>povprečn</w:t>
            </w:r>
            <w:r>
              <w:rPr>
                <w:rFonts w:ascii="Arial" w:eastAsia="Calibri" w:hAnsi="Arial" w:cs="Arial"/>
                <w:sz w:val="20"/>
                <w:szCs w:val="20"/>
              </w:rPr>
              <w:t>e</w:t>
            </w:r>
            <w:r w:rsidR="00B00C31" w:rsidRPr="00B00C31">
              <w:rPr>
                <w:rFonts w:ascii="Arial" w:eastAsia="Calibri" w:hAnsi="Arial" w:cs="Arial"/>
                <w:sz w:val="20"/>
                <w:szCs w:val="20"/>
              </w:rPr>
              <w:t xml:space="preserve"> let</w:t>
            </w:r>
            <w:r>
              <w:rPr>
                <w:rFonts w:ascii="Arial" w:eastAsia="Calibri" w:hAnsi="Arial" w:cs="Arial"/>
                <w:sz w:val="20"/>
                <w:szCs w:val="20"/>
              </w:rPr>
              <w:t>ne</w:t>
            </w:r>
            <w:r w:rsidR="00B00C31" w:rsidRPr="00B00C31">
              <w:rPr>
                <w:rFonts w:ascii="Arial" w:eastAsia="Calibri" w:hAnsi="Arial" w:cs="Arial"/>
                <w:sz w:val="20"/>
                <w:szCs w:val="20"/>
              </w:rPr>
              <w:t xml:space="preserve"> plač</w:t>
            </w:r>
            <w:r>
              <w:rPr>
                <w:rFonts w:ascii="Arial" w:eastAsia="Calibri" w:hAnsi="Arial" w:cs="Arial"/>
                <w:sz w:val="20"/>
                <w:szCs w:val="20"/>
              </w:rPr>
              <w:t>e</w:t>
            </w:r>
            <w:r w:rsidR="00B00C31" w:rsidRPr="00B00C31">
              <w:rPr>
                <w:rFonts w:ascii="Arial" w:eastAsia="Calibri" w:hAnsi="Arial" w:cs="Arial"/>
                <w:sz w:val="20"/>
                <w:szCs w:val="20"/>
              </w:rPr>
              <w:t xml:space="preserve"> zaposlenih v Sloveniji za leto 2021, preračunan</w:t>
            </w:r>
            <w:r>
              <w:rPr>
                <w:rFonts w:ascii="Arial" w:eastAsia="Calibri" w:hAnsi="Arial" w:cs="Arial"/>
                <w:sz w:val="20"/>
                <w:szCs w:val="20"/>
              </w:rPr>
              <w:t>e</w:t>
            </w:r>
            <w:r w:rsidR="00B00C31" w:rsidRPr="00B00C31">
              <w:rPr>
                <w:rFonts w:ascii="Arial" w:eastAsia="Calibri" w:hAnsi="Arial" w:cs="Arial"/>
                <w:sz w:val="20"/>
                <w:szCs w:val="20"/>
              </w:rPr>
              <w:t xml:space="preserve"> na mesec (1.969,59</w:t>
            </w:r>
            <w:r>
              <w:rPr>
                <w:rFonts w:ascii="Arial" w:eastAsia="Calibri" w:hAnsi="Arial" w:cs="Arial"/>
                <w:sz w:val="20"/>
                <w:szCs w:val="20"/>
              </w:rPr>
              <w:t> </w:t>
            </w:r>
            <w:r w:rsidR="00B00C31">
              <w:rPr>
                <w:rFonts w:ascii="Arial" w:eastAsia="Calibri" w:hAnsi="Arial" w:cs="Arial"/>
                <w:sz w:val="20"/>
                <w:szCs w:val="20"/>
              </w:rPr>
              <w:t>EUR</w:t>
            </w:r>
            <w:r w:rsidR="00B00C31" w:rsidRPr="00B00C31">
              <w:rPr>
                <w:rFonts w:ascii="Arial" w:eastAsia="Calibri" w:hAnsi="Arial" w:cs="Arial"/>
                <w:sz w:val="20"/>
                <w:szCs w:val="20"/>
              </w:rPr>
              <w:t>)</w:t>
            </w:r>
            <w:r w:rsidR="00303723">
              <w:rPr>
                <w:rFonts w:ascii="Arial" w:eastAsia="Calibri" w:hAnsi="Arial" w:cs="Arial"/>
                <w:sz w:val="20"/>
                <w:szCs w:val="20"/>
              </w:rPr>
              <w:t>,</w:t>
            </w:r>
            <w:r w:rsidR="00B00C31" w:rsidRPr="00B00C31">
              <w:rPr>
                <w:rFonts w:ascii="Arial" w:eastAsia="Calibri" w:hAnsi="Arial" w:cs="Arial"/>
                <w:sz w:val="20"/>
                <w:szCs w:val="20"/>
              </w:rPr>
              <w:t xml:space="preserve"> bi znašala višina neobdavčenega nadomestila za dan dela na domu </w:t>
            </w:r>
            <w:r w:rsidR="00E5680A">
              <w:rPr>
                <w:rFonts w:ascii="Arial" w:eastAsia="Calibri" w:hAnsi="Arial" w:cs="Arial"/>
                <w:sz w:val="20"/>
                <w:szCs w:val="20"/>
              </w:rPr>
              <w:t>3</w:t>
            </w:r>
            <w:r w:rsidR="00B00C31" w:rsidRPr="00B00C31">
              <w:rPr>
                <w:rFonts w:ascii="Arial" w:eastAsia="Calibri" w:hAnsi="Arial" w:cs="Arial"/>
                <w:sz w:val="20"/>
                <w:szCs w:val="20"/>
              </w:rPr>
              <w:t>,</w:t>
            </w:r>
            <w:r w:rsidR="009A788C">
              <w:rPr>
                <w:rFonts w:ascii="Arial" w:eastAsia="Calibri" w:hAnsi="Arial" w:cs="Arial"/>
                <w:sz w:val="20"/>
                <w:szCs w:val="20"/>
              </w:rPr>
              <w:t>9</w:t>
            </w:r>
            <w:r w:rsidR="00E5680A">
              <w:rPr>
                <w:rFonts w:ascii="Arial" w:eastAsia="Calibri" w:hAnsi="Arial" w:cs="Arial"/>
                <w:sz w:val="20"/>
                <w:szCs w:val="20"/>
              </w:rPr>
              <w:t>4</w:t>
            </w:r>
            <w:r>
              <w:rPr>
                <w:rFonts w:ascii="Arial" w:eastAsia="Calibri" w:hAnsi="Arial" w:cs="Arial"/>
                <w:sz w:val="20"/>
                <w:szCs w:val="20"/>
              </w:rPr>
              <w:t> </w:t>
            </w:r>
            <w:r w:rsidR="00B00C31">
              <w:rPr>
                <w:rFonts w:ascii="Arial" w:eastAsia="Calibri" w:hAnsi="Arial" w:cs="Arial"/>
                <w:sz w:val="20"/>
                <w:szCs w:val="20"/>
              </w:rPr>
              <w:t>EUR</w:t>
            </w:r>
            <w:r w:rsidR="00B00C31" w:rsidRPr="00B00C31">
              <w:rPr>
                <w:rFonts w:ascii="Arial" w:eastAsia="Calibri" w:hAnsi="Arial" w:cs="Arial"/>
                <w:sz w:val="20"/>
                <w:szCs w:val="20"/>
              </w:rPr>
              <w:t xml:space="preserve">, kar je pri 21 dnevih dela na domu v mesecu </w:t>
            </w:r>
            <w:r w:rsidR="00E5680A" w:rsidRPr="00E5680A">
              <w:rPr>
                <w:rFonts w:ascii="Arial" w:eastAsia="Calibri" w:hAnsi="Arial" w:cs="Arial"/>
                <w:sz w:val="20"/>
                <w:szCs w:val="20"/>
              </w:rPr>
              <w:t>82,74</w:t>
            </w:r>
            <w:r>
              <w:rPr>
                <w:rFonts w:ascii="Arial" w:eastAsia="Calibri" w:hAnsi="Arial" w:cs="Arial"/>
                <w:sz w:val="20"/>
                <w:szCs w:val="20"/>
              </w:rPr>
              <w:t> </w:t>
            </w:r>
            <w:r w:rsidR="00B00C31">
              <w:rPr>
                <w:rFonts w:ascii="Arial" w:eastAsia="Calibri" w:hAnsi="Arial" w:cs="Arial"/>
                <w:sz w:val="20"/>
                <w:szCs w:val="20"/>
              </w:rPr>
              <w:t>EUR</w:t>
            </w:r>
            <w:r w:rsidR="00B00C31" w:rsidRPr="00B00C31">
              <w:rPr>
                <w:rFonts w:ascii="Arial" w:eastAsia="Calibri" w:hAnsi="Arial" w:cs="Arial"/>
                <w:sz w:val="20"/>
                <w:szCs w:val="20"/>
              </w:rPr>
              <w:t xml:space="preserve"> na mesec.</w:t>
            </w:r>
          </w:p>
          <w:p w14:paraId="5CB56A49" w14:textId="77777777" w:rsidR="00B00C31" w:rsidRPr="00B00C31" w:rsidRDefault="00B00C31" w:rsidP="00B00C31">
            <w:pPr>
              <w:spacing w:after="0" w:line="276" w:lineRule="auto"/>
              <w:contextualSpacing/>
              <w:jc w:val="both"/>
              <w:rPr>
                <w:rFonts w:ascii="Arial" w:eastAsia="Calibri" w:hAnsi="Arial" w:cs="Arial"/>
                <w:sz w:val="20"/>
                <w:szCs w:val="20"/>
              </w:rPr>
            </w:pPr>
          </w:p>
          <w:p w14:paraId="1CEA4C8B" w14:textId="42EBC9CD" w:rsidR="00B00C31" w:rsidRDefault="00B00C31" w:rsidP="00B00C31">
            <w:pPr>
              <w:spacing w:after="0" w:line="276" w:lineRule="auto"/>
              <w:contextualSpacing/>
              <w:jc w:val="both"/>
              <w:rPr>
                <w:rFonts w:ascii="Arial" w:eastAsia="Calibri" w:hAnsi="Arial" w:cs="Arial"/>
                <w:sz w:val="20"/>
                <w:szCs w:val="20"/>
              </w:rPr>
            </w:pPr>
            <w:r w:rsidRPr="00B00C31">
              <w:rPr>
                <w:rFonts w:ascii="Arial" w:eastAsia="Calibri" w:hAnsi="Arial" w:cs="Arial"/>
                <w:sz w:val="20"/>
                <w:szCs w:val="20"/>
              </w:rPr>
              <w:t xml:space="preserve">Pri določanju višine neobdavčene višine se sledi načelu, da se iz obdavčitve izključijo prejeta nadomestila do višine, ki odraža stroške, ki jih ima delavec z uporabo lastnih sredstev pri delu na domu, upošteva </w:t>
            </w:r>
            <w:r w:rsidR="00D96B16">
              <w:rPr>
                <w:rFonts w:ascii="Arial" w:eastAsia="Calibri" w:hAnsi="Arial" w:cs="Arial"/>
                <w:sz w:val="20"/>
                <w:szCs w:val="20"/>
              </w:rPr>
              <w:t xml:space="preserve">se </w:t>
            </w:r>
            <w:r w:rsidRPr="00B00C31">
              <w:rPr>
                <w:rFonts w:ascii="Arial" w:eastAsia="Calibri" w:hAnsi="Arial" w:cs="Arial"/>
                <w:sz w:val="20"/>
                <w:szCs w:val="20"/>
              </w:rPr>
              <w:t>dejstvo, da mora v skladu z Zakonu o delovnih razmerjih (ZDR-1) delodajalec delavcu zagotoviti vsa potrebna sredstva in delovni material, da lahko nemoteno izpolnjuje svoje delovne obveznosti, ter dejstvo, da je določitev višine obravnavanega nadomestila prepuščena dogovoru med delavcem in delodajalcem brez splošnih usmeritev in pravil glede določanja višine. Za potrebe davčne obravnave se zaradi zagotovitve enake obravnave vseh v podobnih položajih in preprečitve uporabe izplačil obravnavanih nadomestil za izplačilo plačil za delo določi</w:t>
            </w:r>
            <w:r w:rsidR="00D96B16">
              <w:rPr>
                <w:rFonts w:ascii="Arial" w:eastAsia="Calibri" w:hAnsi="Arial" w:cs="Arial"/>
                <w:sz w:val="20"/>
                <w:szCs w:val="20"/>
              </w:rPr>
              <w:t>jo</w:t>
            </w:r>
            <w:r w:rsidRPr="00B00C31">
              <w:rPr>
                <w:rFonts w:ascii="Arial" w:eastAsia="Calibri" w:hAnsi="Arial" w:cs="Arial"/>
                <w:sz w:val="20"/>
                <w:szCs w:val="20"/>
              </w:rPr>
              <w:t xml:space="preserve"> natančnejša pravila, pogoj</w:t>
            </w:r>
            <w:r w:rsidR="00D96B16">
              <w:rPr>
                <w:rFonts w:ascii="Arial" w:eastAsia="Calibri" w:hAnsi="Arial" w:cs="Arial"/>
                <w:sz w:val="20"/>
                <w:szCs w:val="20"/>
              </w:rPr>
              <w:t>i</w:t>
            </w:r>
            <w:r w:rsidRPr="00B00C31">
              <w:rPr>
                <w:rFonts w:ascii="Arial" w:eastAsia="Calibri" w:hAnsi="Arial" w:cs="Arial"/>
                <w:sz w:val="20"/>
                <w:szCs w:val="20"/>
              </w:rPr>
              <w:t xml:space="preserve"> in omejitve, do katerih se obravnavana izplačila ne vštevajo v davčno osnovo.</w:t>
            </w:r>
          </w:p>
          <w:p w14:paraId="4B9269E7" w14:textId="77777777" w:rsidR="00B00C31" w:rsidRPr="00B00C31" w:rsidRDefault="00B00C31" w:rsidP="00B00C31">
            <w:pPr>
              <w:spacing w:after="0" w:line="276" w:lineRule="auto"/>
              <w:contextualSpacing/>
              <w:jc w:val="both"/>
              <w:rPr>
                <w:rFonts w:ascii="Arial" w:eastAsia="Calibri" w:hAnsi="Arial" w:cs="Arial"/>
                <w:sz w:val="20"/>
                <w:szCs w:val="20"/>
              </w:rPr>
            </w:pPr>
          </w:p>
          <w:p w14:paraId="761CBB1B" w14:textId="026EC0DA" w:rsidR="00B00C31" w:rsidRPr="00B00C31" w:rsidRDefault="00B00C31" w:rsidP="00B00C31">
            <w:pPr>
              <w:spacing w:after="0" w:line="276" w:lineRule="auto"/>
              <w:contextualSpacing/>
              <w:jc w:val="both"/>
              <w:rPr>
                <w:rFonts w:ascii="Arial" w:eastAsia="Calibri" w:hAnsi="Arial" w:cs="Arial"/>
                <w:sz w:val="20"/>
                <w:szCs w:val="20"/>
              </w:rPr>
            </w:pPr>
            <w:r w:rsidRPr="00B00C31">
              <w:rPr>
                <w:rFonts w:ascii="Arial" w:eastAsia="Calibri" w:hAnsi="Arial" w:cs="Arial"/>
                <w:sz w:val="20"/>
                <w:szCs w:val="20"/>
              </w:rPr>
              <w:t>Visoko postavljen neobdavčen del bi deloval v smeri spodbude, da se zagotavljanje sredstev in materiala za delo s strani delodajalca, ki je osnovna značilnost delovnega razmerja, nalaga</w:t>
            </w:r>
            <w:r w:rsidRPr="00B00C31">
              <w:rPr>
                <w:rFonts w:ascii="Arial" w:hAnsi="Arial"/>
              </w:rPr>
              <w:t xml:space="preserve"> </w:t>
            </w:r>
            <w:r w:rsidRPr="00B00C31">
              <w:rPr>
                <w:rFonts w:ascii="Arial" w:eastAsia="Calibri" w:hAnsi="Arial" w:cs="Arial"/>
                <w:sz w:val="20"/>
                <w:szCs w:val="20"/>
              </w:rPr>
              <w:t xml:space="preserve">delavcu oziroma bi predstavljal možnost neobdavčenega izplačevanja dela plačila za delo prek nadomestila za uporabo lastnih sredstev na domu. Treba je zasledovati cilj, da delodajalec v čim večji meri zagotavlja sredstva in material za delo. Določenih sredstev za delo delodajalec delavcu na domu nima možnosti zagotoviti – dodatni stroški gospodinjstva (npr. elektrika, plin, ogrevanje) </w:t>
            </w:r>
            <w:r w:rsidR="00D96B16">
              <w:rPr>
                <w:rFonts w:ascii="Arial" w:eastAsia="Calibri" w:hAnsi="Arial" w:cs="Arial"/>
                <w:sz w:val="20"/>
                <w:szCs w:val="20"/>
              </w:rPr>
              <w:t xml:space="preserve">– </w:t>
            </w:r>
            <w:r w:rsidRPr="00B00C31">
              <w:rPr>
                <w:rFonts w:ascii="Arial" w:eastAsia="Calibri" w:hAnsi="Arial" w:cs="Arial"/>
                <w:sz w:val="20"/>
                <w:szCs w:val="20"/>
              </w:rPr>
              <w:t xml:space="preserve">ali ni smiselno, da jih zagotavlja, ker delavec z njimi že razpolaga, ker so splošno potrebna sredstva tudi v privatnem življenju delavca (npr. telekomunikacijska oprema, prostor, miza, stol). Uporaba računalniške in telekomunikacijske opreme, ki jo delodajalec zagotovi delavcu tudi za privatne namene, pa se tudi ne šteje za boniteto po ZDoh-2 in se posledično tudi prizna kot davčno priznan odhodek. Pri določanju višine nadomestila, ki se ne všteva v davčno osnovo, je torej treba upoštevati obveznost delodajalca po ZDR-1, po kateri </w:t>
            </w:r>
            <w:r w:rsidR="00D96B16">
              <w:rPr>
                <w:rFonts w:ascii="Arial" w:eastAsia="Calibri" w:hAnsi="Arial" w:cs="Arial"/>
                <w:sz w:val="20"/>
                <w:szCs w:val="20"/>
              </w:rPr>
              <w:t xml:space="preserve">mora </w:t>
            </w:r>
            <w:r w:rsidRPr="00B00C31">
              <w:rPr>
                <w:rFonts w:ascii="Arial" w:eastAsia="Calibri" w:hAnsi="Arial" w:cs="Arial"/>
                <w:sz w:val="20"/>
                <w:szCs w:val="20"/>
              </w:rPr>
              <w:t xml:space="preserve">delavcu zagotoviti vsa potrebna sredstva in delovni material, da lahko nemoteno izpolnjuje svoje obveznosti, torej se pri določanju višine, do katerega se </w:t>
            </w:r>
            <w:r w:rsidRPr="00B00C31">
              <w:rPr>
                <w:rFonts w:ascii="Arial" w:eastAsia="Calibri" w:hAnsi="Arial" w:cs="Arial"/>
                <w:sz w:val="20"/>
                <w:szCs w:val="20"/>
              </w:rPr>
              <w:lastRenderedPageBreak/>
              <w:t>nadomestilo ne všteva v davčno osnovo, upošteva</w:t>
            </w:r>
            <w:r w:rsidR="00D96B16">
              <w:rPr>
                <w:rFonts w:ascii="Arial" w:eastAsia="Calibri" w:hAnsi="Arial" w:cs="Arial"/>
                <w:sz w:val="20"/>
                <w:szCs w:val="20"/>
              </w:rPr>
              <w:t>jo</w:t>
            </w:r>
            <w:r w:rsidRPr="00B00C31">
              <w:rPr>
                <w:rFonts w:ascii="Arial" w:eastAsia="Calibri" w:hAnsi="Arial" w:cs="Arial"/>
                <w:sz w:val="20"/>
                <w:szCs w:val="20"/>
              </w:rPr>
              <w:t xml:space="preserve"> samo tist</w:t>
            </w:r>
            <w:r w:rsidR="00D96B16">
              <w:rPr>
                <w:rFonts w:ascii="Arial" w:eastAsia="Calibri" w:hAnsi="Arial" w:cs="Arial"/>
                <w:sz w:val="20"/>
                <w:szCs w:val="20"/>
              </w:rPr>
              <w:t>i</w:t>
            </w:r>
            <w:r w:rsidRPr="00B00C31">
              <w:rPr>
                <w:rFonts w:ascii="Arial" w:eastAsia="Calibri" w:hAnsi="Arial" w:cs="Arial"/>
                <w:sz w:val="20"/>
                <w:szCs w:val="20"/>
              </w:rPr>
              <w:t xml:space="preserve"> strošk</w:t>
            </w:r>
            <w:r w:rsidR="00D96B16">
              <w:rPr>
                <w:rFonts w:ascii="Arial" w:eastAsia="Calibri" w:hAnsi="Arial" w:cs="Arial"/>
                <w:sz w:val="20"/>
                <w:szCs w:val="20"/>
              </w:rPr>
              <w:t>i</w:t>
            </w:r>
            <w:r w:rsidRPr="00B00C31">
              <w:rPr>
                <w:rFonts w:ascii="Arial" w:eastAsia="Calibri" w:hAnsi="Arial" w:cs="Arial"/>
                <w:sz w:val="20"/>
                <w:szCs w:val="20"/>
              </w:rPr>
              <w:t xml:space="preserve"> v zvezi s pogoji, sredstvi oziroma materialom za delo, ki jih delodajalec po naravi stvari ne more zagotoviti (npr. elektrika, voda, ogrevanje).</w:t>
            </w:r>
          </w:p>
          <w:p w14:paraId="4B7FFA78" w14:textId="77777777" w:rsidR="00B00C31" w:rsidRDefault="00B00C31" w:rsidP="004F2DCB">
            <w:pPr>
              <w:spacing w:after="0" w:line="276" w:lineRule="auto"/>
              <w:contextualSpacing/>
              <w:jc w:val="both"/>
              <w:rPr>
                <w:rFonts w:ascii="Arial" w:eastAsia="Calibri" w:hAnsi="Arial" w:cs="Arial"/>
                <w:sz w:val="20"/>
                <w:szCs w:val="20"/>
              </w:rPr>
            </w:pPr>
          </w:p>
          <w:p w14:paraId="7E1C3D40" w14:textId="04199B48" w:rsidR="00B83E33" w:rsidRDefault="00B83E33" w:rsidP="004F2DCB">
            <w:pPr>
              <w:spacing w:after="0" w:line="276" w:lineRule="auto"/>
              <w:contextualSpacing/>
              <w:jc w:val="both"/>
              <w:rPr>
                <w:rFonts w:ascii="Arial" w:eastAsia="Calibri" w:hAnsi="Arial" w:cs="Arial"/>
                <w:sz w:val="20"/>
                <w:szCs w:val="20"/>
              </w:rPr>
            </w:pPr>
            <w:r>
              <w:rPr>
                <w:rFonts w:ascii="Arial" w:eastAsia="Calibri" w:hAnsi="Arial" w:cs="Arial"/>
                <w:sz w:val="20"/>
                <w:szCs w:val="20"/>
              </w:rPr>
              <w:t>Spremembe 12.</w:t>
            </w:r>
            <w:r w:rsidR="00D96B16">
              <w:rPr>
                <w:rFonts w:ascii="Arial" w:eastAsia="Calibri" w:hAnsi="Arial" w:cs="Arial"/>
                <w:sz w:val="20"/>
                <w:szCs w:val="20"/>
              </w:rPr>
              <w:t> </w:t>
            </w:r>
            <w:r>
              <w:rPr>
                <w:rFonts w:ascii="Arial" w:eastAsia="Calibri" w:hAnsi="Arial" w:cs="Arial"/>
                <w:sz w:val="20"/>
                <w:szCs w:val="20"/>
              </w:rPr>
              <w:t>točke prvega odstavka 44.</w:t>
            </w:r>
            <w:r w:rsidR="00D96B16">
              <w:rPr>
                <w:rFonts w:ascii="Arial" w:eastAsia="Calibri" w:hAnsi="Arial" w:cs="Arial"/>
                <w:sz w:val="20"/>
                <w:szCs w:val="20"/>
              </w:rPr>
              <w:t> </w:t>
            </w:r>
            <w:r>
              <w:rPr>
                <w:rFonts w:ascii="Arial" w:eastAsia="Calibri" w:hAnsi="Arial" w:cs="Arial"/>
                <w:sz w:val="20"/>
                <w:szCs w:val="20"/>
              </w:rPr>
              <w:t>člena ZDoh-2</w:t>
            </w:r>
            <w:r w:rsidR="001865F7">
              <w:rPr>
                <w:rFonts w:ascii="Arial" w:eastAsia="Calibri" w:hAnsi="Arial" w:cs="Arial"/>
                <w:sz w:val="20"/>
                <w:szCs w:val="20"/>
              </w:rPr>
              <w:t xml:space="preserve"> uvajajo dodaten</w:t>
            </w:r>
            <w:r w:rsidR="00D22416">
              <w:rPr>
                <w:rFonts w:ascii="Arial" w:eastAsia="Calibri" w:hAnsi="Arial" w:cs="Arial"/>
                <w:sz w:val="20"/>
                <w:szCs w:val="20"/>
              </w:rPr>
              <w:t xml:space="preserve"> pogoj za ugodnejšo davčno obravnavo dohodka iz naslova plačila za poslovno uspešnost, in sicer da se lahko tak dohodek izplača </w:t>
            </w:r>
            <w:r w:rsidR="00C4557F">
              <w:rPr>
                <w:rFonts w:ascii="Arial" w:eastAsia="Calibri" w:hAnsi="Arial" w:cs="Arial"/>
                <w:sz w:val="20"/>
                <w:szCs w:val="20"/>
              </w:rPr>
              <w:t>največ</w:t>
            </w:r>
            <w:r w:rsidR="00D22416">
              <w:rPr>
                <w:rFonts w:ascii="Arial" w:eastAsia="Calibri" w:hAnsi="Arial" w:cs="Arial"/>
                <w:sz w:val="20"/>
                <w:szCs w:val="20"/>
              </w:rPr>
              <w:t xml:space="preserve"> </w:t>
            </w:r>
            <w:r w:rsidR="00052D66">
              <w:rPr>
                <w:rFonts w:ascii="Arial" w:eastAsia="Calibri" w:hAnsi="Arial" w:cs="Arial"/>
                <w:sz w:val="20"/>
                <w:szCs w:val="20"/>
              </w:rPr>
              <w:t>dva</w:t>
            </w:r>
            <w:r w:rsidR="00D22416">
              <w:rPr>
                <w:rFonts w:ascii="Arial" w:eastAsia="Calibri" w:hAnsi="Arial" w:cs="Arial"/>
                <w:sz w:val="20"/>
                <w:szCs w:val="20"/>
              </w:rPr>
              <w:t xml:space="preserve">krat v koledarskem letu. </w:t>
            </w:r>
            <w:r w:rsidR="00D96B16">
              <w:rPr>
                <w:rFonts w:ascii="Arial" w:eastAsia="Calibri" w:hAnsi="Arial" w:cs="Arial"/>
                <w:sz w:val="20"/>
                <w:szCs w:val="20"/>
              </w:rPr>
              <w:t>Če</w:t>
            </w:r>
            <w:r w:rsidR="00D22416">
              <w:rPr>
                <w:rFonts w:ascii="Arial" w:eastAsia="Calibri" w:hAnsi="Arial" w:cs="Arial"/>
                <w:sz w:val="20"/>
                <w:szCs w:val="20"/>
              </w:rPr>
              <w:t xml:space="preserve"> bo dohodek, ki bo delavcu izplačan za namene poslovne uspešnosti, izplačan večkrat oziroma niso izpolnjeni drugi pogoji iz te točke, se tak dohodek za potrebe obdavčitve dohodkov z dohodnino ne bo obravnaval kot plačilo za poslovno uspešnost, ampak ustrezno drugače (npr. kot plača, boniteta).</w:t>
            </w:r>
          </w:p>
          <w:p w14:paraId="79A356AE" w14:textId="0A415B15" w:rsidR="00D22416" w:rsidRDefault="00D22416" w:rsidP="004F2DCB">
            <w:pPr>
              <w:spacing w:after="0" w:line="276" w:lineRule="auto"/>
              <w:contextualSpacing/>
              <w:jc w:val="both"/>
              <w:rPr>
                <w:rFonts w:ascii="Arial" w:eastAsia="Calibri" w:hAnsi="Arial" w:cs="Arial"/>
                <w:sz w:val="20"/>
                <w:szCs w:val="20"/>
              </w:rPr>
            </w:pPr>
          </w:p>
          <w:p w14:paraId="084FF080" w14:textId="1F8B02EB" w:rsidR="00D22416" w:rsidRDefault="00D22416" w:rsidP="004F2DCB">
            <w:pPr>
              <w:spacing w:after="0" w:line="276" w:lineRule="auto"/>
              <w:contextualSpacing/>
              <w:jc w:val="both"/>
              <w:rPr>
                <w:rFonts w:ascii="Arial" w:eastAsia="Calibri" w:hAnsi="Arial" w:cs="Arial"/>
                <w:sz w:val="20"/>
                <w:szCs w:val="20"/>
              </w:rPr>
            </w:pPr>
            <w:r>
              <w:rPr>
                <w:rFonts w:ascii="Arial" w:eastAsia="Calibri" w:hAnsi="Arial" w:cs="Arial"/>
                <w:sz w:val="20"/>
                <w:szCs w:val="20"/>
              </w:rPr>
              <w:t>Dodatno se odpravlja možnost davčno ugodnejše obravnave dohodka iz naslova plačila za delovno uspešnost v višini 100</w:t>
            </w:r>
            <w:r w:rsidR="00D96B16">
              <w:rPr>
                <w:rFonts w:ascii="Arial" w:eastAsia="Calibri" w:hAnsi="Arial" w:cs="Arial"/>
                <w:sz w:val="20"/>
                <w:szCs w:val="20"/>
              </w:rPr>
              <w:t> </w:t>
            </w:r>
            <w:r>
              <w:rPr>
                <w:rFonts w:ascii="Arial" w:eastAsia="Calibri" w:hAnsi="Arial" w:cs="Arial"/>
                <w:sz w:val="20"/>
                <w:szCs w:val="20"/>
              </w:rPr>
              <w:t>% povprečne plače delavca (ki je višja od 100</w:t>
            </w:r>
            <w:r w:rsidR="00D96B16">
              <w:rPr>
                <w:rFonts w:ascii="Arial" w:eastAsia="Calibri" w:hAnsi="Arial" w:cs="Arial"/>
                <w:sz w:val="20"/>
                <w:szCs w:val="20"/>
              </w:rPr>
              <w:t> </w:t>
            </w:r>
            <w:r>
              <w:rPr>
                <w:rFonts w:ascii="Arial" w:eastAsia="Calibri" w:hAnsi="Arial" w:cs="Arial"/>
                <w:sz w:val="20"/>
                <w:szCs w:val="20"/>
              </w:rPr>
              <w:t xml:space="preserve">% povprečne plače zaposlenih v Sloveniji) in se ohranja splošna višina neobdavčenega dela, to je </w:t>
            </w:r>
            <w:r w:rsidRPr="004513FD">
              <w:rPr>
                <w:rFonts w:ascii="Arial" w:eastAsia="Calibri" w:hAnsi="Arial" w:cs="Arial"/>
                <w:sz w:val="20"/>
                <w:szCs w:val="20"/>
              </w:rPr>
              <w:t>100</w:t>
            </w:r>
            <w:r w:rsidR="00D96B16">
              <w:rPr>
                <w:rFonts w:ascii="Arial" w:eastAsia="Calibri" w:hAnsi="Arial" w:cs="Arial"/>
                <w:sz w:val="20"/>
                <w:szCs w:val="20"/>
              </w:rPr>
              <w:t> </w:t>
            </w:r>
            <w:r w:rsidRPr="004513FD">
              <w:rPr>
                <w:rFonts w:ascii="Arial" w:eastAsia="Calibri" w:hAnsi="Arial" w:cs="Arial"/>
                <w:sz w:val="20"/>
                <w:szCs w:val="20"/>
              </w:rPr>
              <w:t>% povprečne mesečne plače zaposlenih v Sloveniji</w:t>
            </w:r>
            <w:r>
              <w:rPr>
                <w:rFonts w:ascii="Arial" w:eastAsia="Calibri" w:hAnsi="Arial" w:cs="Arial"/>
                <w:sz w:val="20"/>
                <w:szCs w:val="20"/>
              </w:rPr>
              <w:t>.</w:t>
            </w:r>
          </w:p>
          <w:p w14:paraId="183C74F2" w14:textId="625F30AB" w:rsidR="003B6739" w:rsidRPr="003B6739" w:rsidRDefault="003B6739" w:rsidP="004F2DCB">
            <w:pPr>
              <w:spacing w:after="0" w:line="276" w:lineRule="auto"/>
              <w:contextualSpacing/>
              <w:jc w:val="both"/>
              <w:rPr>
                <w:rFonts w:ascii="Arial" w:eastAsia="Calibri" w:hAnsi="Arial" w:cs="Arial"/>
                <w:b/>
                <w:bCs/>
                <w:sz w:val="20"/>
                <w:szCs w:val="20"/>
              </w:rPr>
            </w:pPr>
          </w:p>
          <w:p w14:paraId="78DAF845" w14:textId="297A5EF6" w:rsidR="003B6739" w:rsidRDefault="003B6739" w:rsidP="00076F4A">
            <w:pPr>
              <w:pStyle w:val="Odstavekseznama"/>
              <w:numPr>
                <w:ilvl w:val="0"/>
                <w:numId w:val="28"/>
              </w:numPr>
              <w:spacing w:line="276" w:lineRule="auto"/>
              <w:contextualSpacing/>
              <w:jc w:val="both"/>
              <w:rPr>
                <w:rFonts w:ascii="Arial" w:eastAsia="Calibri" w:hAnsi="Arial" w:cs="Arial"/>
                <w:b/>
                <w:bCs/>
                <w:sz w:val="20"/>
                <w:szCs w:val="20"/>
              </w:rPr>
            </w:pPr>
          </w:p>
          <w:p w14:paraId="4FFECC07" w14:textId="74674756" w:rsidR="003B6739" w:rsidRDefault="00E12548" w:rsidP="004F2DCB">
            <w:pPr>
              <w:spacing w:after="0" w:line="276" w:lineRule="auto"/>
              <w:contextualSpacing/>
              <w:jc w:val="both"/>
              <w:rPr>
                <w:rFonts w:ascii="Arial" w:eastAsia="Calibri" w:hAnsi="Arial" w:cs="Arial"/>
                <w:sz w:val="20"/>
                <w:szCs w:val="20"/>
              </w:rPr>
            </w:pPr>
            <w:r w:rsidRPr="00E12548">
              <w:rPr>
                <w:rFonts w:ascii="Arial" w:eastAsia="Calibri" w:hAnsi="Arial" w:cs="Arial"/>
                <w:sz w:val="20"/>
                <w:szCs w:val="20"/>
              </w:rPr>
              <w:t xml:space="preserve">S spremembo tretjega odstavka </w:t>
            </w:r>
            <w:r>
              <w:rPr>
                <w:rFonts w:ascii="Arial" w:eastAsia="Calibri" w:hAnsi="Arial" w:cs="Arial"/>
                <w:sz w:val="20"/>
                <w:szCs w:val="20"/>
              </w:rPr>
              <w:t>48.</w:t>
            </w:r>
            <w:r w:rsidR="00D96B16">
              <w:rPr>
                <w:rFonts w:ascii="Arial" w:eastAsia="Calibri" w:hAnsi="Arial" w:cs="Arial"/>
                <w:sz w:val="20"/>
                <w:szCs w:val="20"/>
              </w:rPr>
              <w:t> </w:t>
            </w:r>
            <w:r>
              <w:rPr>
                <w:rFonts w:ascii="Arial" w:eastAsia="Calibri" w:hAnsi="Arial" w:cs="Arial"/>
                <w:sz w:val="20"/>
                <w:szCs w:val="20"/>
              </w:rPr>
              <w:t xml:space="preserve">člena ZDoh-2 </w:t>
            </w:r>
            <w:r w:rsidR="00856824">
              <w:rPr>
                <w:rFonts w:ascii="Arial" w:eastAsia="Calibri" w:hAnsi="Arial" w:cs="Arial"/>
                <w:sz w:val="20"/>
                <w:szCs w:val="20"/>
              </w:rPr>
              <w:t>se jasneje določa pogoj za vstop oziroma obstoj v sistemu normiranih odhodkov, ki je vezan na socialno zavarovanje zavezanca ali pri njem zaposlene osebe</w:t>
            </w:r>
            <w:r w:rsidR="00D96B16">
              <w:rPr>
                <w:rFonts w:ascii="Arial" w:eastAsia="Calibri" w:hAnsi="Arial" w:cs="Arial"/>
                <w:sz w:val="20"/>
                <w:szCs w:val="20"/>
              </w:rPr>
              <w:t>,</w:t>
            </w:r>
            <w:r w:rsidR="00E27B2D">
              <w:rPr>
                <w:rFonts w:ascii="Arial" w:eastAsia="Calibri" w:hAnsi="Arial" w:cs="Arial"/>
                <w:sz w:val="20"/>
                <w:szCs w:val="20"/>
              </w:rPr>
              <w:t xml:space="preserve"> ter podaljšuje obdobje nepretrgane vključenosti v zavarovanje.</w:t>
            </w:r>
          </w:p>
          <w:p w14:paraId="499A4659" w14:textId="3E89A91C" w:rsidR="00E27B2D" w:rsidRPr="00647B0E" w:rsidRDefault="00E27B2D" w:rsidP="004F2DCB">
            <w:pPr>
              <w:spacing w:after="0" w:line="276" w:lineRule="auto"/>
              <w:contextualSpacing/>
              <w:jc w:val="both"/>
              <w:rPr>
                <w:rFonts w:ascii="Arial" w:eastAsia="Calibri" w:hAnsi="Arial" w:cs="Arial"/>
                <w:sz w:val="20"/>
                <w:szCs w:val="20"/>
              </w:rPr>
            </w:pPr>
          </w:p>
          <w:p w14:paraId="42297CC6" w14:textId="7E8C4ECD" w:rsidR="00E27B2D" w:rsidRDefault="00E27B2D" w:rsidP="00E27B2D">
            <w:pPr>
              <w:spacing w:after="0" w:line="276" w:lineRule="auto"/>
              <w:contextualSpacing/>
              <w:jc w:val="both"/>
              <w:rPr>
                <w:rFonts w:ascii="Arial" w:eastAsia="Calibri" w:hAnsi="Arial" w:cs="Arial"/>
                <w:sz w:val="20"/>
                <w:szCs w:val="20"/>
              </w:rPr>
            </w:pPr>
            <w:r w:rsidRPr="00284E1C">
              <w:rPr>
                <w:rFonts w:ascii="Arial" w:eastAsia="Calibri" w:hAnsi="Arial" w:cs="Arial"/>
                <w:sz w:val="20"/>
                <w:szCs w:val="20"/>
              </w:rPr>
              <w:t>Po predlogu bo zavezanec lahko pri ugotavljanju davčne osnove davčnega leta upošteva</w:t>
            </w:r>
            <w:r w:rsidR="00CD5A36">
              <w:rPr>
                <w:rFonts w:ascii="Arial" w:eastAsia="Calibri" w:hAnsi="Arial" w:cs="Arial"/>
                <w:sz w:val="20"/>
                <w:szCs w:val="20"/>
              </w:rPr>
              <w:t>l</w:t>
            </w:r>
            <w:r w:rsidRPr="00284E1C">
              <w:rPr>
                <w:rFonts w:ascii="Arial" w:eastAsia="Calibri" w:hAnsi="Arial" w:cs="Arial"/>
                <w:sz w:val="20"/>
                <w:szCs w:val="20"/>
              </w:rPr>
              <w:t xml:space="preserve"> normirane odhodke v primeru, da </w:t>
            </w:r>
            <w:r w:rsidR="00634976">
              <w:rPr>
                <w:rFonts w:ascii="Arial" w:eastAsia="Calibri" w:hAnsi="Arial" w:cs="Arial"/>
                <w:sz w:val="20"/>
                <w:szCs w:val="20"/>
              </w:rPr>
              <w:t xml:space="preserve">prihodki </w:t>
            </w:r>
            <w:r w:rsidRPr="00284E1C">
              <w:rPr>
                <w:rFonts w:ascii="Arial" w:eastAsia="Calibri" w:hAnsi="Arial" w:cs="Arial"/>
                <w:sz w:val="20"/>
                <w:szCs w:val="20"/>
              </w:rPr>
              <w:t>v davčnem letu, pred davčnim letom, v katerem želi ugotavljati davčno osnovo z upoštevanjem normiranih odhodkov, presegajo 50.000</w:t>
            </w:r>
            <w:r w:rsidR="00D96B16">
              <w:rPr>
                <w:rFonts w:ascii="Arial" w:eastAsia="Calibri" w:hAnsi="Arial" w:cs="Arial"/>
                <w:sz w:val="20"/>
                <w:szCs w:val="20"/>
              </w:rPr>
              <w:t> </w:t>
            </w:r>
            <w:r w:rsidRPr="00284E1C">
              <w:rPr>
                <w:rFonts w:ascii="Arial" w:eastAsia="Calibri" w:hAnsi="Arial" w:cs="Arial"/>
                <w:sz w:val="20"/>
                <w:szCs w:val="20"/>
              </w:rPr>
              <w:t>EUR in ne presegajo 100.000</w:t>
            </w:r>
            <w:r w:rsidR="00D96B16">
              <w:rPr>
                <w:rFonts w:ascii="Arial" w:eastAsia="Calibri" w:hAnsi="Arial" w:cs="Arial"/>
                <w:sz w:val="20"/>
                <w:szCs w:val="20"/>
              </w:rPr>
              <w:t> </w:t>
            </w:r>
            <w:r w:rsidRPr="00284E1C">
              <w:rPr>
                <w:rFonts w:ascii="Arial" w:eastAsia="Calibri" w:hAnsi="Arial" w:cs="Arial"/>
                <w:sz w:val="20"/>
                <w:szCs w:val="20"/>
              </w:rPr>
              <w:t xml:space="preserve">EUR, če je bila v davčnem letu pred tem </w:t>
            </w:r>
            <w:r w:rsidR="00CD5A36">
              <w:rPr>
                <w:rFonts w:ascii="Arial" w:eastAsia="Calibri" w:hAnsi="Arial" w:cs="Arial"/>
                <w:sz w:val="20"/>
                <w:szCs w:val="20"/>
              </w:rPr>
              <w:t xml:space="preserve">davčnim </w:t>
            </w:r>
            <w:r w:rsidRPr="00284E1C">
              <w:rPr>
                <w:rFonts w:ascii="Arial" w:eastAsia="Calibri" w:hAnsi="Arial" w:cs="Arial"/>
                <w:sz w:val="20"/>
                <w:szCs w:val="20"/>
              </w:rPr>
              <w:t>letom pri zavezancu v skladu z zakonom, ki ureja pokojninsko in invalidsko zavarovanje</w:t>
            </w:r>
            <w:r w:rsidR="00CD5A36">
              <w:rPr>
                <w:rFonts w:ascii="Arial" w:eastAsia="Calibri" w:hAnsi="Arial" w:cs="Arial"/>
                <w:sz w:val="20"/>
                <w:szCs w:val="20"/>
              </w:rPr>
              <w:t>,</w:t>
            </w:r>
            <w:r w:rsidR="00647B0E" w:rsidRPr="00647B0E">
              <w:t xml:space="preserve"> </w:t>
            </w:r>
            <w:r w:rsidR="00647B0E" w:rsidRPr="00284E1C">
              <w:rPr>
                <w:rFonts w:ascii="Arial" w:eastAsia="Calibri" w:hAnsi="Arial" w:cs="Arial"/>
                <w:sz w:val="20"/>
                <w:szCs w:val="20"/>
              </w:rPr>
              <w:t>na podlagi delovnega razmerja ali samozaposlitve</w:t>
            </w:r>
            <w:r w:rsidRPr="00284E1C">
              <w:rPr>
                <w:rFonts w:ascii="Arial" w:eastAsia="Calibri" w:hAnsi="Arial" w:cs="Arial"/>
                <w:sz w:val="20"/>
                <w:szCs w:val="20"/>
              </w:rPr>
              <w:t xml:space="preserve"> obvezno zavarovana vsaj ena oseba za polni delovni čas, neprekinjeno najmanj </w:t>
            </w:r>
            <w:r w:rsidR="00647B0E" w:rsidRPr="00284E1C">
              <w:rPr>
                <w:rFonts w:ascii="Arial" w:eastAsia="Calibri" w:hAnsi="Arial" w:cs="Arial"/>
                <w:sz w:val="20"/>
                <w:szCs w:val="20"/>
              </w:rPr>
              <w:t>devet</w:t>
            </w:r>
            <w:r w:rsidRPr="00284E1C">
              <w:rPr>
                <w:rFonts w:ascii="Arial" w:eastAsia="Calibri" w:hAnsi="Arial" w:cs="Arial"/>
                <w:sz w:val="20"/>
                <w:szCs w:val="20"/>
              </w:rPr>
              <w:t xml:space="preserve"> mesecev</w:t>
            </w:r>
            <w:r w:rsidR="00647B0E" w:rsidRPr="00284E1C">
              <w:rPr>
                <w:rFonts w:ascii="Arial" w:eastAsia="Calibri" w:hAnsi="Arial" w:cs="Arial"/>
                <w:sz w:val="20"/>
                <w:szCs w:val="20"/>
              </w:rPr>
              <w:t>. Pogoj neprekinjene vključenosti v zavarovanje se torej po</w:t>
            </w:r>
            <w:r w:rsidR="00634976">
              <w:rPr>
                <w:rFonts w:ascii="Arial" w:eastAsia="Calibri" w:hAnsi="Arial" w:cs="Arial"/>
                <w:sz w:val="20"/>
                <w:szCs w:val="20"/>
              </w:rPr>
              <w:t>daljšuje</w:t>
            </w:r>
            <w:r w:rsidR="00647B0E" w:rsidRPr="00284E1C">
              <w:rPr>
                <w:rFonts w:ascii="Arial" w:eastAsia="Calibri" w:hAnsi="Arial" w:cs="Arial"/>
                <w:sz w:val="20"/>
                <w:szCs w:val="20"/>
              </w:rPr>
              <w:t xml:space="preserve"> s 5 mesecev na 9 mesecev. Poleg tega se jasno določi, da se za zavarovanje za polni delovni čas šteje zavarovanje na podlagi delovnega razmerja (14.</w:t>
            </w:r>
            <w:r w:rsidR="00D96B16">
              <w:rPr>
                <w:rFonts w:ascii="Arial" w:eastAsia="Calibri" w:hAnsi="Arial" w:cs="Arial"/>
                <w:sz w:val="20"/>
                <w:szCs w:val="20"/>
              </w:rPr>
              <w:t> </w:t>
            </w:r>
            <w:r w:rsidR="00647B0E" w:rsidRPr="00284E1C">
              <w:rPr>
                <w:rFonts w:ascii="Arial" w:eastAsia="Calibri" w:hAnsi="Arial" w:cs="Arial"/>
                <w:sz w:val="20"/>
                <w:szCs w:val="20"/>
              </w:rPr>
              <w:t xml:space="preserve">člen </w:t>
            </w:r>
            <w:r w:rsidR="008D57D0">
              <w:rPr>
                <w:rFonts w:ascii="Arial" w:eastAsia="Calibri" w:hAnsi="Arial" w:cs="Arial"/>
                <w:sz w:val="20"/>
                <w:szCs w:val="20"/>
              </w:rPr>
              <w:t xml:space="preserve">Zakona o pokojninskem in invalidskem zavarovanju; v nadaljnjem besedilu: </w:t>
            </w:r>
            <w:r w:rsidR="00647B0E" w:rsidRPr="00284E1C">
              <w:rPr>
                <w:rFonts w:ascii="Arial" w:eastAsia="Calibri" w:hAnsi="Arial" w:cs="Arial"/>
                <w:sz w:val="20"/>
                <w:szCs w:val="20"/>
              </w:rPr>
              <w:t>ZPIZ-2) in samozaposlitve (15.</w:t>
            </w:r>
            <w:r w:rsidR="00D96B16">
              <w:rPr>
                <w:rFonts w:ascii="Arial" w:eastAsia="Calibri" w:hAnsi="Arial" w:cs="Arial"/>
                <w:sz w:val="20"/>
                <w:szCs w:val="20"/>
              </w:rPr>
              <w:t> </w:t>
            </w:r>
            <w:r w:rsidR="00647B0E" w:rsidRPr="00284E1C">
              <w:rPr>
                <w:rFonts w:ascii="Arial" w:eastAsia="Calibri" w:hAnsi="Arial" w:cs="Arial"/>
                <w:sz w:val="20"/>
                <w:szCs w:val="20"/>
              </w:rPr>
              <w:t xml:space="preserve">člen ZPIZ-2). Pogoj je torej izpolnjen, če </w:t>
            </w:r>
            <w:r w:rsidR="00634976">
              <w:rPr>
                <w:rFonts w:ascii="Arial" w:eastAsia="Calibri" w:hAnsi="Arial" w:cs="Arial"/>
                <w:sz w:val="20"/>
                <w:szCs w:val="20"/>
              </w:rPr>
              <w:t xml:space="preserve">je </w:t>
            </w:r>
            <w:r w:rsidR="00647B0E" w:rsidRPr="00284E1C">
              <w:rPr>
                <w:rFonts w:ascii="Arial" w:eastAsia="Calibri" w:hAnsi="Arial" w:cs="Arial"/>
                <w:sz w:val="20"/>
                <w:szCs w:val="20"/>
              </w:rPr>
              <w:t>zavezanec sam zavarovan neprekinjeno vsaj 9 mesec za polni delovni čas na podlagi samozaposlitve ali ima zaposlenega delavca, ki je na podlagi tega delovnega razmerja vključen v zavarovanje neprekinjeno vsaj 9</w:t>
            </w:r>
            <w:r w:rsidR="00193AA1">
              <w:rPr>
                <w:rFonts w:ascii="Arial" w:eastAsia="Calibri" w:hAnsi="Arial" w:cs="Arial"/>
                <w:sz w:val="20"/>
                <w:szCs w:val="20"/>
              </w:rPr>
              <w:t> </w:t>
            </w:r>
            <w:r w:rsidR="00647B0E" w:rsidRPr="00284E1C">
              <w:rPr>
                <w:rFonts w:ascii="Arial" w:eastAsia="Calibri" w:hAnsi="Arial" w:cs="Arial"/>
                <w:sz w:val="20"/>
                <w:szCs w:val="20"/>
              </w:rPr>
              <w:t>mesecev za polni delovni čas.</w:t>
            </w:r>
          </w:p>
          <w:p w14:paraId="60BA7B54" w14:textId="77777777" w:rsidR="00284E1C" w:rsidRPr="00284E1C" w:rsidRDefault="00284E1C" w:rsidP="00E27B2D">
            <w:pPr>
              <w:spacing w:after="0" w:line="276" w:lineRule="auto"/>
              <w:contextualSpacing/>
              <w:jc w:val="both"/>
              <w:rPr>
                <w:rFonts w:ascii="Arial" w:eastAsia="Calibri" w:hAnsi="Arial" w:cs="Arial"/>
                <w:sz w:val="20"/>
                <w:szCs w:val="20"/>
              </w:rPr>
            </w:pPr>
          </w:p>
          <w:p w14:paraId="2229766B" w14:textId="0F66EE52" w:rsidR="003B6739" w:rsidRDefault="003B6739" w:rsidP="00076F4A">
            <w:pPr>
              <w:pStyle w:val="Odstavekseznama"/>
              <w:numPr>
                <w:ilvl w:val="0"/>
                <w:numId w:val="28"/>
              </w:numPr>
              <w:spacing w:line="276" w:lineRule="auto"/>
              <w:contextualSpacing/>
              <w:jc w:val="both"/>
              <w:rPr>
                <w:rFonts w:ascii="Arial" w:eastAsia="Calibri" w:hAnsi="Arial" w:cs="Arial"/>
                <w:b/>
                <w:bCs/>
                <w:sz w:val="20"/>
                <w:szCs w:val="20"/>
              </w:rPr>
            </w:pPr>
          </w:p>
          <w:p w14:paraId="3A80AC2B" w14:textId="33311081" w:rsidR="00C875AE" w:rsidRPr="00C875AE" w:rsidRDefault="00C875AE" w:rsidP="00C875AE">
            <w:pPr>
              <w:spacing w:after="0" w:line="276" w:lineRule="auto"/>
              <w:contextualSpacing/>
              <w:jc w:val="both"/>
              <w:rPr>
                <w:rFonts w:ascii="Arial" w:eastAsia="Calibri" w:hAnsi="Arial" w:cs="Arial"/>
                <w:sz w:val="20"/>
                <w:szCs w:val="20"/>
              </w:rPr>
            </w:pPr>
            <w:bookmarkStart w:id="11" w:name="_Hlk113531793"/>
            <w:r w:rsidRPr="00C875AE">
              <w:rPr>
                <w:rFonts w:ascii="Arial" w:eastAsia="Calibri" w:hAnsi="Arial" w:cs="Arial"/>
                <w:sz w:val="20"/>
                <w:szCs w:val="20"/>
              </w:rPr>
              <w:t>S spremenjenim 59.</w:t>
            </w:r>
            <w:r w:rsidR="00193AA1">
              <w:rPr>
                <w:rFonts w:ascii="Arial" w:eastAsia="Calibri" w:hAnsi="Arial" w:cs="Arial"/>
                <w:sz w:val="20"/>
                <w:szCs w:val="20"/>
              </w:rPr>
              <w:t> </w:t>
            </w:r>
            <w:r w:rsidRPr="00C875AE">
              <w:rPr>
                <w:rFonts w:ascii="Arial" w:eastAsia="Calibri" w:hAnsi="Arial" w:cs="Arial"/>
                <w:sz w:val="20"/>
                <w:szCs w:val="20"/>
              </w:rPr>
              <w:t>členom ZDoh-2 se določajo nove višine normiranih odhodkov, priznanih v sistemu določanja davčne osnove z upoštevanjem normiranih odhodkov. Višina priznanih normiranih odhodkov se določi v odvisnosti od doseženih prihodkov in obveznega zavarovanja po zakonu, ki ureja pokojninsko in invalidsko zavarovanje, pri zavezancu (v zvezi z dejavnostjo zavezanca), v davčnem letu, za katerega se ugotavlja davčna osnova.</w:t>
            </w:r>
          </w:p>
          <w:p w14:paraId="7559CE33" w14:textId="77777777" w:rsidR="00C875AE" w:rsidRPr="00C875AE" w:rsidRDefault="00C875AE" w:rsidP="00C875AE">
            <w:pPr>
              <w:spacing w:after="0" w:line="276" w:lineRule="auto"/>
              <w:contextualSpacing/>
              <w:jc w:val="both"/>
              <w:rPr>
                <w:rFonts w:ascii="Arial" w:eastAsia="Calibri" w:hAnsi="Arial" w:cs="Arial"/>
                <w:sz w:val="20"/>
                <w:szCs w:val="20"/>
              </w:rPr>
            </w:pPr>
          </w:p>
          <w:p w14:paraId="11487FE7" w14:textId="68BAFBC1" w:rsidR="00C875AE" w:rsidRPr="00C875AE" w:rsidRDefault="00C875AE" w:rsidP="00C875AE">
            <w:pPr>
              <w:spacing w:after="0" w:line="276" w:lineRule="auto"/>
              <w:contextualSpacing/>
              <w:jc w:val="both"/>
              <w:rPr>
                <w:rFonts w:ascii="Arial" w:eastAsia="Calibri" w:hAnsi="Arial" w:cs="Arial"/>
                <w:sz w:val="20"/>
                <w:szCs w:val="20"/>
              </w:rPr>
            </w:pPr>
            <w:r w:rsidRPr="00C875AE">
              <w:rPr>
                <w:rFonts w:ascii="Arial" w:eastAsia="Calibri" w:hAnsi="Arial" w:cs="Arial"/>
                <w:sz w:val="20"/>
                <w:szCs w:val="20"/>
              </w:rPr>
              <w:t>S prvim odstavkom je določena višina normiranih dohodkov za zavezance, ki v davčnem letu, za katero se ugotavlja davčna osnova, izpolnjujejo pogoj, da je pri zavezancu v skladu z zakonom, ki ureja pokojninsko in invalidsko zavarovanje, obvezno zavarovana na podlagi delovnega razmerja ali samozaposlitve vsaj ena oseba za polni delovni čas neprekinjeno najmanj devet mesecev. Ta pogoj je izpolnjen, ko pogoj izpolnjuje zavezanec sam (zavarovanje na podlagi samozaposlitve) ali z zaposlenim delavcem (delavec na podlagi delovnega razmerja pri zavarovancu izpolnjuje pogoj zavarovanja). V tem primeru se upoštevajo normirani odhodki v višini 80</w:t>
            </w:r>
            <w:r w:rsidR="00193AA1">
              <w:rPr>
                <w:rFonts w:ascii="Arial" w:eastAsia="Calibri" w:hAnsi="Arial" w:cs="Arial"/>
                <w:sz w:val="20"/>
                <w:szCs w:val="20"/>
              </w:rPr>
              <w:t> </w:t>
            </w:r>
            <w:r w:rsidRPr="00C875AE">
              <w:rPr>
                <w:rFonts w:ascii="Arial" w:eastAsia="Calibri" w:hAnsi="Arial" w:cs="Arial"/>
                <w:sz w:val="20"/>
                <w:szCs w:val="20"/>
              </w:rPr>
              <w:t xml:space="preserve">% prihodkov na prihodke do </w:t>
            </w:r>
            <w:r w:rsidR="00545DD6">
              <w:rPr>
                <w:rFonts w:ascii="Arial" w:eastAsia="Calibri" w:hAnsi="Arial" w:cs="Arial"/>
                <w:sz w:val="20"/>
                <w:szCs w:val="20"/>
              </w:rPr>
              <w:t>3</w:t>
            </w:r>
            <w:r w:rsidRPr="00C875AE">
              <w:rPr>
                <w:rFonts w:ascii="Arial" w:eastAsia="Calibri" w:hAnsi="Arial" w:cs="Arial"/>
                <w:sz w:val="20"/>
                <w:szCs w:val="20"/>
              </w:rPr>
              <w:t>5.000</w:t>
            </w:r>
            <w:r w:rsidR="00193AA1">
              <w:rPr>
                <w:rFonts w:ascii="Arial" w:eastAsia="Calibri" w:hAnsi="Arial" w:cs="Arial"/>
                <w:sz w:val="20"/>
                <w:szCs w:val="20"/>
              </w:rPr>
              <w:t> </w:t>
            </w:r>
            <w:r w:rsidRPr="00C875AE">
              <w:rPr>
                <w:rFonts w:ascii="Arial" w:eastAsia="Calibri" w:hAnsi="Arial" w:cs="Arial"/>
                <w:sz w:val="20"/>
                <w:szCs w:val="20"/>
              </w:rPr>
              <w:t xml:space="preserve">EUR, v višini </w:t>
            </w:r>
            <w:r w:rsidR="00953CE5">
              <w:rPr>
                <w:rFonts w:ascii="Arial" w:eastAsia="Calibri" w:hAnsi="Arial" w:cs="Arial"/>
                <w:sz w:val="20"/>
                <w:szCs w:val="20"/>
              </w:rPr>
              <w:t>4</w:t>
            </w:r>
            <w:r w:rsidRPr="00C875AE">
              <w:rPr>
                <w:rFonts w:ascii="Arial" w:eastAsia="Calibri" w:hAnsi="Arial" w:cs="Arial"/>
                <w:sz w:val="20"/>
                <w:szCs w:val="20"/>
              </w:rPr>
              <w:t>0</w:t>
            </w:r>
            <w:r w:rsidR="00193AA1">
              <w:rPr>
                <w:rFonts w:ascii="Arial" w:eastAsia="Calibri" w:hAnsi="Arial" w:cs="Arial"/>
                <w:sz w:val="20"/>
                <w:szCs w:val="20"/>
              </w:rPr>
              <w:t> </w:t>
            </w:r>
            <w:r w:rsidRPr="00C875AE">
              <w:rPr>
                <w:rFonts w:ascii="Arial" w:eastAsia="Calibri" w:hAnsi="Arial" w:cs="Arial"/>
                <w:sz w:val="20"/>
                <w:szCs w:val="20"/>
              </w:rPr>
              <w:t xml:space="preserve">% prihodkov na prihodke nad </w:t>
            </w:r>
            <w:r w:rsidR="00545DD6">
              <w:rPr>
                <w:rFonts w:ascii="Arial" w:eastAsia="Calibri" w:hAnsi="Arial" w:cs="Arial"/>
                <w:sz w:val="20"/>
                <w:szCs w:val="20"/>
              </w:rPr>
              <w:t>3</w:t>
            </w:r>
            <w:r w:rsidRPr="00C875AE">
              <w:rPr>
                <w:rFonts w:ascii="Arial" w:eastAsia="Calibri" w:hAnsi="Arial" w:cs="Arial"/>
                <w:sz w:val="20"/>
                <w:szCs w:val="20"/>
              </w:rPr>
              <w:t>5.000</w:t>
            </w:r>
            <w:r w:rsidR="00193AA1">
              <w:rPr>
                <w:rFonts w:ascii="Arial" w:eastAsia="Calibri" w:hAnsi="Arial" w:cs="Arial"/>
                <w:sz w:val="20"/>
                <w:szCs w:val="20"/>
              </w:rPr>
              <w:t> </w:t>
            </w:r>
            <w:r w:rsidRPr="00C875AE">
              <w:rPr>
                <w:rFonts w:ascii="Arial" w:eastAsia="Calibri" w:hAnsi="Arial" w:cs="Arial"/>
                <w:sz w:val="20"/>
                <w:szCs w:val="20"/>
              </w:rPr>
              <w:t>EUR do 100.000</w:t>
            </w:r>
            <w:r w:rsidR="00193AA1">
              <w:rPr>
                <w:rFonts w:ascii="Arial" w:eastAsia="Calibri" w:hAnsi="Arial" w:cs="Arial"/>
                <w:sz w:val="20"/>
                <w:szCs w:val="20"/>
              </w:rPr>
              <w:t> </w:t>
            </w:r>
            <w:r w:rsidRPr="00C875AE">
              <w:rPr>
                <w:rFonts w:ascii="Arial" w:eastAsia="Calibri" w:hAnsi="Arial" w:cs="Arial"/>
                <w:sz w:val="20"/>
                <w:szCs w:val="20"/>
              </w:rPr>
              <w:t>EUR, ter v višini 0</w:t>
            </w:r>
            <w:r w:rsidR="00193AA1">
              <w:rPr>
                <w:rFonts w:ascii="Arial" w:eastAsia="Calibri" w:hAnsi="Arial" w:cs="Arial"/>
                <w:sz w:val="20"/>
                <w:szCs w:val="20"/>
              </w:rPr>
              <w:t> </w:t>
            </w:r>
            <w:r w:rsidRPr="00C875AE">
              <w:rPr>
                <w:rFonts w:ascii="Arial" w:eastAsia="Calibri" w:hAnsi="Arial" w:cs="Arial"/>
                <w:sz w:val="20"/>
                <w:szCs w:val="20"/>
              </w:rPr>
              <w:t>% na prihodke nad 100.000</w:t>
            </w:r>
            <w:r w:rsidR="00193AA1">
              <w:rPr>
                <w:rFonts w:ascii="Arial" w:eastAsia="Calibri" w:hAnsi="Arial" w:cs="Arial"/>
                <w:sz w:val="20"/>
                <w:szCs w:val="20"/>
              </w:rPr>
              <w:t> </w:t>
            </w:r>
            <w:r w:rsidRPr="00C875AE">
              <w:rPr>
                <w:rFonts w:ascii="Arial" w:eastAsia="Calibri" w:hAnsi="Arial" w:cs="Arial"/>
                <w:sz w:val="20"/>
                <w:szCs w:val="20"/>
              </w:rPr>
              <w:t xml:space="preserve">EUR. Najvišja </w:t>
            </w:r>
            <w:r w:rsidR="00137D9C">
              <w:rPr>
                <w:rFonts w:ascii="Arial" w:eastAsia="Calibri" w:hAnsi="Arial" w:cs="Arial"/>
                <w:sz w:val="20"/>
                <w:szCs w:val="20"/>
              </w:rPr>
              <w:t>dopustna</w:t>
            </w:r>
            <w:r w:rsidRPr="00C875AE">
              <w:rPr>
                <w:rFonts w:ascii="Arial" w:eastAsia="Calibri" w:hAnsi="Arial" w:cs="Arial"/>
                <w:sz w:val="20"/>
                <w:szCs w:val="20"/>
              </w:rPr>
              <w:t xml:space="preserve"> priznana višina normiranih odhodkov tako znaša </w:t>
            </w:r>
            <w:r w:rsidR="00953CE5">
              <w:rPr>
                <w:rFonts w:ascii="Arial" w:eastAsia="Calibri" w:hAnsi="Arial" w:cs="Arial"/>
                <w:sz w:val="20"/>
                <w:szCs w:val="20"/>
              </w:rPr>
              <w:t>5</w:t>
            </w:r>
            <w:r w:rsidR="00545DD6">
              <w:rPr>
                <w:rFonts w:ascii="Arial" w:eastAsia="Calibri" w:hAnsi="Arial" w:cs="Arial"/>
                <w:sz w:val="20"/>
                <w:szCs w:val="20"/>
              </w:rPr>
              <w:t>4</w:t>
            </w:r>
            <w:r w:rsidRPr="00C875AE">
              <w:rPr>
                <w:rFonts w:ascii="Arial" w:eastAsia="Calibri" w:hAnsi="Arial" w:cs="Arial"/>
                <w:sz w:val="20"/>
                <w:szCs w:val="20"/>
              </w:rPr>
              <w:t>.</w:t>
            </w:r>
            <w:r w:rsidR="00953CE5">
              <w:rPr>
                <w:rFonts w:ascii="Arial" w:eastAsia="Calibri" w:hAnsi="Arial" w:cs="Arial"/>
                <w:sz w:val="20"/>
                <w:szCs w:val="20"/>
              </w:rPr>
              <w:t>0</w:t>
            </w:r>
            <w:r w:rsidRPr="00C875AE">
              <w:rPr>
                <w:rFonts w:ascii="Arial" w:eastAsia="Calibri" w:hAnsi="Arial" w:cs="Arial"/>
                <w:sz w:val="20"/>
                <w:szCs w:val="20"/>
              </w:rPr>
              <w:t>00</w:t>
            </w:r>
            <w:r w:rsidR="00193AA1">
              <w:rPr>
                <w:rFonts w:ascii="Arial" w:eastAsia="Calibri" w:hAnsi="Arial" w:cs="Arial"/>
                <w:sz w:val="20"/>
                <w:szCs w:val="20"/>
              </w:rPr>
              <w:t> </w:t>
            </w:r>
            <w:r w:rsidRPr="00C875AE">
              <w:rPr>
                <w:rFonts w:ascii="Arial" w:eastAsia="Calibri" w:hAnsi="Arial" w:cs="Arial"/>
                <w:sz w:val="20"/>
                <w:szCs w:val="20"/>
              </w:rPr>
              <w:t>EUR.</w:t>
            </w:r>
          </w:p>
          <w:p w14:paraId="255F80AF" w14:textId="77777777" w:rsidR="00C875AE" w:rsidRPr="00C875AE" w:rsidRDefault="00C875AE" w:rsidP="00C875AE">
            <w:pPr>
              <w:spacing w:after="0" w:line="276" w:lineRule="auto"/>
              <w:contextualSpacing/>
              <w:jc w:val="both"/>
              <w:rPr>
                <w:rFonts w:ascii="Arial" w:eastAsia="Calibri" w:hAnsi="Arial" w:cs="Arial"/>
                <w:sz w:val="20"/>
                <w:szCs w:val="20"/>
              </w:rPr>
            </w:pPr>
          </w:p>
          <w:p w14:paraId="5BD88327" w14:textId="2663C4A5" w:rsidR="00C875AE" w:rsidRPr="00C875AE" w:rsidRDefault="00C875AE" w:rsidP="00C875AE">
            <w:pPr>
              <w:spacing w:after="0" w:line="276" w:lineRule="auto"/>
              <w:contextualSpacing/>
              <w:jc w:val="both"/>
              <w:rPr>
                <w:rFonts w:ascii="Arial" w:eastAsia="Calibri" w:hAnsi="Arial" w:cs="Arial"/>
                <w:sz w:val="20"/>
                <w:szCs w:val="20"/>
              </w:rPr>
            </w:pPr>
            <w:r w:rsidRPr="00C875AE">
              <w:rPr>
                <w:rFonts w:ascii="Arial" w:eastAsia="Calibri" w:hAnsi="Arial" w:cs="Arial"/>
                <w:sz w:val="20"/>
                <w:szCs w:val="20"/>
              </w:rPr>
              <w:t xml:space="preserve">Z drugim odstavkom je določena višina normiranih odhodkov za zavezanca, ki ne izpolnjuje pogoja po prvem odstavku tega člena, torej pri zavezancu ni bila obvezno zavarovana v skladu z zakonom, ki ureja pokojninsko in invalidsko zavarovanje, na podlagi delovnega razmerja ali samozaposlitve vsaj ena oseba za polni delovni čas neprekinjeno najmanj devet mesecev. Pri teh zavezancih se pri ugotavljanju davčne osnove upoštevajo normirani odhodki v višini </w:t>
            </w:r>
            <w:r w:rsidR="00953CE5">
              <w:rPr>
                <w:rFonts w:ascii="Arial" w:eastAsia="Calibri" w:hAnsi="Arial" w:cs="Arial"/>
                <w:sz w:val="20"/>
                <w:szCs w:val="20"/>
              </w:rPr>
              <w:t>4</w:t>
            </w:r>
            <w:r w:rsidRPr="00C875AE">
              <w:rPr>
                <w:rFonts w:ascii="Arial" w:eastAsia="Calibri" w:hAnsi="Arial" w:cs="Arial"/>
                <w:sz w:val="20"/>
                <w:szCs w:val="20"/>
              </w:rPr>
              <w:t>0</w:t>
            </w:r>
            <w:r w:rsidR="00193AA1">
              <w:rPr>
                <w:rFonts w:ascii="Arial" w:eastAsia="Calibri" w:hAnsi="Arial" w:cs="Arial"/>
                <w:sz w:val="20"/>
                <w:szCs w:val="20"/>
              </w:rPr>
              <w:t> </w:t>
            </w:r>
            <w:r w:rsidRPr="00C875AE">
              <w:rPr>
                <w:rFonts w:ascii="Arial" w:eastAsia="Calibri" w:hAnsi="Arial" w:cs="Arial"/>
                <w:sz w:val="20"/>
                <w:szCs w:val="20"/>
              </w:rPr>
              <w:t>% prihodkov, vendar ne več kot 2</w:t>
            </w:r>
            <w:r w:rsidR="00953CE5">
              <w:rPr>
                <w:rFonts w:ascii="Arial" w:eastAsia="Calibri" w:hAnsi="Arial" w:cs="Arial"/>
                <w:sz w:val="20"/>
                <w:szCs w:val="20"/>
              </w:rPr>
              <w:t>0</w:t>
            </w:r>
            <w:r w:rsidRPr="00C875AE">
              <w:rPr>
                <w:rFonts w:ascii="Arial" w:eastAsia="Calibri" w:hAnsi="Arial" w:cs="Arial"/>
                <w:sz w:val="20"/>
                <w:szCs w:val="20"/>
              </w:rPr>
              <w:t>.000</w:t>
            </w:r>
            <w:r w:rsidR="00193AA1">
              <w:rPr>
                <w:rFonts w:ascii="Arial" w:eastAsia="Calibri" w:hAnsi="Arial" w:cs="Arial"/>
                <w:sz w:val="20"/>
                <w:szCs w:val="20"/>
              </w:rPr>
              <w:t> </w:t>
            </w:r>
            <w:r w:rsidRPr="00C875AE">
              <w:rPr>
                <w:rFonts w:ascii="Arial" w:eastAsia="Calibri" w:hAnsi="Arial" w:cs="Arial"/>
                <w:sz w:val="20"/>
                <w:szCs w:val="20"/>
              </w:rPr>
              <w:t>EUR.</w:t>
            </w:r>
          </w:p>
          <w:p w14:paraId="1C2C573F" w14:textId="77777777" w:rsidR="00C875AE" w:rsidRPr="00C875AE" w:rsidRDefault="00C875AE" w:rsidP="00C875AE">
            <w:pPr>
              <w:spacing w:after="0" w:line="276" w:lineRule="auto"/>
              <w:contextualSpacing/>
              <w:jc w:val="both"/>
              <w:rPr>
                <w:rFonts w:ascii="Arial" w:eastAsia="Calibri" w:hAnsi="Arial" w:cs="Arial"/>
                <w:sz w:val="20"/>
                <w:szCs w:val="20"/>
              </w:rPr>
            </w:pPr>
          </w:p>
          <w:p w14:paraId="1BFD2D4C" w14:textId="210668C9" w:rsidR="00C45F29" w:rsidRDefault="00C875AE" w:rsidP="00C45F29">
            <w:pPr>
              <w:spacing w:after="0" w:line="276" w:lineRule="auto"/>
              <w:contextualSpacing/>
              <w:jc w:val="both"/>
              <w:rPr>
                <w:rFonts w:ascii="Arial" w:eastAsia="Calibri" w:hAnsi="Arial" w:cs="Arial"/>
                <w:sz w:val="20"/>
                <w:szCs w:val="20"/>
              </w:rPr>
            </w:pPr>
            <w:r w:rsidRPr="00C875AE">
              <w:rPr>
                <w:rFonts w:ascii="Arial" w:eastAsia="Calibri" w:hAnsi="Arial" w:cs="Arial"/>
                <w:sz w:val="20"/>
                <w:szCs w:val="20"/>
              </w:rPr>
              <w:t>S tretjim odstavkom 48.</w:t>
            </w:r>
            <w:r w:rsidR="00193AA1">
              <w:rPr>
                <w:rFonts w:ascii="Arial" w:eastAsia="Calibri" w:hAnsi="Arial" w:cs="Arial"/>
                <w:sz w:val="20"/>
                <w:szCs w:val="20"/>
              </w:rPr>
              <w:t> </w:t>
            </w:r>
            <w:r w:rsidRPr="00C875AE">
              <w:rPr>
                <w:rFonts w:ascii="Arial" w:eastAsia="Calibri" w:hAnsi="Arial" w:cs="Arial"/>
                <w:sz w:val="20"/>
                <w:szCs w:val="20"/>
              </w:rPr>
              <w:t>člena je določena izjema pri določanju maksimalne višine priznanih normiranih odhodkov za zavezanca iz šestega odstavka 48.</w:t>
            </w:r>
            <w:r w:rsidR="00193AA1">
              <w:rPr>
                <w:rFonts w:ascii="Arial" w:eastAsia="Calibri" w:hAnsi="Arial" w:cs="Arial"/>
                <w:sz w:val="20"/>
                <w:szCs w:val="20"/>
              </w:rPr>
              <w:t> </w:t>
            </w:r>
            <w:r w:rsidRPr="00C875AE">
              <w:rPr>
                <w:rFonts w:ascii="Arial" w:eastAsia="Calibri" w:hAnsi="Arial" w:cs="Arial"/>
                <w:sz w:val="20"/>
                <w:szCs w:val="20"/>
              </w:rPr>
              <w:t xml:space="preserve">člena ZDoh-2 (za člana kmečkega gospodinjstva, ki se je odločilo za ugotavljanje davčne osnove od dohodka iz osnovne kmetijske in osnovne gozdarske dejavnosti po pravilih za dohodke iz dejavnosti). </w:t>
            </w:r>
            <w:r w:rsidR="00070862">
              <w:rPr>
                <w:rFonts w:ascii="Arial" w:eastAsia="Calibri" w:hAnsi="Arial" w:cs="Arial"/>
                <w:sz w:val="20"/>
                <w:szCs w:val="20"/>
              </w:rPr>
              <w:t>M</w:t>
            </w:r>
            <w:r w:rsidRPr="00C875AE">
              <w:rPr>
                <w:rFonts w:ascii="Arial" w:eastAsia="Calibri" w:hAnsi="Arial" w:cs="Arial"/>
                <w:sz w:val="20"/>
                <w:szCs w:val="20"/>
              </w:rPr>
              <w:t xml:space="preserve">aksimalno priznana višina normiranih odhodkov </w:t>
            </w:r>
            <w:r w:rsidR="00070862">
              <w:rPr>
                <w:rFonts w:ascii="Arial" w:eastAsia="Calibri" w:hAnsi="Arial" w:cs="Arial"/>
                <w:sz w:val="20"/>
                <w:szCs w:val="20"/>
              </w:rPr>
              <w:t>se ohrani na</w:t>
            </w:r>
            <w:r w:rsidRPr="00C875AE">
              <w:rPr>
                <w:rFonts w:ascii="Arial" w:eastAsia="Calibri" w:hAnsi="Arial" w:cs="Arial"/>
                <w:sz w:val="20"/>
                <w:szCs w:val="20"/>
              </w:rPr>
              <w:t xml:space="preserve"> </w:t>
            </w:r>
            <w:r w:rsidR="00070862">
              <w:rPr>
                <w:rFonts w:ascii="Arial" w:eastAsia="Calibri" w:hAnsi="Arial" w:cs="Arial"/>
                <w:sz w:val="20"/>
                <w:szCs w:val="20"/>
              </w:rPr>
              <w:t>8</w:t>
            </w:r>
            <w:r w:rsidRPr="00C875AE">
              <w:rPr>
                <w:rFonts w:ascii="Arial" w:eastAsia="Calibri" w:hAnsi="Arial" w:cs="Arial"/>
                <w:sz w:val="20"/>
                <w:szCs w:val="20"/>
              </w:rPr>
              <w:t>0.000</w:t>
            </w:r>
            <w:r w:rsidR="00193AA1">
              <w:rPr>
                <w:rFonts w:ascii="Arial" w:eastAsia="Calibri" w:hAnsi="Arial" w:cs="Arial"/>
                <w:sz w:val="20"/>
                <w:szCs w:val="20"/>
              </w:rPr>
              <w:t> </w:t>
            </w:r>
            <w:r w:rsidRPr="00C875AE">
              <w:rPr>
                <w:rFonts w:ascii="Arial" w:eastAsia="Calibri" w:hAnsi="Arial" w:cs="Arial"/>
                <w:sz w:val="20"/>
                <w:szCs w:val="20"/>
              </w:rPr>
              <w:t>EUR na nosilca in na drugega člana kmečkega gospodinjstva, ki je vključen v obvezno pokojninsko in invalidsko zavarovanje kot kmet oziroma član kmečkega gospodinjstva</w:t>
            </w:r>
            <w:bookmarkEnd w:id="11"/>
            <w:r w:rsidRPr="00C875AE">
              <w:rPr>
                <w:rFonts w:ascii="Arial" w:eastAsia="Calibri" w:hAnsi="Arial" w:cs="Arial"/>
                <w:sz w:val="20"/>
                <w:szCs w:val="20"/>
              </w:rPr>
              <w:t>.</w:t>
            </w:r>
          </w:p>
          <w:p w14:paraId="47F39873" w14:textId="77777777" w:rsidR="00C45F29" w:rsidRDefault="00C45F29" w:rsidP="004F2DCB">
            <w:pPr>
              <w:spacing w:after="0" w:line="276" w:lineRule="auto"/>
              <w:jc w:val="both"/>
              <w:rPr>
                <w:rFonts w:ascii="Arial" w:hAnsi="Arial" w:cs="Arial"/>
                <w:color w:val="000000" w:themeColor="text1"/>
                <w:sz w:val="20"/>
                <w:szCs w:val="20"/>
              </w:rPr>
            </w:pPr>
          </w:p>
          <w:p w14:paraId="270F9613" w14:textId="77777777" w:rsidR="00C45F29" w:rsidRPr="00CA2033" w:rsidRDefault="00C45F29" w:rsidP="00076F4A">
            <w:pPr>
              <w:pStyle w:val="Odstavekseznama"/>
              <w:numPr>
                <w:ilvl w:val="0"/>
                <w:numId w:val="28"/>
              </w:numPr>
              <w:spacing w:line="276" w:lineRule="auto"/>
              <w:jc w:val="both"/>
              <w:rPr>
                <w:rFonts w:ascii="Arial" w:hAnsi="Arial" w:cs="Arial"/>
                <w:color w:val="000000" w:themeColor="text1"/>
                <w:sz w:val="20"/>
                <w:szCs w:val="20"/>
              </w:rPr>
            </w:pPr>
          </w:p>
          <w:p w14:paraId="6D4BF235" w14:textId="26EB78F2" w:rsidR="00850737" w:rsidRDefault="0016088D" w:rsidP="004F2DCB">
            <w:p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S predlagano dopolnitvijo </w:t>
            </w:r>
            <w:r w:rsidR="00B62B4C">
              <w:rPr>
                <w:rFonts w:ascii="Arial" w:hAnsi="Arial" w:cs="Arial"/>
                <w:color w:val="000000" w:themeColor="text1"/>
                <w:sz w:val="20"/>
                <w:szCs w:val="20"/>
              </w:rPr>
              <w:t xml:space="preserve">četrtega odstavka </w:t>
            </w:r>
            <w:r>
              <w:rPr>
                <w:rFonts w:ascii="Arial" w:hAnsi="Arial" w:cs="Arial"/>
                <w:color w:val="000000" w:themeColor="text1"/>
                <w:sz w:val="20"/>
                <w:szCs w:val="20"/>
              </w:rPr>
              <w:t>90.</w:t>
            </w:r>
            <w:r w:rsidR="00406B16">
              <w:rPr>
                <w:rFonts w:ascii="Arial" w:hAnsi="Arial" w:cs="Arial"/>
                <w:color w:val="000000" w:themeColor="text1"/>
                <w:sz w:val="20"/>
                <w:szCs w:val="20"/>
              </w:rPr>
              <w:t> </w:t>
            </w:r>
            <w:r>
              <w:rPr>
                <w:rFonts w:ascii="Arial" w:hAnsi="Arial" w:cs="Arial"/>
                <w:color w:val="000000" w:themeColor="text1"/>
                <w:sz w:val="20"/>
                <w:szCs w:val="20"/>
              </w:rPr>
              <w:t>člena</w:t>
            </w:r>
            <w:r w:rsidR="00B62B4C">
              <w:rPr>
                <w:rFonts w:ascii="Arial" w:hAnsi="Arial" w:cs="Arial"/>
                <w:color w:val="000000" w:themeColor="text1"/>
                <w:sz w:val="20"/>
                <w:szCs w:val="20"/>
              </w:rPr>
              <w:t xml:space="preserve"> </w:t>
            </w:r>
            <w:r w:rsidR="008D57D0">
              <w:rPr>
                <w:rFonts w:ascii="Arial" w:hAnsi="Arial" w:cs="Arial"/>
                <w:color w:val="000000" w:themeColor="text1"/>
                <w:sz w:val="20"/>
                <w:szCs w:val="20"/>
              </w:rPr>
              <w:t>ZDoh-2</w:t>
            </w:r>
            <w:r w:rsidR="001C6097">
              <w:rPr>
                <w:rFonts w:ascii="Arial" w:hAnsi="Arial" w:cs="Arial"/>
                <w:color w:val="000000" w:themeColor="text1"/>
                <w:sz w:val="20"/>
                <w:szCs w:val="20"/>
              </w:rPr>
              <w:t xml:space="preserve"> </w:t>
            </w:r>
            <w:r w:rsidR="00B62B4C">
              <w:rPr>
                <w:rFonts w:ascii="Arial" w:hAnsi="Arial" w:cs="Arial"/>
                <w:color w:val="000000" w:themeColor="text1"/>
                <w:sz w:val="20"/>
                <w:szCs w:val="20"/>
              </w:rPr>
              <w:t>se</w:t>
            </w:r>
            <w:r w:rsidR="001C6097">
              <w:rPr>
                <w:rFonts w:ascii="Arial" w:hAnsi="Arial" w:cs="Arial"/>
                <w:color w:val="000000" w:themeColor="text1"/>
                <w:sz w:val="20"/>
                <w:szCs w:val="20"/>
              </w:rPr>
              <w:t>, podobno</w:t>
            </w:r>
            <w:r w:rsidR="00406B16">
              <w:rPr>
                <w:rFonts w:ascii="Arial" w:hAnsi="Arial" w:cs="Arial"/>
                <w:color w:val="000000" w:themeColor="text1"/>
                <w:sz w:val="20"/>
                <w:szCs w:val="20"/>
              </w:rPr>
              <w:t>,</w:t>
            </w:r>
            <w:r w:rsidR="001C6097">
              <w:rPr>
                <w:rFonts w:ascii="Arial" w:hAnsi="Arial" w:cs="Arial"/>
                <w:color w:val="000000" w:themeColor="text1"/>
                <w:sz w:val="20"/>
                <w:szCs w:val="20"/>
              </w:rPr>
              <w:t xml:space="preserve"> kot je </w:t>
            </w:r>
            <w:r w:rsidR="00850737">
              <w:rPr>
                <w:rFonts w:ascii="Arial" w:hAnsi="Arial" w:cs="Arial"/>
                <w:color w:val="000000" w:themeColor="text1"/>
                <w:sz w:val="20"/>
                <w:szCs w:val="20"/>
              </w:rPr>
              <w:t>že veljalo</w:t>
            </w:r>
            <w:r w:rsidR="008D3E12">
              <w:rPr>
                <w:rFonts w:ascii="Arial" w:hAnsi="Arial" w:cs="Arial"/>
                <w:color w:val="000000" w:themeColor="text1"/>
                <w:sz w:val="20"/>
                <w:szCs w:val="20"/>
              </w:rPr>
              <w:t xml:space="preserve"> pred 1.</w:t>
            </w:r>
            <w:r w:rsidR="00B62B4C">
              <w:rPr>
                <w:rFonts w:ascii="Arial" w:hAnsi="Arial" w:cs="Arial"/>
                <w:color w:val="000000" w:themeColor="text1"/>
                <w:sz w:val="20"/>
                <w:szCs w:val="20"/>
              </w:rPr>
              <w:t> </w:t>
            </w:r>
            <w:r w:rsidR="008D57D0">
              <w:rPr>
                <w:rFonts w:ascii="Arial" w:hAnsi="Arial" w:cs="Arial"/>
                <w:color w:val="000000" w:themeColor="text1"/>
                <w:sz w:val="20"/>
                <w:szCs w:val="20"/>
              </w:rPr>
              <w:t>januarjem</w:t>
            </w:r>
            <w:r w:rsidR="00B62B4C">
              <w:rPr>
                <w:rFonts w:ascii="Arial" w:hAnsi="Arial" w:cs="Arial"/>
                <w:color w:val="000000" w:themeColor="text1"/>
                <w:sz w:val="20"/>
                <w:szCs w:val="20"/>
              </w:rPr>
              <w:t> </w:t>
            </w:r>
            <w:r w:rsidR="008D3E12">
              <w:rPr>
                <w:rFonts w:ascii="Arial" w:hAnsi="Arial" w:cs="Arial"/>
                <w:color w:val="000000" w:themeColor="text1"/>
                <w:sz w:val="20"/>
                <w:szCs w:val="20"/>
              </w:rPr>
              <w:t>2022</w:t>
            </w:r>
            <w:r w:rsidR="001C6097">
              <w:rPr>
                <w:rFonts w:ascii="Arial" w:hAnsi="Arial" w:cs="Arial"/>
                <w:color w:val="000000" w:themeColor="text1"/>
                <w:sz w:val="20"/>
                <w:szCs w:val="20"/>
              </w:rPr>
              <w:t>,</w:t>
            </w:r>
            <w:r w:rsidR="00B62B4C">
              <w:rPr>
                <w:rFonts w:ascii="Arial" w:hAnsi="Arial" w:cs="Arial"/>
                <w:color w:val="000000" w:themeColor="text1"/>
                <w:sz w:val="20"/>
                <w:szCs w:val="20"/>
              </w:rPr>
              <w:t xml:space="preserve"> določa, da se kot dividenda obdavčuje</w:t>
            </w:r>
            <w:r w:rsidR="00FB0603">
              <w:rPr>
                <w:rFonts w:ascii="Arial" w:hAnsi="Arial" w:cs="Arial"/>
                <w:color w:val="000000" w:themeColor="text1"/>
                <w:sz w:val="20"/>
                <w:szCs w:val="20"/>
              </w:rPr>
              <w:t xml:space="preserve"> tudi</w:t>
            </w:r>
            <w:r w:rsidR="00850737">
              <w:rPr>
                <w:rFonts w:ascii="Arial" w:hAnsi="Arial" w:cs="Arial"/>
                <w:color w:val="000000" w:themeColor="text1"/>
                <w:sz w:val="20"/>
                <w:szCs w:val="20"/>
              </w:rPr>
              <w:t xml:space="preserve"> izplačana vrednost delnic ali deležev v primeru odsvojitve delnic ali deležev v okviru pridobivanja lastnih delnic oziroma deležev družbe, razen ko družba pridobiva lastne delnice na organiziranem trgu.</w:t>
            </w:r>
          </w:p>
          <w:p w14:paraId="7B66A4DE" w14:textId="77777777" w:rsidR="00850737" w:rsidRDefault="00850737" w:rsidP="004F2DCB">
            <w:pPr>
              <w:spacing w:after="0" w:line="276" w:lineRule="auto"/>
              <w:jc w:val="both"/>
              <w:rPr>
                <w:rFonts w:ascii="Arial" w:hAnsi="Arial" w:cs="Arial"/>
                <w:color w:val="000000" w:themeColor="text1"/>
                <w:sz w:val="20"/>
                <w:szCs w:val="20"/>
              </w:rPr>
            </w:pPr>
          </w:p>
          <w:p w14:paraId="6A69A075" w14:textId="2FB5393E" w:rsidR="001C6097" w:rsidRDefault="00850737" w:rsidP="004F2DCB">
            <w:p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Predlagana rešitev</w:t>
            </w:r>
            <w:r w:rsidR="00B62B4C">
              <w:rPr>
                <w:rFonts w:ascii="Arial" w:hAnsi="Arial" w:cs="Arial"/>
                <w:color w:val="000000" w:themeColor="text1"/>
                <w:sz w:val="20"/>
                <w:szCs w:val="20"/>
              </w:rPr>
              <w:t xml:space="preserve"> tako</w:t>
            </w:r>
            <w:r>
              <w:rPr>
                <w:rFonts w:ascii="Arial" w:hAnsi="Arial" w:cs="Arial"/>
                <w:color w:val="000000" w:themeColor="text1"/>
                <w:sz w:val="20"/>
                <w:szCs w:val="20"/>
              </w:rPr>
              <w:t xml:space="preserve"> sledi rešitvi, </w:t>
            </w:r>
            <w:r w:rsidR="001C6097">
              <w:rPr>
                <w:rFonts w:ascii="Arial" w:hAnsi="Arial" w:cs="Arial"/>
                <w:color w:val="000000" w:themeColor="text1"/>
                <w:sz w:val="20"/>
                <w:szCs w:val="20"/>
              </w:rPr>
              <w:t>ki je bila uvedena z novelo ZDoh-2V in se je začela uporabljati 1.</w:t>
            </w:r>
            <w:r>
              <w:rPr>
                <w:rFonts w:ascii="Arial" w:hAnsi="Arial" w:cs="Arial"/>
                <w:color w:val="000000" w:themeColor="text1"/>
                <w:sz w:val="20"/>
                <w:szCs w:val="20"/>
              </w:rPr>
              <w:t> </w:t>
            </w:r>
            <w:r w:rsidR="008D57D0">
              <w:rPr>
                <w:rFonts w:ascii="Arial" w:hAnsi="Arial" w:cs="Arial"/>
                <w:color w:val="000000" w:themeColor="text1"/>
                <w:sz w:val="20"/>
                <w:szCs w:val="20"/>
              </w:rPr>
              <w:t>januarja</w:t>
            </w:r>
            <w:r w:rsidR="00FB0603">
              <w:rPr>
                <w:rFonts w:ascii="Arial" w:hAnsi="Arial" w:cs="Arial"/>
                <w:color w:val="000000" w:themeColor="text1"/>
                <w:sz w:val="20"/>
                <w:szCs w:val="20"/>
              </w:rPr>
              <w:t> </w:t>
            </w:r>
            <w:r w:rsidR="001C6097">
              <w:rPr>
                <w:rFonts w:ascii="Arial" w:hAnsi="Arial" w:cs="Arial"/>
                <w:color w:val="000000" w:themeColor="text1"/>
                <w:sz w:val="20"/>
                <w:szCs w:val="20"/>
              </w:rPr>
              <w:t>2020</w:t>
            </w:r>
            <w:r>
              <w:rPr>
                <w:rFonts w:ascii="Arial" w:hAnsi="Arial" w:cs="Arial"/>
                <w:color w:val="000000" w:themeColor="text1"/>
                <w:sz w:val="20"/>
                <w:szCs w:val="20"/>
              </w:rPr>
              <w:t>, odpravljena pa je bila z novelo ZDoh-2Z</w:t>
            </w:r>
            <w:r w:rsidR="00406B16">
              <w:rPr>
                <w:rFonts w:ascii="Arial" w:hAnsi="Arial" w:cs="Arial"/>
                <w:color w:val="000000" w:themeColor="text1"/>
                <w:sz w:val="20"/>
                <w:szCs w:val="20"/>
              </w:rPr>
              <w:t>,</w:t>
            </w:r>
            <w:r>
              <w:rPr>
                <w:rFonts w:ascii="Arial" w:hAnsi="Arial" w:cs="Arial"/>
                <w:color w:val="000000" w:themeColor="text1"/>
                <w:sz w:val="20"/>
                <w:szCs w:val="20"/>
              </w:rPr>
              <w:t xml:space="preserve"> in </w:t>
            </w:r>
            <w:r w:rsidR="00CF62DB">
              <w:rPr>
                <w:rFonts w:ascii="Arial" w:hAnsi="Arial" w:cs="Arial"/>
                <w:color w:val="000000" w:themeColor="text1"/>
                <w:sz w:val="20"/>
                <w:szCs w:val="20"/>
              </w:rPr>
              <w:t>sicer s</w:t>
            </w:r>
            <w:r>
              <w:rPr>
                <w:rFonts w:ascii="Arial" w:hAnsi="Arial" w:cs="Arial"/>
                <w:color w:val="000000" w:themeColor="text1"/>
                <w:sz w:val="20"/>
                <w:szCs w:val="20"/>
              </w:rPr>
              <w:t xml:space="preserve"> 1.</w:t>
            </w:r>
            <w:r w:rsidR="00406B16">
              <w:rPr>
                <w:rFonts w:ascii="Arial" w:hAnsi="Arial" w:cs="Arial"/>
                <w:color w:val="000000" w:themeColor="text1"/>
                <w:sz w:val="20"/>
                <w:szCs w:val="20"/>
              </w:rPr>
              <w:t> </w:t>
            </w:r>
            <w:r w:rsidR="008D57D0">
              <w:rPr>
                <w:rFonts w:ascii="Arial" w:hAnsi="Arial" w:cs="Arial"/>
                <w:color w:val="000000" w:themeColor="text1"/>
                <w:sz w:val="20"/>
                <w:szCs w:val="20"/>
              </w:rPr>
              <w:t>januarjem</w:t>
            </w:r>
            <w:r w:rsidR="00406B16">
              <w:rPr>
                <w:rFonts w:ascii="Arial" w:hAnsi="Arial" w:cs="Arial"/>
                <w:color w:val="000000" w:themeColor="text1"/>
                <w:sz w:val="20"/>
                <w:szCs w:val="20"/>
              </w:rPr>
              <w:t> </w:t>
            </w:r>
            <w:r>
              <w:rPr>
                <w:rFonts w:ascii="Arial" w:hAnsi="Arial" w:cs="Arial"/>
                <w:color w:val="000000" w:themeColor="text1"/>
                <w:sz w:val="20"/>
                <w:szCs w:val="20"/>
              </w:rPr>
              <w:t xml:space="preserve">2022. </w:t>
            </w:r>
          </w:p>
          <w:p w14:paraId="0C678D6E" w14:textId="36800D1A" w:rsidR="00CF62DB" w:rsidRDefault="00CF62DB" w:rsidP="004F2DCB">
            <w:pPr>
              <w:spacing w:after="0" w:line="276" w:lineRule="auto"/>
              <w:jc w:val="both"/>
              <w:rPr>
                <w:rFonts w:ascii="Arial" w:hAnsi="Arial" w:cs="Arial"/>
                <w:color w:val="000000" w:themeColor="text1"/>
                <w:sz w:val="20"/>
                <w:szCs w:val="20"/>
              </w:rPr>
            </w:pPr>
          </w:p>
          <w:p w14:paraId="60F78D8B" w14:textId="5661C7D4" w:rsidR="001C6097" w:rsidRDefault="00406B16" w:rsidP="004F2DCB">
            <w:p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Ker</w:t>
            </w:r>
            <w:r w:rsidR="00CF62DB" w:rsidRPr="00CF62DB">
              <w:rPr>
                <w:rFonts w:ascii="Arial" w:hAnsi="Arial" w:cs="Arial"/>
                <w:color w:val="000000" w:themeColor="text1"/>
                <w:sz w:val="20"/>
                <w:szCs w:val="20"/>
              </w:rPr>
              <w:t xml:space="preserve"> se je v praksi izkazalo, da se vrednosti delnic ali deležev v okviru pridobivanja lastnih delnic ali deležev družbe izplačujejo tudi obročno, je </w:t>
            </w:r>
            <w:r w:rsidR="00CF62DB">
              <w:rPr>
                <w:rFonts w:ascii="Arial" w:hAnsi="Arial" w:cs="Arial"/>
                <w:color w:val="000000" w:themeColor="text1"/>
                <w:sz w:val="20"/>
                <w:szCs w:val="20"/>
              </w:rPr>
              <w:t xml:space="preserve">v določbo dodan nov stavek, ki jasneje opredeljuje </w:t>
            </w:r>
            <w:r w:rsidR="00CF62DB" w:rsidRPr="00CF62DB">
              <w:rPr>
                <w:rFonts w:ascii="Arial" w:hAnsi="Arial" w:cs="Arial"/>
                <w:color w:val="000000" w:themeColor="text1"/>
                <w:sz w:val="20"/>
                <w:szCs w:val="20"/>
              </w:rPr>
              <w:t>ugotavljanj</w:t>
            </w:r>
            <w:r w:rsidR="00CF62DB">
              <w:rPr>
                <w:rFonts w:ascii="Arial" w:hAnsi="Arial" w:cs="Arial"/>
                <w:color w:val="000000" w:themeColor="text1"/>
                <w:sz w:val="20"/>
                <w:szCs w:val="20"/>
              </w:rPr>
              <w:t>e</w:t>
            </w:r>
            <w:r w:rsidR="00CF62DB" w:rsidRPr="00CF62DB">
              <w:rPr>
                <w:rFonts w:ascii="Arial" w:hAnsi="Arial" w:cs="Arial"/>
                <w:color w:val="000000" w:themeColor="text1"/>
                <w:sz w:val="20"/>
                <w:szCs w:val="20"/>
              </w:rPr>
              <w:t xml:space="preserve"> davčne osnove v teh primerih. Tako se v primerih, ko je dogovorjeno obročno izplačevanje delnic ali deležev, posamezni obrok izplačila zmanjša za sorazmerni del nabavne vrednosti odsvojenih delnic ali deležev, ki se izračuna glede na delež </w:t>
            </w:r>
            <w:r w:rsidR="00223A6F">
              <w:rPr>
                <w:rFonts w:ascii="Arial" w:hAnsi="Arial" w:cs="Arial"/>
                <w:color w:val="000000" w:themeColor="text1"/>
                <w:sz w:val="20"/>
                <w:szCs w:val="20"/>
              </w:rPr>
              <w:t xml:space="preserve">tega </w:t>
            </w:r>
            <w:r w:rsidR="00CF62DB" w:rsidRPr="00CF62DB">
              <w:rPr>
                <w:rFonts w:ascii="Arial" w:hAnsi="Arial" w:cs="Arial"/>
                <w:color w:val="000000" w:themeColor="text1"/>
                <w:sz w:val="20"/>
                <w:szCs w:val="20"/>
              </w:rPr>
              <w:t>obroka v skupnem izplačilu vrednosti delnic ali deležev.</w:t>
            </w:r>
          </w:p>
          <w:p w14:paraId="19326D62" w14:textId="77777777" w:rsidR="008D3E12" w:rsidRDefault="008D3E12" w:rsidP="004F2DCB">
            <w:pPr>
              <w:spacing w:after="0" w:line="276" w:lineRule="auto"/>
              <w:jc w:val="both"/>
              <w:rPr>
                <w:rFonts w:ascii="Arial" w:hAnsi="Arial" w:cs="Arial"/>
                <w:color w:val="000000" w:themeColor="text1"/>
                <w:sz w:val="20"/>
                <w:szCs w:val="20"/>
              </w:rPr>
            </w:pPr>
          </w:p>
          <w:p w14:paraId="37FA7A34" w14:textId="08453DA3" w:rsidR="008D3E12" w:rsidRDefault="00C909D0" w:rsidP="004F2DCB">
            <w:pPr>
              <w:spacing w:after="0" w:line="276" w:lineRule="auto"/>
              <w:jc w:val="both"/>
              <w:rPr>
                <w:rFonts w:ascii="Arial" w:hAnsi="Arial" w:cs="Arial"/>
                <w:color w:val="000000" w:themeColor="text1"/>
                <w:sz w:val="20"/>
                <w:szCs w:val="20"/>
              </w:rPr>
            </w:pPr>
            <w:r w:rsidRPr="0015482E">
              <w:rPr>
                <w:rFonts w:ascii="Arial" w:hAnsi="Arial" w:cs="Arial"/>
                <w:color w:val="000000" w:themeColor="text1"/>
                <w:sz w:val="20"/>
                <w:szCs w:val="20"/>
              </w:rPr>
              <w:t>1</w:t>
            </w:r>
            <w:r w:rsidR="00C70A89">
              <w:rPr>
                <w:rFonts w:ascii="Arial" w:hAnsi="Arial" w:cs="Arial"/>
                <w:color w:val="000000" w:themeColor="text1"/>
                <w:sz w:val="20"/>
                <w:szCs w:val="20"/>
              </w:rPr>
              <w:t>7</w:t>
            </w:r>
            <w:r w:rsidRPr="0015482E">
              <w:rPr>
                <w:rFonts w:ascii="Arial" w:hAnsi="Arial" w:cs="Arial"/>
                <w:color w:val="000000" w:themeColor="text1"/>
                <w:sz w:val="20"/>
                <w:szCs w:val="20"/>
              </w:rPr>
              <w:t>.</w:t>
            </w:r>
            <w:r w:rsidR="00406B16">
              <w:rPr>
                <w:rFonts w:ascii="Arial" w:hAnsi="Arial" w:cs="Arial"/>
                <w:color w:val="000000" w:themeColor="text1"/>
                <w:sz w:val="20"/>
                <w:szCs w:val="20"/>
              </w:rPr>
              <w:t> </w:t>
            </w:r>
            <w:r w:rsidR="008D3E12" w:rsidRPr="0015482E">
              <w:rPr>
                <w:rFonts w:ascii="Arial" w:hAnsi="Arial" w:cs="Arial"/>
                <w:color w:val="000000" w:themeColor="text1"/>
                <w:sz w:val="20"/>
                <w:szCs w:val="20"/>
              </w:rPr>
              <w:t>člen</w:t>
            </w:r>
            <w:r w:rsidR="008D3E12">
              <w:rPr>
                <w:rFonts w:ascii="Arial" w:hAnsi="Arial" w:cs="Arial"/>
                <w:color w:val="000000" w:themeColor="text1"/>
                <w:sz w:val="20"/>
                <w:szCs w:val="20"/>
              </w:rPr>
              <w:t xml:space="preserve"> predloga zakona vsebuje prehodno določbo v zvezi z obdavčevanjem </w:t>
            </w:r>
            <w:r w:rsidR="00E7399D">
              <w:rPr>
                <w:rFonts w:ascii="Arial" w:hAnsi="Arial" w:cs="Arial"/>
                <w:color w:val="000000" w:themeColor="text1"/>
                <w:sz w:val="20"/>
                <w:szCs w:val="20"/>
              </w:rPr>
              <w:t>v letu 2022 prejetih</w:t>
            </w:r>
            <w:r w:rsidR="00E7399D" w:rsidRPr="008D3E12">
              <w:rPr>
                <w:rFonts w:ascii="Arial" w:hAnsi="Arial" w:cs="Arial"/>
                <w:color w:val="000000" w:themeColor="text1"/>
                <w:sz w:val="20"/>
                <w:szCs w:val="20"/>
              </w:rPr>
              <w:t xml:space="preserve"> </w:t>
            </w:r>
            <w:r w:rsidR="008D3E12" w:rsidRPr="008D3E12">
              <w:rPr>
                <w:rFonts w:ascii="Arial" w:hAnsi="Arial" w:cs="Arial"/>
                <w:color w:val="000000" w:themeColor="text1"/>
                <w:sz w:val="20"/>
                <w:szCs w:val="20"/>
              </w:rPr>
              <w:t xml:space="preserve">izplačil vrednosti delnic ali deležev, odsvojenih v okviru pridobivanja lastnih delnic oziroma deležev družbe v letih 2020 in 2021, </w:t>
            </w:r>
            <w:r w:rsidR="008D3E12">
              <w:rPr>
                <w:rFonts w:ascii="Arial" w:hAnsi="Arial" w:cs="Arial"/>
                <w:color w:val="000000" w:themeColor="text1"/>
                <w:sz w:val="20"/>
                <w:szCs w:val="20"/>
              </w:rPr>
              <w:t>ter določa</w:t>
            </w:r>
            <w:r w:rsidR="00406B16">
              <w:rPr>
                <w:rFonts w:ascii="Arial" w:hAnsi="Arial" w:cs="Arial"/>
                <w:color w:val="000000" w:themeColor="text1"/>
                <w:sz w:val="20"/>
                <w:szCs w:val="20"/>
              </w:rPr>
              <w:t>,</w:t>
            </w:r>
            <w:r w:rsidR="008D3E12">
              <w:rPr>
                <w:rFonts w:ascii="Arial" w:hAnsi="Arial" w:cs="Arial"/>
                <w:color w:val="000000" w:themeColor="text1"/>
                <w:sz w:val="20"/>
                <w:szCs w:val="20"/>
              </w:rPr>
              <w:t xml:space="preserve"> </w:t>
            </w:r>
            <w:r w:rsidR="00FB0603">
              <w:rPr>
                <w:rFonts w:ascii="Arial" w:hAnsi="Arial" w:cs="Arial"/>
                <w:color w:val="000000" w:themeColor="text1"/>
                <w:sz w:val="20"/>
                <w:szCs w:val="20"/>
              </w:rPr>
              <w:t xml:space="preserve">za katera </w:t>
            </w:r>
            <w:r w:rsidR="008D3E12">
              <w:rPr>
                <w:rFonts w:ascii="Arial" w:hAnsi="Arial" w:cs="Arial"/>
                <w:color w:val="000000" w:themeColor="text1"/>
                <w:sz w:val="20"/>
                <w:szCs w:val="20"/>
              </w:rPr>
              <w:t>obročna izplačila</w:t>
            </w:r>
            <w:r w:rsidR="00FB0603">
              <w:rPr>
                <w:rFonts w:ascii="Arial" w:hAnsi="Arial" w:cs="Arial"/>
                <w:color w:val="000000" w:themeColor="text1"/>
                <w:sz w:val="20"/>
                <w:szCs w:val="20"/>
              </w:rPr>
              <w:t xml:space="preserve"> </w:t>
            </w:r>
            <w:r w:rsidR="008D3E12">
              <w:rPr>
                <w:rFonts w:ascii="Arial" w:hAnsi="Arial" w:cs="Arial"/>
                <w:color w:val="000000" w:themeColor="text1"/>
                <w:sz w:val="20"/>
                <w:szCs w:val="20"/>
              </w:rPr>
              <w:t xml:space="preserve">se predlagana </w:t>
            </w:r>
            <w:r w:rsidR="008D57D0">
              <w:rPr>
                <w:rFonts w:ascii="Arial" w:hAnsi="Arial" w:cs="Arial"/>
                <w:color w:val="000000" w:themeColor="text1"/>
                <w:sz w:val="20"/>
                <w:szCs w:val="20"/>
              </w:rPr>
              <w:t xml:space="preserve">nova </w:t>
            </w:r>
            <w:r w:rsidR="008D3E12" w:rsidRPr="008D3E12">
              <w:rPr>
                <w:rFonts w:ascii="Arial" w:hAnsi="Arial" w:cs="Arial"/>
                <w:color w:val="000000" w:themeColor="text1"/>
                <w:sz w:val="20"/>
                <w:szCs w:val="20"/>
              </w:rPr>
              <w:t>6.</w:t>
            </w:r>
            <w:r w:rsidR="008D3E12">
              <w:rPr>
                <w:rFonts w:ascii="Arial" w:hAnsi="Arial" w:cs="Arial"/>
                <w:color w:val="000000" w:themeColor="text1"/>
                <w:sz w:val="20"/>
                <w:szCs w:val="20"/>
              </w:rPr>
              <w:t> </w:t>
            </w:r>
            <w:r w:rsidR="008D3E12" w:rsidRPr="008D3E12">
              <w:rPr>
                <w:rFonts w:ascii="Arial" w:hAnsi="Arial" w:cs="Arial"/>
                <w:color w:val="000000" w:themeColor="text1"/>
                <w:sz w:val="20"/>
                <w:szCs w:val="20"/>
              </w:rPr>
              <w:t>točka četrtega odstavka 90.</w:t>
            </w:r>
            <w:r w:rsidR="00406B16">
              <w:rPr>
                <w:rFonts w:ascii="Arial" w:hAnsi="Arial" w:cs="Arial"/>
                <w:color w:val="000000" w:themeColor="text1"/>
                <w:sz w:val="20"/>
                <w:szCs w:val="20"/>
              </w:rPr>
              <w:t> </w:t>
            </w:r>
            <w:r w:rsidR="008D3E12" w:rsidRPr="008D3E12">
              <w:rPr>
                <w:rFonts w:ascii="Arial" w:hAnsi="Arial" w:cs="Arial"/>
                <w:color w:val="000000" w:themeColor="text1"/>
                <w:sz w:val="20"/>
                <w:szCs w:val="20"/>
              </w:rPr>
              <w:t>člena zakona</w:t>
            </w:r>
            <w:r w:rsidR="008D3E12">
              <w:rPr>
                <w:rFonts w:ascii="Arial" w:hAnsi="Arial" w:cs="Arial"/>
                <w:color w:val="000000" w:themeColor="text1"/>
                <w:sz w:val="20"/>
                <w:szCs w:val="20"/>
              </w:rPr>
              <w:t xml:space="preserve"> ne uporablja.</w:t>
            </w:r>
          </w:p>
          <w:p w14:paraId="63881B8D" w14:textId="7795CFDE" w:rsidR="001C00B0" w:rsidRDefault="001C00B0" w:rsidP="004F2DCB">
            <w:pPr>
              <w:spacing w:after="0" w:line="276" w:lineRule="auto"/>
              <w:jc w:val="both"/>
              <w:rPr>
                <w:rFonts w:ascii="Arial" w:hAnsi="Arial" w:cs="Arial"/>
                <w:color w:val="000000" w:themeColor="text1"/>
                <w:sz w:val="20"/>
                <w:szCs w:val="20"/>
              </w:rPr>
            </w:pPr>
          </w:p>
          <w:p w14:paraId="72491C04" w14:textId="19E6C227" w:rsidR="00A03167" w:rsidRPr="00155918" w:rsidRDefault="00A03167" w:rsidP="00B90497">
            <w:pPr>
              <w:pStyle w:val="Odstavekseznama"/>
              <w:numPr>
                <w:ilvl w:val="0"/>
                <w:numId w:val="28"/>
              </w:numPr>
              <w:spacing w:line="276" w:lineRule="auto"/>
              <w:contextualSpacing/>
              <w:jc w:val="both"/>
              <w:rPr>
                <w:rFonts w:ascii="Arial" w:eastAsia="Calibri" w:hAnsi="Arial" w:cs="Arial"/>
                <w:b/>
                <w:sz w:val="20"/>
                <w:szCs w:val="20"/>
              </w:rPr>
            </w:pPr>
          </w:p>
          <w:p w14:paraId="4C0E57E9" w14:textId="23FF8AF9" w:rsidR="00057BA1" w:rsidRDefault="00057BA1" w:rsidP="00057BA1">
            <w:pPr>
              <w:spacing w:line="276" w:lineRule="auto"/>
              <w:contextualSpacing/>
              <w:jc w:val="both"/>
              <w:rPr>
                <w:rFonts w:ascii="Arial" w:eastAsia="Calibri" w:hAnsi="Arial" w:cs="Arial"/>
                <w:sz w:val="20"/>
                <w:szCs w:val="20"/>
              </w:rPr>
            </w:pPr>
            <w:r w:rsidRPr="00057BA1">
              <w:rPr>
                <w:rFonts w:ascii="Arial" w:eastAsia="Calibri" w:hAnsi="Arial" w:cs="Arial"/>
                <w:sz w:val="20"/>
                <w:szCs w:val="20"/>
              </w:rPr>
              <w:t>Z novim šestim odstavkom 101.</w:t>
            </w:r>
            <w:r w:rsidR="00FF70E1">
              <w:rPr>
                <w:rFonts w:ascii="Arial" w:eastAsia="Calibri" w:hAnsi="Arial" w:cs="Arial"/>
                <w:sz w:val="20"/>
                <w:szCs w:val="20"/>
              </w:rPr>
              <w:t> </w:t>
            </w:r>
            <w:r w:rsidRPr="00057BA1">
              <w:rPr>
                <w:rFonts w:ascii="Arial" w:eastAsia="Calibri" w:hAnsi="Arial" w:cs="Arial"/>
                <w:sz w:val="20"/>
                <w:szCs w:val="20"/>
              </w:rPr>
              <w:t>člena ZDoh-2 se – zaradi večje jasnosti in odpravi kakršnih koli dvomov o tem</w:t>
            </w:r>
            <w:r w:rsidR="00FF70E1">
              <w:rPr>
                <w:rFonts w:ascii="Arial" w:eastAsia="Calibri" w:hAnsi="Arial" w:cs="Arial"/>
                <w:sz w:val="20"/>
                <w:szCs w:val="20"/>
              </w:rPr>
              <w:t>,</w:t>
            </w:r>
            <w:r w:rsidRPr="00057BA1">
              <w:rPr>
                <w:rFonts w:ascii="Arial" w:eastAsia="Calibri" w:hAnsi="Arial" w:cs="Arial"/>
                <w:sz w:val="20"/>
                <w:szCs w:val="20"/>
              </w:rPr>
              <w:t xml:space="preserve"> kateri datum šteje za čas pridobitve v okviru povečanja osnovnega kapitala iz sredstev družbe povečanega deleža oziroma osnovnega vložka družbenika, ki jih poraja novejša in nasprotujoča si sodna praksa (kar je podrobneje opisano v 1. točki gradiva predloga zakona </w:t>
            </w:r>
            <w:r w:rsidR="00FF70E1">
              <w:rPr>
                <w:rFonts w:ascii="Arial" w:eastAsia="Calibri" w:hAnsi="Arial" w:cs="Arial"/>
                <w:sz w:val="20"/>
                <w:szCs w:val="20"/>
              </w:rPr>
              <w:t>–</w:t>
            </w:r>
            <w:r w:rsidRPr="00057BA1">
              <w:rPr>
                <w:rFonts w:ascii="Arial" w:eastAsia="Calibri" w:hAnsi="Arial" w:cs="Arial"/>
                <w:sz w:val="20"/>
                <w:szCs w:val="20"/>
              </w:rPr>
              <w:t xml:space="preserve"> Ocena stanja in razlogi za sprejem predloga zakona) – posebej določa čas pridobitve kapitala ali dela kapitala (delnic ali deležev) v primerih, ko je bil osnovni kapital povečan iz sredstev družbe. Navedeno pomeni, da se v teh primerih čas pridobitve kapitala ne bo več določal v skladu s splošnimi pravili iz prvega odstavka 101.</w:t>
            </w:r>
            <w:r w:rsidR="00FF70E1">
              <w:rPr>
                <w:rFonts w:ascii="Arial" w:eastAsia="Calibri" w:hAnsi="Arial" w:cs="Arial"/>
                <w:sz w:val="20"/>
                <w:szCs w:val="20"/>
              </w:rPr>
              <w:t> </w:t>
            </w:r>
            <w:r w:rsidRPr="00057BA1">
              <w:rPr>
                <w:rFonts w:ascii="Arial" w:eastAsia="Calibri" w:hAnsi="Arial" w:cs="Arial"/>
                <w:sz w:val="20"/>
                <w:szCs w:val="20"/>
              </w:rPr>
              <w:t>člena ZDoh-2, temveč v skladu s posebnim pravilom iz novega šestega odstavka 101.</w:t>
            </w:r>
            <w:r w:rsidR="00FF70E1">
              <w:rPr>
                <w:rFonts w:ascii="Arial" w:eastAsia="Calibri" w:hAnsi="Arial" w:cs="Arial"/>
                <w:sz w:val="20"/>
                <w:szCs w:val="20"/>
              </w:rPr>
              <w:t> </w:t>
            </w:r>
            <w:r w:rsidRPr="00057BA1">
              <w:rPr>
                <w:rFonts w:ascii="Arial" w:eastAsia="Calibri" w:hAnsi="Arial" w:cs="Arial"/>
                <w:sz w:val="20"/>
                <w:szCs w:val="20"/>
              </w:rPr>
              <w:t>člena ZDoh-1. Besedilo novega</w:t>
            </w:r>
            <w:r w:rsidR="00137D9C">
              <w:rPr>
                <w:rFonts w:ascii="Arial" w:eastAsia="Calibri" w:hAnsi="Arial" w:cs="Arial"/>
                <w:sz w:val="20"/>
                <w:szCs w:val="20"/>
              </w:rPr>
              <w:t xml:space="preserve"> </w:t>
            </w:r>
            <w:r w:rsidRPr="00057BA1">
              <w:rPr>
                <w:rFonts w:ascii="Arial" w:eastAsia="Calibri" w:hAnsi="Arial" w:cs="Arial"/>
                <w:sz w:val="20"/>
                <w:szCs w:val="20"/>
              </w:rPr>
              <w:t>šestega odstavka sledi besedilu četrtega odstavka 98.</w:t>
            </w:r>
            <w:r w:rsidR="00FF70E1">
              <w:rPr>
                <w:rFonts w:ascii="Arial" w:eastAsia="Calibri" w:hAnsi="Arial" w:cs="Arial"/>
                <w:sz w:val="20"/>
                <w:szCs w:val="20"/>
              </w:rPr>
              <w:t> </w:t>
            </w:r>
            <w:r w:rsidRPr="00057BA1">
              <w:rPr>
                <w:rFonts w:ascii="Arial" w:eastAsia="Calibri" w:hAnsi="Arial" w:cs="Arial"/>
                <w:sz w:val="20"/>
                <w:szCs w:val="20"/>
              </w:rPr>
              <w:t>člena ZDoh-2, v katerem je opredeljena nabavna vrednost delnice ali povečanega deleža oziroma osnovnega vložka, pridobljenega pri povečanju osnovnega kapitala iz sredstev družbe.</w:t>
            </w:r>
          </w:p>
          <w:p w14:paraId="08AF4C91" w14:textId="77777777" w:rsidR="00057BA1" w:rsidRPr="00057BA1" w:rsidRDefault="00057BA1" w:rsidP="00057BA1">
            <w:pPr>
              <w:spacing w:line="276" w:lineRule="auto"/>
              <w:contextualSpacing/>
              <w:jc w:val="both"/>
              <w:rPr>
                <w:rFonts w:ascii="Arial" w:eastAsia="Calibri" w:hAnsi="Arial" w:cs="Arial"/>
                <w:sz w:val="20"/>
                <w:szCs w:val="20"/>
              </w:rPr>
            </w:pPr>
          </w:p>
          <w:p w14:paraId="5D4F73B6" w14:textId="1D833F90" w:rsidR="00057BA1" w:rsidRDefault="00057BA1" w:rsidP="00057BA1">
            <w:pPr>
              <w:spacing w:line="276" w:lineRule="auto"/>
              <w:contextualSpacing/>
              <w:jc w:val="both"/>
              <w:rPr>
                <w:rFonts w:ascii="Arial" w:eastAsia="Calibri" w:hAnsi="Arial" w:cs="Arial"/>
                <w:sz w:val="20"/>
                <w:szCs w:val="20"/>
              </w:rPr>
            </w:pPr>
            <w:r w:rsidRPr="00057BA1">
              <w:rPr>
                <w:rFonts w:ascii="Arial" w:eastAsia="Calibri" w:hAnsi="Arial" w:cs="Arial"/>
                <w:sz w:val="20"/>
                <w:szCs w:val="20"/>
              </w:rPr>
              <w:t xml:space="preserve">Čas pridobitve se v primerih, ko je bil osnovni kapital povečan iz sredstev družbe, opredeljuje podobno kot v primerih, ko je bil osnovni kapital povečan z vložki delničarjev/družbenikov. Po splošnih pravilih </w:t>
            </w:r>
            <w:r w:rsidRPr="00057BA1">
              <w:rPr>
                <w:rFonts w:ascii="Arial" w:eastAsia="Calibri" w:hAnsi="Arial" w:cs="Arial"/>
                <w:sz w:val="20"/>
                <w:szCs w:val="20"/>
              </w:rPr>
              <w:lastRenderedPageBreak/>
              <w:t>iz prvega odstavka 101.</w:t>
            </w:r>
            <w:r w:rsidR="00FF70E1">
              <w:rPr>
                <w:rFonts w:ascii="Arial" w:eastAsia="Calibri" w:hAnsi="Arial" w:cs="Arial"/>
                <w:sz w:val="20"/>
                <w:szCs w:val="20"/>
              </w:rPr>
              <w:t> </w:t>
            </w:r>
            <w:r w:rsidRPr="00057BA1">
              <w:rPr>
                <w:rFonts w:ascii="Arial" w:eastAsia="Calibri" w:hAnsi="Arial" w:cs="Arial"/>
                <w:sz w:val="20"/>
                <w:szCs w:val="20"/>
              </w:rPr>
              <w:t>člena ZDoh-2 se v primerih, kadar so dosedanji delničarji oziroma družbeniki pridobili delnice oziroma deleže pri povečanju osnovnega kapitala z njihovimi vložki, za čas pridobitve tako pridobljenih delnic ali deležev šteje datum sklepa organa o povečanju osnovnega kapitala z vložki, kar v primerih, ko je vpis takega sklepa v register konstitutivne narave (kot praviloma izhaja iz določb ZGD-1), pomeni datum vpisa sklepa o povečanju osnovnega kapitala z vložki v register.</w:t>
            </w:r>
          </w:p>
          <w:p w14:paraId="0176C510" w14:textId="77777777" w:rsidR="00057BA1" w:rsidRPr="00057BA1" w:rsidRDefault="00057BA1" w:rsidP="00057BA1">
            <w:pPr>
              <w:spacing w:line="276" w:lineRule="auto"/>
              <w:contextualSpacing/>
              <w:jc w:val="both"/>
              <w:rPr>
                <w:rFonts w:ascii="Arial" w:eastAsia="Calibri" w:hAnsi="Arial" w:cs="Arial"/>
                <w:sz w:val="20"/>
                <w:szCs w:val="20"/>
              </w:rPr>
            </w:pPr>
          </w:p>
          <w:p w14:paraId="4C1706CD" w14:textId="3F4FD69D" w:rsidR="00057BA1" w:rsidRPr="00057BA1" w:rsidRDefault="00057BA1" w:rsidP="00057BA1">
            <w:pPr>
              <w:spacing w:line="276" w:lineRule="auto"/>
              <w:contextualSpacing/>
              <w:jc w:val="both"/>
              <w:rPr>
                <w:rFonts w:ascii="Arial" w:eastAsia="Calibri" w:hAnsi="Arial" w:cs="Arial"/>
                <w:sz w:val="20"/>
                <w:szCs w:val="20"/>
              </w:rPr>
            </w:pPr>
            <w:r w:rsidRPr="00057BA1">
              <w:rPr>
                <w:rFonts w:ascii="Arial" w:eastAsia="Calibri" w:hAnsi="Arial" w:cs="Arial"/>
                <w:sz w:val="20"/>
                <w:szCs w:val="20"/>
              </w:rPr>
              <w:t>Podobno se z novim šestim odstavkom določa, da se v primeru, kadar je zavezanec pridobil delnico ali povečani delež oziroma osnovni vložek pri povečanju osnovnega kapitala iz sredstev družbe, za čas pridobitve tako pridobljene delnice ali pridobljenega povečanega deleža oziroma osnovnega vložka šteje datum sklepa o povečanju osnovnega kapitala. Določba terminološko sledi vsebini 102.</w:t>
            </w:r>
            <w:r w:rsidR="00FF70E1">
              <w:rPr>
                <w:rFonts w:ascii="Arial" w:eastAsia="Calibri" w:hAnsi="Arial" w:cs="Arial"/>
                <w:sz w:val="20"/>
                <w:szCs w:val="20"/>
              </w:rPr>
              <w:t> </w:t>
            </w:r>
            <w:r w:rsidRPr="00057BA1">
              <w:rPr>
                <w:rFonts w:ascii="Arial" w:eastAsia="Calibri" w:hAnsi="Arial" w:cs="Arial"/>
                <w:sz w:val="20"/>
                <w:szCs w:val="20"/>
              </w:rPr>
              <w:t>člena ZDoh-2, ki opredeljuje čas odsvojitve kapitala, med drugim tudi čas odsvojitve v primeru zmanjšanja osnovnega kapitala. Navedeno pomeni, da se z novim šestim odstavkom jasno določa, da se za čas pridobitve v primerih, kadar so dosedanji delničarji oziroma družbeniki pridobili delnice oziroma deleže pri povečanju osnovnega kapitala iz sredstev družbe, za čas pridobitve tako pridobljenih delnic ali deležev šteje datum sklepa organa o povečanju osnovnega kapitala iz sredstev družbe, kar v primerih, ko je vpis takega sklep</w:t>
            </w:r>
            <w:r w:rsidR="00C26F25">
              <w:rPr>
                <w:rFonts w:ascii="Arial" w:eastAsia="Calibri" w:hAnsi="Arial" w:cs="Arial"/>
                <w:sz w:val="20"/>
                <w:szCs w:val="20"/>
              </w:rPr>
              <w:t>a</w:t>
            </w:r>
            <w:r w:rsidRPr="00057BA1">
              <w:rPr>
                <w:rFonts w:ascii="Arial" w:eastAsia="Calibri" w:hAnsi="Arial" w:cs="Arial"/>
                <w:sz w:val="20"/>
                <w:szCs w:val="20"/>
              </w:rPr>
              <w:t xml:space="preserve"> v register konstitutivne narave (kot praviloma izhaja iz določb ZGD-1), pomeni datum vpisa sklepa o povečanju osnovnega kapitala iz sredstev družbe v register.</w:t>
            </w:r>
          </w:p>
          <w:p w14:paraId="5CDAEFA7" w14:textId="77777777" w:rsidR="00BD041E" w:rsidRPr="00057BA1" w:rsidRDefault="00BD041E" w:rsidP="00057BA1">
            <w:pPr>
              <w:spacing w:line="276" w:lineRule="auto"/>
              <w:contextualSpacing/>
              <w:jc w:val="both"/>
              <w:rPr>
                <w:rFonts w:ascii="Arial" w:eastAsia="Calibri" w:hAnsi="Arial" w:cs="Arial"/>
                <w:sz w:val="20"/>
                <w:szCs w:val="20"/>
              </w:rPr>
            </w:pPr>
          </w:p>
          <w:p w14:paraId="7AE8C4B8" w14:textId="770F3E65" w:rsidR="00057BA1" w:rsidRDefault="00057BA1">
            <w:pPr>
              <w:spacing w:after="0" w:line="276" w:lineRule="auto"/>
              <w:contextualSpacing/>
              <w:jc w:val="both"/>
              <w:rPr>
                <w:rFonts w:ascii="Arial" w:eastAsia="Calibri" w:hAnsi="Arial" w:cs="Arial"/>
                <w:sz w:val="20"/>
                <w:szCs w:val="20"/>
              </w:rPr>
            </w:pPr>
            <w:r w:rsidRPr="00057BA1">
              <w:rPr>
                <w:rFonts w:ascii="Arial" w:eastAsia="Calibri" w:hAnsi="Arial" w:cs="Arial"/>
                <w:sz w:val="20"/>
                <w:szCs w:val="20"/>
              </w:rPr>
              <w:t>Z novim šestim odstavkom 101.</w:t>
            </w:r>
            <w:r w:rsidR="00FF70E1">
              <w:rPr>
                <w:rFonts w:ascii="Arial" w:eastAsia="Calibri" w:hAnsi="Arial" w:cs="Arial"/>
                <w:sz w:val="20"/>
                <w:szCs w:val="20"/>
              </w:rPr>
              <w:t> </w:t>
            </w:r>
            <w:r w:rsidRPr="00057BA1">
              <w:rPr>
                <w:rFonts w:ascii="Arial" w:eastAsia="Calibri" w:hAnsi="Arial" w:cs="Arial"/>
                <w:sz w:val="20"/>
                <w:szCs w:val="20"/>
              </w:rPr>
              <w:t>člena ZDoh-2 se tako posredno tudi jasneje določa, da se vsako povečanje osnovnega kapitala iz sredstev družbe, podobno kot v primeru povečanja osnovnega kapitala z vložki družbenikov, za namene obdavčevanja z dohodnino šteje kot samostojna (tj.</w:t>
            </w:r>
            <w:r w:rsidR="00FF70E1">
              <w:rPr>
                <w:rFonts w:ascii="Arial" w:eastAsia="Calibri" w:hAnsi="Arial" w:cs="Arial"/>
                <w:sz w:val="20"/>
                <w:szCs w:val="20"/>
              </w:rPr>
              <w:t> </w:t>
            </w:r>
            <w:r w:rsidRPr="00057BA1">
              <w:rPr>
                <w:rFonts w:ascii="Arial" w:eastAsia="Calibri" w:hAnsi="Arial" w:cs="Arial"/>
                <w:sz w:val="20"/>
                <w:szCs w:val="20"/>
              </w:rPr>
              <w:t>ločena oziroma nova) pridobitev kapitala delničarjev/družbenikov. To pomeni, da se tudi v primeru, ko se pri povečanju osnovnega kapitala družbe z omejeno odgovornostjo iz sredstev take družbe osnovni vložki dosedanjih družbenikov povečajo v sorazmerju z njihovimi poslovnimi deleži v dosedanjem osnovnem kapitalu (peti odstavek 517.</w:t>
            </w:r>
            <w:r w:rsidR="00FF70E1">
              <w:rPr>
                <w:rFonts w:ascii="Arial" w:eastAsia="Calibri" w:hAnsi="Arial" w:cs="Arial"/>
                <w:sz w:val="20"/>
                <w:szCs w:val="20"/>
              </w:rPr>
              <w:t> </w:t>
            </w:r>
            <w:r w:rsidRPr="00057BA1">
              <w:rPr>
                <w:rFonts w:ascii="Arial" w:eastAsia="Calibri" w:hAnsi="Arial" w:cs="Arial"/>
                <w:sz w:val="20"/>
                <w:szCs w:val="20"/>
              </w:rPr>
              <w:t>člena ZGD-1), tako povečanje za namene obdavčevanja z dohodnino šteje za samostojno (tj.</w:t>
            </w:r>
            <w:r w:rsidR="00FF70E1">
              <w:rPr>
                <w:rFonts w:ascii="Arial" w:eastAsia="Calibri" w:hAnsi="Arial" w:cs="Arial"/>
                <w:sz w:val="20"/>
                <w:szCs w:val="20"/>
              </w:rPr>
              <w:t> </w:t>
            </w:r>
            <w:r w:rsidRPr="00057BA1">
              <w:rPr>
                <w:rFonts w:ascii="Arial" w:eastAsia="Calibri" w:hAnsi="Arial" w:cs="Arial"/>
                <w:sz w:val="20"/>
                <w:szCs w:val="20"/>
              </w:rPr>
              <w:t>ločeno oziroma novo) pridobitev istovrstnega kapitala družbenikov (tj.</w:t>
            </w:r>
            <w:r w:rsidR="00FF70E1">
              <w:rPr>
                <w:rFonts w:ascii="Arial" w:eastAsia="Calibri" w:hAnsi="Arial" w:cs="Arial"/>
                <w:sz w:val="20"/>
                <w:szCs w:val="20"/>
              </w:rPr>
              <w:t> </w:t>
            </w:r>
            <w:r w:rsidRPr="00057BA1">
              <w:rPr>
                <w:rFonts w:ascii="Arial" w:eastAsia="Calibri" w:hAnsi="Arial" w:cs="Arial"/>
                <w:sz w:val="20"/>
                <w:szCs w:val="20"/>
              </w:rPr>
              <w:t>deležev družbenikov v družbi), v zvezi s katerim se vodi evidenca zalog kapitala po metodi zaporednih cen (FIFO).</w:t>
            </w:r>
          </w:p>
          <w:p w14:paraId="2067C86D" w14:textId="1C05173B" w:rsidR="00BD041E" w:rsidRDefault="00BD041E">
            <w:pPr>
              <w:spacing w:after="0" w:line="276" w:lineRule="auto"/>
              <w:contextualSpacing/>
              <w:jc w:val="both"/>
              <w:rPr>
                <w:rFonts w:ascii="Arial" w:eastAsia="Calibri" w:hAnsi="Arial" w:cs="Arial"/>
                <w:sz w:val="20"/>
                <w:szCs w:val="20"/>
              </w:rPr>
            </w:pPr>
          </w:p>
          <w:p w14:paraId="7023595B" w14:textId="32D86F10" w:rsidR="00057BA1" w:rsidRPr="00B90497" w:rsidRDefault="00057BA1" w:rsidP="00B41130">
            <w:pPr>
              <w:pStyle w:val="Odstavekseznama"/>
              <w:numPr>
                <w:ilvl w:val="0"/>
                <w:numId w:val="28"/>
              </w:numPr>
              <w:spacing w:line="276" w:lineRule="auto"/>
              <w:contextualSpacing/>
              <w:jc w:val="both"/>
              <w:rPr>
                <w:rFonts w:ascii="Arial" w:eastAsia="Calibri" w:hAnsi="Arial" w:cs="Arial"/>
                <w:b/>
                <w:sz w:val="20"/>
                <w:szCs w:val="20"/>
                <w:lang w:eastAsia="en-US"/>
              </w:rPr>
            </w:pPr>
          </w:p>
          <w:p w14:paraId="11F19879" w14:textId="08269454" w:rsidR="00E70D82" w:rsidRDefault="00E70D82" w:rsidP="00E70D82">
            <w:pPr>
              <w:spacing w:after="0" w:line="276" w:lineRule="auto"/>
              <w:contextualSpacing/>
              <w:jc w:val="both"/>
              <w:rPr>
                <w:rFonts w:ascii="Arial" w:eastAsia="Calibri" w:hAnsi="Arial" w:cs="Arial"/>
                <w:sz w:val="20"/>
                <w:szCs w:val="20"/>
              </w:rPr>
            </w:pPr>
            <w:r>
              <w:rPr>
                <w:rFonts w:ascii="Arial" w:eastAsia="Calibri" w:hAnsi="Arial" w:cs="Arial"/>
                <w:sz w:val="20"/>
                <w:szCs w:val="20"/>
              </w:rPr>
              <w:t>S spremembo prvega odstavka 109.</w:t>
            </w:r>
            <w:r w:rsidR="00FF70E1">
              <w:rPr>
                <w:rFonts w:ascii="Arial" w:eastAsia="Calibri" w:hAnsi="Arial" w:cs="Arial"/>
                <w:sz w:val="20"/>
                <w:szCs w:val="20"/>
              </w:rPr>
              <w:t> </w:t>
            </w:r>
            <w:r>
              <w:rPr>
                <w:rFonts w:ascii="Arial" w:eastAsia="Calibri" w:hAnsi="Arial" w:cs="Arial"/>
                <w:sz w:val="20"/>
                <w:szCs w:val="20"/>
              </w:rPr>
              <w:t xml:space="preserve">člena ZDoh-2 se odpravlja možnost, da se </w:t>
            </w:r>
            <w:r w:rsidRPr="00E70D82">
              <w:rPr>
                <w:rFonts w:ascii="Arial" w:eastAsia="Calibri" w:hAnsi="Arial" w:cs="Arial"/>
                <w:sz w:val="20"/>
                <w:szCs w:val="20"/>
              </w:rPr>
              <w:t>zavezan</w:t>
            </w:r>
            <w:r>
              <w:rPr>
                <w:rFonts w:ascii="Arial" w:eastAsia="Calibri" w:hAnsi="Arial" w:cs="Arial"/>
                <w:sz w:val="20"/>
                <w:szCs w:val="20"/>
              </w:rPr>
              <w:t>e</w:t>
            </w:r>
            <w:r w:rsidRPr="00E70D82">
              <w:rPr>
                <w:rFonts w:ascii="Arial" w:eastAsia="Calibri" w:hAnsi="Arial" w:cs="Arial"/>
                <w:sz w:val="20"/>
                <w:szCs w:val="20"/>
              </w:rPr>
              <w:t xml:space="preserve">c, ki dosega dohodke iz kapitala in dohodke iz oddajanja premoženja v najem, </w:t>
            </w:r>
            <w:r>
              <w:rPr>
                <w:rFonts w:ascii="Arial" w:eastAsia="Calibri" w:hAnsi="Arial" w:cs="Arial"/>
                <w:sz w:val="20"/>
                <w:szCs w:val="20"/>
              </w:rPr>
              <w:t xml:space="preserve">odloči, </w:t>
            </w:r>
            <w:r w:rsidRPr="00E70D82">
              <w:rPr>
                <w:rFonts w:ascii="Arial" w:eastAsia="Calibri" w:hAnsi="Arial" w:cs="Arial"/>
                <w:sz w:val="20"/>
                <w:szCs w:val="20"/>
              </w:rPr>
              <w:t xml:space="preserve">da se </w:t>
            </w:r>
            <w:r>
              <w:rPr>
                <w:rFonts w:ascii="Arial" w:eastAsia="Calibri" w:hAnsi="Arial" w:cs="Arial"/>
                <w:sz w:val="20"/>
                <w:szCs w:val="20"/>
              </w:rPr>
              <w:t xml:space="preserve">ta </w:t>
            </w:r>
            <w:r w:rsidRPr="00E70D82">
              <w:rPr>
                <w:rFonts w:ascii="Arial" w:eastAsia="Calibri" w:hAnsi="Arial" w:cs="Arial"/>
                <w:sz w:val="20"/>
                <w:szCs w:val="20"/>
              </w:rPr>
              <w:t>dohodek všteva v letno davčno osnovo</w:t>
            </w:r>
            <w:r>
              <w:rPr>
                <w:rFonts w:ascii="Arial" w:eastAsia="Calibri" w:hAnsi="Arial" w:cs="Arial"/>
                <w:sz w:val="20"/>
                <w:szCs w:val="20"/>
              </w:rPr>
              <w:t>.</w:t>
            </w:r>
          </w:p>
          <w:p w14:paraId="52937068" w14:textId="77777777" w:rsidR="00E70D82" w:rsidRDefault="00E70D82" w:rsidP="00E70D82">
            <w:pPr>
              <w:spacing w:after="0" w:line="276" w:lineRule="auto"/>
              <w:contextualSpacing/>
              <w:jc w:val="both"/>
              <w:rPr>
                <w:rFonts w:ascii="Arial" w:eastAsia="Calibri" w:hAnsi="Arial" w:cs="Arial"/>
                <w:sz w:val="20"/>
                <w:szCs w:val="20"/>
              </w:rPr>
            </w:pPr>
          </w:p>
          <w:p w14:paraId="3243955D" w14:textId="35670B40" w:rsidR="00996A7F" w:rsidRDefault="00053D08" w:rsidP="004F2DCB">
            <w:pPr>
              <w:spacing w:after="0" w:line="276" w:lineRule="auto"/>
              <w:contextualSpacing/>
              <w:jc w:val="both"/>
              <w:rPr>
                <w:rFonts w:ascii="Arial" w:hAnsi="Arial" w:cs="Arial"/>
                <w:sz w:val="20"/>
                <w:szCs w:val="20"/>
              </w:rPr>
            </w:pPr>
            <w:r>
              <w:rPr>
                <w:rFonts w:ascii="Arial" w:eastAsia="Calibri" w:hAnsi="Arial" w:cs="Arial"/>
                <w:sz w:val="20"/>
                <w:szCs w:val="20"/>
              </w:rPr>
              <w:t xml:space="preserve">Sedmi odstavek </w:t>
            </w:r>
            <w:r w:rsidR="00BD6A3B">
              <w:rPr>
                <w:rFonts w:ascii="Arial" w:eastAsia="Calibri" w:hAnsi="Arial" w:cs="Arial"/>
                <w:sz w:val="20"/>
                <w:szCs w:val="20"/>
              </w:rPr>
              <w:t>109.</w:t>
            </w:r>
            <w:r w:rsidR="00FF70E1">
              <w:rPr>
                <w:rFonts w:ascii="Arial" w:eastAsia="Calibri" w:hAnsi="Arial" w:cs="Arial"/>
                <w:sz w:val="20"/>
                <w:szCs w:val="20"/>
              </w:rPr>
              <w:t> </w:t>
            </w:r>
            <w:r w:rsidR="00BD6A3B">
              <w:rPr>
                <w:rFonts w:ascii="Arial" w:eastAsia="Calibri" w:hAnsi="Arial" w:cs="Arial"/>
                <w:sz w:val="20"/>
                <w:szCs w:val="20"/>
              </w:rPr>
              <w:t>člena ZDoh-2</w:t>
            </w:r>
            <w:r w:rsidR="00996A7F">
              <w:rPr>
                <w:rFonts w:ascii="Arial" w:eastAsia="Calibri" w:hAnsi="Arial" w:cs="Arial"/>
                <w:sz w:val="20"/>
                <w:szCs w:val="20"/>
              </w:rPr>
              <w:t xml:space="preserve"> je povezan s spremembo 12.</w:t>
            </w:r>
            <w:r w:rsidR="00FF70E1">
              <w:rPr>
                <w:rFonts w:ascii="Arial" w:eastAsia="Calibri" w:hAnsi="Arial" w:cs="Arial"/>
                <w:sz w:val="20"/>
                <w:szCs w:val="20"/>
              </w:rPr>
              <w:t> </w:t>
            </w:r>
            <w:r w:rsidR="00996A7F">
              <w:rPr>
                <w:rFonts w:ascii="Arial" w:eastAsia="Calibri" w:hAnsi="Arial" w:cs="Arial"/>
                <w:sz w:val="20"/>
                <w:szCs w:val="20"/>
              </w:rPr>
              <w:t>točke prvega odstavka 44.</w:t>
            </w:r>
            <w:r w:rsidR="00FF70E1">
              <w:rPr>
                <w:rFonts w:ascii="Arial" w:eastAsia="Calibri" w:hAnsi="Arial" w:cs="Arial"/>
                <w:sz w:val="20"/>
                <w:szCs w:val="20"/>
              </w:rPr>
              <w:t> </w:t>
            </w:r>
            <w:r w:rsidR="00996A7F">
              <w:rPr>
                <w:rFonts w:ascii="Arial" w:eastAsia="Calibri" w:hAnsi="Arial" w:cs="Arial"/>
                <w:sz w:val="20"/>
                <w:szCs w:val="20"/>
              </w:rPr>
              <w:t xml:space="preserve">člena ZDoh-2, ki spreminja določene pogoje za ugodnejšo davčno obravnavo dohodka iz naslova plačila za poslovno uspešnost, zato so potrebne tudi ustrezne prilagoditve te določbe. </w:t>
            </w:r>
            <w:r w:rsidR="00996A7F" w:rsidRPr="00375A32">
              <w:rPr>
                <w:rFonts w:ascii="Arial" w:hAnsi="Arial" w:cs="Arial"/>
                <w:sz w:val="20"/>
                <w:szCs w:val="20"/>
              </w:rPr>
              <w:t xml:space="preserve">V letno davčno osnovo se bo na podlagi </w:t>
            </w:r>
            <w:r w:rsidR="00996A7F">
              <w:rPr>
                <w:rFonts w:ascii="Arial" w:hAnsi="Arial" w:cs="Arial"/>
                <w:sz w:val="20"/>
                <w:szCs w:val="20"/>
              </w:rPr>
              <w:t>spremenjenega</w:t>
            </w:r>
            <w:r w:rsidR="00996A7F" w:rsidRPr="00375A32">
              <w:rPr>
                <w:rFonts w:ascii="Arial" w:hAnsi="Arial" w:cs="Arial"/>
                <w:sz w:val="20"/>
                <w:szCs w:val="20"/>
              </w:rPr>
              <w:t xml:space="preserve"> sedmega odstavka 109.</w:t>
            </w:r>
            <w:r w:rsidR="00FF70E1">
              <w:rPr>
                <w:rFonts w:ascii="Arial" w:hAnsi="Arial" w:cs="Arial"/>
                <w:sz w:val="20"/>
                <w:szCs w:val="20"/>
              </w:rPr>
              <w:t> </w:t>
            </w:r>
            <w:r w:rsidR="00996A7F" w:rsidRPr="00375A32">
              <w:rPr>
                <w:rFonts w:ascii="Arial" w:hAnsi="Arial" w:cs="Arial"/>
                <w:sz w:val="20"/>
                <w:szCs w:val="20"/>
              </w:rPr>
              <w:t xml:space="preserve">člena ZDoh-2 vštevala vsota dohodkov iz naslova </w:t>
            </w:r>
            <w:r w:rsidR="00996A7F">
              <w:rPr>
                <w:rFonts w:ascii="Arial" w:hAnsi="Arial" w:cs="Arial"/>
                <w:sz w:val="20"/>
                <w:szCs w:val="20"/>
              </w:rPr>
              <w:t xml:space="preserve">plačila </w:t>
            </w:r>
            <w:r w:rsidR="00996A7F" w:rsidRPr="00375A32">
              <w:rPr>
                <w:rFonts w:ascii="Arial" w:hAnsi="Arial" w:cs="Arial"/>
                <w:sz w:val="20"/>
                <w:szCs w:val="20"/>
              </w:rPr>
              <w:t>za poslovno uspešnost, ki presegajo 100</w:t>
            </w:r>
            <w:r w:rsidR="00FF70E1">
              <w:rPr>
                <w:rFonts w:ascii="Arial" w:hAnsi="Arial" w:cs="Arial"/>
                <w:sz w:val="20"/>
                <w:szCs w:val="20"/>
              </w:rPr>
              <w:t> </w:t>
            </w:r>
            <w:r w:rsidR="00996A7F" w:rsidRPr="00375A32">
              <w:rPr>
                <w:rFonts w:ascii="Arial" w:hAnsi="Arial" w:cs="Arial"/>
                <w:sz w:val="20"/>
                <w:szCs w:val="20"/>
              </w:rPr>
              <w:t xml:space="preserve">% povprečne letne plače zaposlenih v Sloveniji, preračunane na mesec, za leto, za katero se dohodnina odmerja, in sicer na primerljiv način, kot je že </w:t>
            </w:r>
            <w:r w:rsidR="00996A7F">
              <w:rPr>
                <w:rFonts w:ascii="Arial" w:hAnsi="Arial" w:cs="Arial"/>
                <w:sz w:val="20"/>
                <w:szCs w:val="20"/>
              </w:rPr>
              <w:t xml:space="preserve">veljalo v davčnih letih 2020 in 2021 ter kot velja za regres za letni </w:t>
            </w:r>
            <w:r w:rsidR="00996A7F" w:rsidRPr="00375A32">
              <w:rPr>
                <w:rFonts w:ascii="Arial" w:hAnsi="Arial" w:cs="Arial"/>
                <w:sz w:val="20"/>
                <w:szCs w:val="20"/>
              </w:rPr>
              <w:t xml:space="preserve">dopust. Letna davčna osnova od navedenih dohodkov se bo zmanjšala za prispevke za socialno varnost, ki jih mora na podlagi posebnih predpisov plačevati </w:t>
            </w:r>
            <w:r w:rsidR="00996A7F" w:rsidRPr="00804D42">
              <w:rPr>
                <w:rFonts w:ascii="Arial" w:hAnsi="Arial" w:cs="Arial"/>
                <w:sz w:val="20"/>
                <w:szCs w:val="20"/>
              </w:rPr>
              <w:t>delojemalec,</w:t>
            </w:r>
            <w:r w:rsidR="00996A7F" w:rsidRPr="00375A32">
              <w:rPr>
                <w:rFonts w:ascii="Arial" w:hAnsi="Arial" w:cs="Arial"/>
                <w:sz w:val="20"/>
                <w:szCs w:val="20"/>
              </w:rPr>
              <w:t xml:space="preserve"> glede na delež teh dohodkov, ki se vštevajo v davčno osnovo.</w:t>
            </w:r>
          </w:p>
          <w:p w14:paraId="215B5822" w14:textId="77777777" w:rsidR="00996A7F" w:rsidRPr="00375A32" w:rsidRDefault="00996A7F" w:rsidP="004F2DCB">
            <w:pPr>
              <w:spacing w:after="0" w:line="276" w:lineRule="auto"/>
              <w:contextualSpacing/>
              <w:jc w:val="both"/>
              <w:rPr>
                <w:rFonts w:ascii="Arial" w:hAnsi="Arial" w:cs="Arial"/>
                <w:sz w:val="20"/>
                <w:szCs w:val="20"/>
              </w:rPr>
            </w:pPr>
          </w:p>
          <w:p w14:paraId="65C5EDB2" w14:textId="52B6A8BE" w:rsidR="00996A7F" w:rsidRPr="00375A32" w:rsidRDefault="00996A7F" w:rsidP="004F2DCB">
            <w:pPr>
              <w:spacing w:after="0" w:line="276" w:lineRule="auto"/>
              <w:contextualSpacing/>
              <w:jc w:val="both"/>
              <w:rPr>
                <w:rFonts w:ascii="Arial" w:hAnsi="Arial" w:cs="Arial"/>
                <w:sz w:val="20"/>
                <w:szCs w:val="20"/>
              </w:rPr>
            </w:pPr>
            <w:r w:rsidRPr="00375A32">
              <w:rPr>
                <w:rFonts w:ascii="Arial" w:hAnsi="Arial" w:cs="Arial"/>
                <w:sz w:val="20"/>
                <w:szCs w:val="20"/>
              </w:rPr>
              <w:t>Podatek o povprečni letni plači zaposlenih v Sloveniji se črpa iz podatkov Statističnega urada Republike Slovenije. V vsoto dela plače za poslovno uspešnost se ne všteva posamezno izplačilo teh dohodkov, za katerega niso izpolnjeni pogoji za davčno obravnavo po 12. točki prvega odstavka 44.</w:t>
            </w:r>
            <w:r w:rsidR="00FF70E1">
              <w:rPr>
                <w:rFonts w:ascii="Arial" w:hAnsi="Arial" w:cs="Arial"/>
                <w:sz w:val="20"/>
                <w:szCs w:val="20"/>
              </w:rPr>
              <w:t> </w:t>
            </w:r>
            <w:r w:rsidRPr="00375A32">
              <w:rPr>
                <w:rFonts w:ascii="Arial" w:hAnsi="Arial" w:cs="Arial"/>
                <w:sz w:val="20"/>
                <w:szCs w:val="20"/>
              </w:rPr>
              <w:t xml:space="preserve">člena ZDoh-2. V letno davčno osnovo rezidenta se </w:t>
            </w:r>
            <w:r w:rsidR="00F2230B">
              <w:rPr>
                <w:rFonts w:ascii="Arial" w:hAnsi="Arial" w:cs="Arial"/>
                <w:sz w:val="20"/>
                <w:szCs w:val="20"/>
              </w:rPr>
              <w:t>tako vštevajo</w:t>
            </w:r>
            <w:r w:rsidRPr="00375A32">
              <w:rPr>
                <w:rFonts w:ascii="Arial" w:hAnsi="Arial" w:cs="Arial"/>
                <w:sz w:val="20"/>
                <w:szCs w:val="20"/>
              </w:rPr>
              <w:t xml:space="preserve"> samo dohodki, ki izpolnjujejo pogoje iz 12.</w:t>
            </w:r>
            <w:r w:rsidR="00F2230B">
              <w:rPr>
                <w:rFonts w:ascii="Arial" w:hAnsi="Arial" w:cs="Arial"/>
                <w:sz w:val="20"/>
                <w:szCs w:val="20"/>
              </w:rPr>
              <w:t> </w:t>
            </w:r>
            <w:r w:rsidRPr="00375A32">
              <w:rPr>
                <w:rFonts w:ascii="Arial" w:hAnsi="Arial" w:cs="Arial"/>
                <w:sz w:val="20"/>
                <w:szCs w:val="20"/>
              </w:rPr>
              <w:t>točke prvega odstavka 44.</w:t>
            </w:r>
            <w:r w:rsidR="00F2230B">
              <w:rPr>
                <w:rFonts w:ascii="Arial" w:hAnsi="Arial" w:cs="Arial"/>
                <w:sz w:val="20"/>
                <w:szCs w:val="20"/>
              </w:rPr>
              <w:t> </w:t>
            </w:r>
            <w:r w:rsidRPr="00375A32">
              <w:rPr>
                <w:rFonts w:ascii="Arial" w:hAnsi="Arial" w:cs="Arial"/>
                <w:sz w:val="20"/>
                <w:szCs w:val="20"/>
              </w:rPr>
              <w:t>člena ZDoh</w:t>
            </w:r>
            <w:r w:rsidR="00784932">
              <w:rPr>
                <w:rFonts w:ascii="Arial" w:hAnsi="Arial" w:cs="Arial"/>
                <w:sz w:val="20"/>
                <w:szCs w:val="20"/>
              </w:rPr>
              <w:t>.</w:t>
            </w:r>
          </w:p>
          <w:p w14:paraId="3F92A7AE" w14:textId="7837A708" w:rsidR="00BD6A3B" w:rsidRDefault="00BD6A3B" w:rsidP="004F2DCB">
            <w:pPr>
              <w:spacing w:after="0" w:line="276" w:lineRule="auto"/>
              <w:contextualSpacing/>
              <w:jc w:val="both"/>
              <w:rPr>
                <w:rFonts w:ascii="Arial" w:eastAsia="Calibri" w:hAnsi="Arial" w:cs="Arial"/>
                <w:sz w:val="20"/>
                <w:szCs w:val="20"/>
              </w:rPr>
            </w:pPr>
          </w:p>
          <w:p w14:paraId="0A0FE288" w14:textId="4AA37C1A" w:rsidR="00BD6A3B" w:rsidRPr="00BD6A3B" w:rsidRDefault="00BD6A3B" w:rsidP="00076F4A">
            <w:pPr>
              <w:pStyle w:val="Odstavekseznama"/>
              <w:numPr>
                <w:ilvl w:val="0"/>
                <w:numId w:val="28"/>
              </w:numPr>
              <w:spacing w:line="276" w:lineRule="auto"/>
              <w:contextualSpacing/>
              <w:jc w:val="both"/>
              <w:rPr>
                <w:rFonts w:ascii="Arial" w:eastAsia="Calibri" w:hAnsi="Arial" w:cs="Arial"/>
                <w:b/>
                <w:bCs/>
                <w:sz w:val="20"/>
                <w:szCs w:val="20"/>
              </w:rPr>
            </w:pPr>
            <w:r w:rsidRPr="00473E95">
              <w:rPr>
                <w:rFonts w:ascii="Arial" w:eastAsia="Calibri" w:hAnsi="Arial" w:cs="Arial"/>
                <w:b/>
                <w:bCs/>
                <w:sz w:val="20"/>
                <w:szCs w:val="20"/>
              </w:rPr>
              <w:lastRenderedPageBreak/>
              <w:t xml:space="preserve"> </w:t>
            </w:r>
          </w:p>
          <w:p w14:paraId="430AEA67" w14:textId="2A775346" w:rsidR="00E64E8F" w:rsidRDefault="00BD6A3B" w:rsidP="004F2DCB">
            <w:pPr>
              <w:spacing w:after="0" w:line="276" w:lineRule="auto"/>
              <w:contextualSpacing/>
              <w:jc w:val="both"/>
              <w:rPr>
                <w:rFonts w:ascii="Arial" w:eastAsia="Calibri" w:hAnsi="Arial" w:cs="Arial"/>
                <w:sz w:val="20"/>
                <w:szCs w:val="20"/>
              </w:rPr>
            </w:pPr>
            <w:r>
              <w:rPr>
                <w:rFonts w:ascii="Arial" w:eastAsia="Calibri" w:hAnsi="Arial" w:cs="Arial"/>
                <w:sz w:val="20"/>
                <w:szCs w:val="20"/>
              </w:rPr>
              <w:t>Sprememb</w:t>
            </w:r>
            <w:r w:rsidR="00B110A2">
              <w:rPr>
                <w:rFonts w:ascii="Arial" w:eastAsia="Calibri" w:hAnsi="Arial" w:cs="Arial"/>
                <w:sz w:val="20"/>
                <w:szCs w:val="20"/>
              </w:rPr>
              <w:t>a</w:t>
            </w:r>
            <w:r>
              <w:rPr>
                <w:rFonts w:ascii="Arial" w:eastAsia="Calibri" w:hAnsi="Arial" w:cs="Arial"/>
                <w:sz w:val="20"/>
                <w:szCs w:val="20"/>
              </w:rPr>
              <w:t xml:space="preserve"> prvega odstavka 111.</w:t>
            </w:r>
            <w:r w:rsidR="00F2230B">
              <w:rPr>
                <w:rFonts w:ascii="Arial" w:eastAsia="Calibri" w:hAnsi="Arial" w:cs="Arial"/>
                <w:sz w:val="20"/>
                <w:szCs w:val="20"/>
              </w:rPr>
              <w:t> </w:t>
            </w:r>
            <w:r>
              <w:rPr>
                <w:rFonts w:ascii="Arial" w:eastAsia="Calibri" w:hAnsi="Arial" w:cs="Arial"/>
                <w:sz w:val="20"/>
                <w:szCs w:val="20"/>
              </w:rPr>
              <w:t>člena ZDoh-2</w:t>
            </w:r>
            <w:r w:rsidR="00784932">
              <w:rPr>
                <w:rFonts w:ascii="Arial" w:eastAsia="Calibri" w:hAnsi="Arial" w:cs="Arial"/>
                <w:sz w:val="20"/>
                <w:szCs w:val="20"/>
              </w:rPr>
              <w:t xml:space="preserve"> pomeni znižanje višine splošne olajšave </w:t>
            </w:r>
            <w:r w:rsidR="008D57D0">
              <w:rPr>
                <w:rFonts w:ascii="Arial" w:eastAsia="Calibri" w:hAnsi="Arial" w:cs="Arial"/>
                <w:sz w:val="20"/>
                <w:szCs w:val="20"/>
              </w:rPr>
              <w:t>s</w:t>
            </w:r>
            <w:r w:rsidR="00784932">
              <w:rPr>
                <w:rFonts w:ascii="Arial" w:eastAsia="Calibri" w:hAnsi="Arial" w:cs="Arial"/>
                <w:sz w:val="20"/>
                <w:szCs w:val="20"/>
              </w:rPr>
              <w:t xml:space="preserve"> 7.500</w:t>
            </w:r>
            <w:r w:rsidR="00F2230B">
              <w:rPr>
                <w:rFonts w:ascii="Arial" w:eastAsia="Calibri" w:hAnsi="Arial" w:cs="Arial"/>
                <w:sz w:val="20"/>
                <w:szCs w:val="20"/>
              </w:rPr>
              <w:t> </w:t>
            </w:r>
            <w:r w:rsidR="00784932">
              <w:rPr>
                <w:rFonts w:ascii="Arial" w:eastAsia="Calibri" w:hAnsi="Arial" w:cs="Arial"/>
                <w:sz w:val="20"/>
                <w:szCs w:val="20"/>
              </w:rPr>
              <w:t xml:space="preserve">EUR (ki bi </w:t>
            </w:r>
            <w:r w:rsidR="00DC2876">
              <w:rPr>
                <w:rFonts w:ascii="Arial" w:eastAsia="Calibri" w:hAnsi="Arial" w:cs="Arial"/>
                <w:sz w:val="20"/>
                <w:szCs w:val="20"/>
              </w:rPr>
              <w:t xml:space="preserve">se </w:t>
            </w:r>
            <w:r w:rsidR="00784932">
              <w:rPr>
                <w:rFonts w:ascii="Arial" w:eastAsia="Calibri" w:hAnsi="Arial" w:cs="Arial"/>
                <w:sz w:val="20"/>
                <w:szCs w:val="20"/>
              </w:rPr>
              <w:t xml:space="preserve">po veljavnem ZDoh-2 </w:t>
            </w:r>
            <w:r w:rsidR="00DC2876">
              <w:rPr>
                <w:rFonts w:ascii="Arial" w:eastAsia="Calibri" w:hAnsi="Arial" w:cs="Arial"/>
                <w:sz w:val="20"/>
                <w:szCs w:val="20"/>
              </w:rPr>
              <w:t>začela uporabljati</w:t>
            </w:r>
            <w:r w:rsidR="00784932">
              <w:rPr>
                <w:rFonts w:ascii="Arial" w:eastAsia="Calibri" w:hAnsi="Arial" w:cs="Arial"/>
                <w:sz w:val="20"/>
                <w:szCs w:val="20"/>
              </w:rPr>
              <w:t xml:space="preserve"> </w:t>
            </w:r>
            <w:r w:rsidR="00AF0663">
              <w:rPr>
                <w:rFonts w:ascii="Arial" w:eastAsia="Calibri" w:hAnsi="Arial" w:cs="Arial"/>
                <w:sz w:val="20"/>
                <w:szCs w:val="20"/>
              </w:rPr>
              <w:t>za</w:t>
            </w:r>
            <w:r w:rsidR="00784932">
              <w:rPr>
                <w:rFonts w:ascii="Arial" w:eastAsia="Calibri" w:hAnsi="Arial" w:cs="Arial"/>
                <w:sz w:val="20"/>
                <w:szCs w:val="20"/>
              </w:rPr>
              <w:t xml:space="preserve"> davčn</w:t>
            </w:r>
            <w:r w:rsidR="00AF0663">
              <w:rPr>
                <w:rFonts w:ascii="Arial" w:eastAsia="Calibri" w:hAnsi="Arial" w:cs="Arial"/>
                <w:sz w:val="20"/>
                <w:szCs w:val="20"/>
              </w:rPr>
              <w:t>o</w:t>
            </w:r>
            <w:r w:rsidR="00784932">
              <w:rPr>
                <w:rFonts w:ascii="Arial" w:eastAsia="Calibri" w:hAnsi="Arial" w:cs="Arial"/>
                <w:sz w:val="20"/>
                <w:szCs w:val="20"/>
              </w:rPr>
              <w:t xml:space="preserve"> let</w:t>
            </w:r>
            <w:r w:rsidR="00AF0663">
              <w:rPr>
                <w:rFonts w:ascii="Arial" w:eastAsia="Calibri" w:hAnsi="Arial" w:cs="Arial"/>
                <w:sz w:val="20"/>
                <w:szCs w:val="20"/>
              </w:rPr>
              <w:t>o</w:t>
            </w:r>
            <w:r w:rsidR="00784932">
              <w:rPr>
                <w:rFonts w:ascii="Arial" w:eastAsia="Calibri" w:hAnsi="Arial" w:cs="Arial"/>
                <w:sz w:val="20"/>
                <w:szCs w:val="20"/>
              </w:rPr>
              <w:t xml:space="preserve">2025) na </w:t>
            </w:r>
            <w:r w:rsidR="00E64E8F">
              <w:rPr>
                <w:rFonts w:ascii="Arial" w:eastAsia="Calibri" w:hAnsi="Arial" w:cs="Arial"/>
                <w:sz w:val="20"/>
                <w:szCs w:val="20"/>
              </w:rPr>
              <w:t>5</w:t>
            </w:r>
            <w:r w:rsidR="00784932">
              <w:rPr>
                <w:rFonts w:ascii="Arial" w:eastAsia="Calibri" w:hAnsi="Arial" w:cs="Arial"/>
                <w:sz w:val="20"/>
                <w:szCs w:val="20"/>
              </w:rPr>
              <w:t>.</w:t>
            </w:r>
            <w:r w:rsidR="004D141C">
              <w:rPr>
                <w:rFonts w:ascii="Arial" w:eastAsia="Calibri" w:hAnsi="Arial" w:cs="Arial"/>
                <w:sz w:val="20"/>
                <w:szCs w:val="20"/>
              </w:rPr>
              <w:t>0</w:t>
            </w:r>
            <w:r w:rsidR="00784932">
              <w:rPr>
                <w:rFonts w:ascii="Arial" w:eastAsia="Calibri" w:hAnsi="Arial" w:cs="Arial"/>
                <w:sz w:val="20"/>
                <w:szCs w:val="20"/>
              </w:rPr>
              <w:t>00</w:t>
            </w:r>
            <w:r w:rsidR="00F2230B">
              <w:rPr>
                <w:rFonts w:ascii="Arial" w:eastAsia="Calibri" w:hAnsi="Arial" w:cs="Arial"/>
                <w:sz w:val="20"/>
                <w:szCs w:val="20"/>
              </w:rPr>
              <w:t> </w:t>
            </w:r>
            <w:r w:rsidR="00784932">
              <w:rPr>
                <w:rFonts w:ascii="Arial" w:eastAsia="Calibri" w:hAnsi="Arial" w:cs="Arial"/>
                <w:sz w:val="20"/>
                <w:szCs w:val="20"/>
              </w:rPr>
              <w:t>EUR</w:t>
            </w:r>
            <w:r w:rsidR="004D141C">
              <w:rPr>
                <w:rFonts w:ascii="Arial" w:eastAsia="Calibri" w:hAnsi="Arial" w:cs="Arial"/>
                <w:sz w:val="20"/>
                <w:szCs w:val="20"/>
              </w:rPr>
              <w:t>.</w:t>
            </w:r>
          </w:p>
          <w:p w14:paraId="39833AEF" w14:textId="77777777" w:rsidR="00E64E8F" w:rsidRDefault="00E64E8F" w:rsidP="004F2DCB">
            <w:pPr>
              <w:spacing w:after="0" w:line="276" w:lineRule="auto"/>
              <w:contextualSpacing/>
              <w:jc w:val="both"/>
              <w:rPr>
                <w:rFonts w:ascii="Arial" w:eastAsia="Calibri" w:hAnsi="Arial" w:cs="Arial"/>
                <w:sz w:val="20"/>
                <w:szCs w:val="20"/>
              </w:rPr>
            </w:pPr>
          </w:p>
          <w:p w14:paraId="26FA7186" w14:textId="3B94F238" w:rsidR="003B1C1E" w:rsidRPr="003B1C1E" w:rsidRDefault="00E64E8F" w:rsidP="003B1C1E">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S spremembo tretjega odstavka se zvišuje znesek skupnega dohodka, do katerega so zavezanci upravičeni poleg splošne olajšave tudi do dodatne splošne olajšave. Skupni dohodek se dviguje s  </w:t>
            </w:r>
            <w:r w:rsidR="00414F8A" w:rsidRPr="00414F8A">
              <w:rPr>
                <w:rFonts w:ascii="Arial" w:eastAsia="Calibri" w:hAnsi="Arial" w:cs="Arial"/>
                <w:sz w:val="20"/>
                <w:szCs w:val="20"/>
              </w:rPr>
              <w:t>13.716,33</w:t>
            </w:r>
            <w:r w:rsidR="00F2230B">
              <w:rPr>
                <w:rFonts w:ascii="Arial" w:eastAsia="Calibri" w:hAnsi="Arial" w:cs="Arial"/>
                <w:sz w:val="20"/>
                <w:szCs w:val="20"/>
              </w:rPr>
              <w:t> </w:t>
            </w:r>
            <w:r w:rsidR="00A22AC2">
              <w:rPr>
                <w:rFonts w:ascii="Arial" w:eastAsia="Calibri" w:hAnsi="Arial" w:cs="Arial"/>
                <w:sz w:val="20"/>
                <w:szCs w:val="20"/>
              </w:rPr>
              <w:t>EUR</w:t>
            </w:r>
            <w:r>
              <w:rPr>
                <w:rFonts w:ascii="Arial" w:eastAsia="Calibri" w:hAnsi="Arial" w:cs="Arial"/>
                <w:sz w:val="20"/>
                <w:szCs w:val="20"/>
              </w:rPr>
              <w:t xml:space="preserve">, </w:t>
            </w:r>
            <w:r w:rsidR="008D57D0">
              <w:rPr>
                <w:rFonts w:ascii="Arial" w:eastAsia="Calibri" w:hAnsi="Arial" w:cs="Arial"/>
                <w:sz w:val="20"/>
                <w:szCs w:val="20"/>
              </w:rPr>
              <w:t xml:space="preserve">ki </w:t>
            </w:r>
            <w:r>
              <w:rPr>
                <w:rFonts w:ascii="Arial" w:eastAsia="Calibri" w:hAnsi="Arial" w:cs="Arial"/>
                <w:sz w:val="20"/>
                <w:szCs w:val="20"/>
              </w:rPr>
              <w:t>velja</w:t>
            </w:r>
            <w:r w:rsidR="008D57D0">
              <w:rPr>
                <w:rFonts w:ascii="Arial" w:eastAsia="Calibri" w:hAnsi="Arial" w:cs="Arial"/>
                <w:sz w:val="20"/>
                <w:szCs w:val="20"/>
              </w:rPr>
              <w:t xml:space="preserve"> </w:t>
            </w:r>
            <w:r>
              <w:rPr>
                <w:rFonts w:ascii="Arial" w:eastAsia="Calibri" w:hAnsi="Arial" w:cs="Arial"/>
                <w:sz w:val="20"/>
                <w:szCs w:val="20"/>
              </w:rPr>
              <w:t>za leto 2022</w:t>
            </w:r>
            <w:r w:rsidR="00414F8A">
              <w:rPr>
                <w:rFonts w:ascii="Arial" w:eastAsia="Calibri" w:hAnsi="Arial" w:cs="Arial"/>
                <w:sz w:val="20"/>
                <w:szCs w:val="20"/>
              </w:rPr>
              <w:t>,</w:t>
            </w:r>
            <w:r>
              <w:rPr>
                <w:rFonts w:ascii="Arial" w:eastAsia="Calibri" w:hAnsi="Arial" w:cs="Arial"/>
                <w:sz w:val="20"/>
                <w:szCs w:val="20"/>
              </w:rPr>
              <w:t xml:space="preserve"> na 1</w:t>
            </w:r>
            <w:r w:rsidR="00152B2F">
              <w:rPr>
                <w:rFonts w:ascii="Arial" w:eastAsia="Calibri" w:hAnsi="Arial" w:cs="Arial"/>
                <w:sz w:val="20"/>
                <w:szCs w:val="20"/>
              </w:rPr>
              <w:t>6</w:t>
            </w:r>
            <w:r>
              <w:rPr>
                <w:rFonts w:ascii="Arial" w:eastAsia="Calibri" w:hAnsi="Arial" w:cs="Arial"/>
                <w:sz w:val="20"/>
                <w:szCs w:val="20"/>
              </w:rPr>
              <w:t>.000</w:t>
            </w:r>
            <w:r w:rsidR="00F2230B">
              <w:rPr>
                <w:rFonts w:ascii="Arial" w:eastAsia="Calibri" w:hAnsi="Arial" w:cs="Arial"/>
                <w:sz w:val="20"/>
                <w:szCs w:val="20"/>
              </w:rPr>
              <w:t> </w:t>
            </w:r>
            <w:r w:rsidR="00A22AC2">
              <w:rPr>
                <w:rFonts w:ascii="Arial" w:eastAsia="Calibri" w:hAnsi="Arial" w:cs="Arial"/>
                <w:sz w:val="20"/>
                <w:szCs w:val="20"/>
              </w:rPr>
              <w:t>EUR</w:t>
            </w:r>
            <w:r>
              <w:rPr>
                <w:rFonts w:ascii="Arial" w:eastAsia="Calibri" w:hAnsi="Arial" w:cs="Arial"/>
                <w:sz w:val="20"/>
                <w:szCs w:val="20"/>
              </w:rPr>
              <w:t>.</w:t>
            </w:r>
            <w:r w:rsidR="00414F8A">
              <w:rPr>
                <w:rFonts w:ascii="Arial" w:eastAsia="Calibri" w:hAnsi="Arial" w:cs="Arial"/>
                <w:sz w:val="20"/>
                <w:szCs w:val="20"/>
              </w:rPr>
              <w:t xml:space="preserve"> Temu ustrezno se spreminja tudi enačba za določitev dodatne splošne olajša</w:t>
            </w:r>
            <w:r w:rsidR="00687C3D">
              <w:rPr>
                <w:rFonts w:ascii="Arial" w:eastAsia="Calibri" w:hAnsi="Arial" w:cs="Arial"/>
                <w:sz w:val="20"/>
                <w:szCs w:val="20"/>
              </w:rPr>
              <w:t>ve, in sicer je po novem zmanjšanje enako</w:t>
            </w:r>
            <w:r w:rsidR="00687C3D" w:rsidRPr="00687C3D">
              <w:rPr>
                <w:rFonts w:ascii="Arial" w:eastAsia="Calibri" w:hAnsi="Arial" w:cs="Arial"/>
                <w:sz w:val="20"/>
                <w:szCs w:val="20"/>
              </w:rPr>
              <w:t xml:space="preserve"> </w:t>
            </w:r>
            <w:r w:rsidR="006B7E0B" w:rsidRPr="006B7E0B">
              <w:rPr>
                <w:rFonts w:ascii="Arial" w:eastAsia="Calibri" w:hAnsi="Arial" w:cs="Arial"/>
                <w:sz w:val="20"/>
                <w:szCs w:val="20"/>
              </w:rPr>
              <w:t>18.761,40</w:t>
            </w:r>
            <w:r w:rsidR="00F2230B">
              <w:rPr>
                <w:rFonts w:ascii="Arial" w:eastAsia="Calibri" w:hAnsi="Arial" w:cs="Arial"/>
                <w:sz w:val="20"/>
                <w:szCs w:val="20"/>
              </w:rPr>
              <w:t> </w:t>
            </w:r>
            <w:r w:rsidR="003B1C1E" w:rsidRPr="003B1C1E">
              <w:rPr>
                <w:rFonts w:ascii="Arial" w:eastAsia="Calibri" w:hAnsi="Arial" w:cs="Arial"/>
                <w:sz w:val="20"/>
                <w:szCs w:val="20"/>
              </w:rPr>
              <w:t>EUR - 1,</w:t>
            </w:r>
            <w:r w:rsidR="004A69EA" w:rsidRPr="004A69EA">
              <w:rPr>
                <w:rFonts w:ascii="Arial" w:eastAsia="Calibri" w:hAnsi="Arial" w:cs="Arial"/>
                <w:sz w:val="20"/>
                <w:szCs w:val="20"/>
              </w:rPr>
              <w:t>17259</w:t>
            </w:r>
            <w:r w:rsidR="00F2230B">
              <w:rPr>
                <w:rFonts w:ascii="Arial" w:eastAsia="Calibri" w:hAnsi="Arial" w:cs="Arial"/>
                <w:sz w:val="20"/>
                <w:szCs w:val="20"/>
              </w:rPr>
              <w:t> </w:t>
            </w:r>
            <w:r w:rsidR="003B1C1E" w:rsidRPr="003B1C1E">
              <w:rPr>
                <w:rFonts w:ascii="Arial" w:eastAsia="Calibri" w:hAnsi="Arial" w:cs="Arial"/>
                <w:sz w:val="20"/>
                <w:szCs w:val="20"/>
              </w:rPr>
              <w:t>x skupni dohodek</w:t>
            </w:r>
            <w:r w:rsidR="003B1C1E">
              <w:rPr>
                <w:rFonts w:ascii="Arial" w:eastAsia="Calibri" w:hAnsi="Arial" w:cs="Arial"/>
                <w:sz w:val="20"/>
                <w:szCs w:val="20"/>
              </w:rPr>
              <w:t>.</w:t>
            </w:r>
          </w:p>
          <w:p w14:paraId="3EE54E2E" w14:textId="77777777" w:rsidR="00CD3AB5" w:rsidRPr="003B1C1E" w:rsidRDefault="00CD3AB5" w:rsidP="003B1C1E">
            <w:pPr>
              <w:spacing w:after="0" w:line="276" w:lineRule="auto"/>
              <w:contextualSpacing/>
              <w:jc w:val="both"/>
              <w:rPr>
                <w:rFonts w:ascii="Arial" w:eastAsia="Calibri" w:hAnsi="Arial" w:cs="Arial"/>
                <w:sz w:val="20"/>
                <w:szCs w:val="20"/>
              </w:rPr>
            </w:pPr>
          </w:p>
          <w:p w14:paraId="4038094C" w14:textId="13CC22EE" w:rsidR="00E70D82" w:rsidRDefault="00E70D82" w:rsidP="003B1C1E">
            <w:pPr>
              <w:spacing w:after="0" w:line="276" w:lineRule="auto"/>
              <w:contextualSpacing/>
              <w:jc w:val="both"/>
              <w:rPr>
                <w:rFonts w:ascii="Arial" w:eastAsia="Calibri" w:hAnsi="Arial" w:cs="Arial"/>
                <w:sz w:val="20"/>
                <w:szCs w:val="20"/>
              </w:rPr>
            </w:pPr>
            <w:r>
              <w:rPr>
                <w:rFonts w:ascii="Arial" w:eastAsia="Calibri" w:hAnsi="Arial" w:cs="Arial"/>
                <w:sz w:val="20"/>
                <w:szCs w:val="20"/>
              </w:rPr>
              <w:t>Črtanje šestega odstavka je povezano s predlogom spremembe prvega odstavka 109.</w:t>
            </w:r>
            <w:r w:rsidR="00F2230B">
              <w:rPr>
                <w:rFonts w:ascii="Arial" w:eastAsia="Calibri" w:hAnsi="Arial" w:cs="Arial"/>
                <w:sz w:val="20"/>
                <w:szCs w:val="20"/>
              </w:rPr>
              <w:t> </w:t>
            </w:r>
            <w:r>
              <w:rPr>
                <w:rFonts w:ascii="Arial" w:eastAsia="Calibri" w:hAnsi="Arial" w:cs="Arial"/>
                <w:sz w:val="20"/>
                <w:szCs w:val="20"/>
              </w:rPr>
              <w:t>člena ZDoh-2, s katerim se odpravlja možnost odločitve zavezanc</w:t>
            </w:r>
            <w:r w:rsidR="003C7DE4">
              <w:rPr>
                <w:rFonts w:ascii="Arial" w:eastAsia="Calibri" w:hAnsi="Arial" w:cs="Arial"/>
                <w:sz w:val="20"/>
                <w:szCs w:val="20"/>
              </w:rPr>
              <w:t>a</w:t>
            </w:r>
            <w:r>
              <w:rPr>
                <w:rFonts w:ascii="Arial" w:eastAsia="Calibri" w:hAnsi="Arial" w:cs="Arial"/>
                <w:sz w:val="20"/>
                <w:szCs w:val="20"/>
              </w:rPr>
              <w:t xml:space="preserve"> za vštevanje dohodkov iz kapitala in oddajanja premoženja v najem v letno davčno osnovo. Pri določanju dodatne splošne olajšave se posledično v skupni dohodek iz tretjega odstavka 111.</w:t>
            </w:r>
            <w:r w:rsidR="00F2230B">
              <w:rPr>
                <w:rFonts w:ascii="Arial" w:eastAsia="Calibri" w:hAnsi="Arial" w:cs="Arial"/>
                <w:sz w:val="20"/>
                <w:szCs w:val="20"/>
              </w:rPr>
              <w:t> </w:t>
            </w:r>
            <w:r>
              <w:rPr>
                <w:rFonts w:ascii="Arial" w:eastAsia="Calibri" w:hAnsi="Arial" w:cs="Arial"/>
                <w:sz w:val="20"/>
                <w:szCs w:val="20"/>
              </w:rPr>
              <w:t>člena</w:t>
            </w:r>
            <w:r w:rsidR="002B43EA">
              <w:rPr>
                <w:rFonts w:ascii="Arial" w:eastAsia="Calibri" w:hAnsi="Arial" w:cs="Arial"/>
                <w:sz w:val="20"/>
                <w:szCs w:val="20"/>
              </w:rPr>
              <w:t xml:space="preserve"> Z</w:t>
            </w:r>
            <w:r w:rsidR="00803336">
              <w:rPr>
                <w:rFonts w:ascii="Arial" w:eastAsia="Calibri" w:hAnsi="Arial" w:cs="Arial"/>
                <w:sz w:val="20"/>
                <w:szCs w:val="20"/>
              </w:rPr>
              <w:t>D</w:t>
            </w:r>
            <w:r w:rsidR="002B43EA">
              <w:rPr>
                <w:rFonts w:ascii="Arial" w:eastAsia="Calibri" w:hAnsi="Arial" w:cs="Arial"/>
                <w:sz w:val="20"/>
                <w:szCs w:val="20"/>
              </w:rPr>
              <w:t>oh-2</w:t>
            </w:r>
            <w:r>
              <w:rPr>
                <w:rFonts w:ascii="Arial" w:eastAsia="Calibri" w:hAnsi="Arial" w:cs="Arial"/>
                <w:sz w:val="20"/>
                <w:szCs w:val="20"/>
              </w:rPr>
              <w:t xml:space="preserve"> ne </w:t>
            </w:r>
            <w:r w:rsidR="002B43EA">
              <w:rPr>
                <w:rFonts w:ascii="Arial" w:eastAsia="Calibri" w:hAnsi="Arial" w:cs="Arial"/>
                <w:sz w:val="20"/>
                <w:szCs w:val="20"/>
              </w:rPr>
              <w:t>sme</w:t>
            </w:r>
            <w:r>
              <w:rPr>
                <w:rFonts w:ascii="Arial" w:eastAsia="Calibri" w:hAnsi="Arial" w:cs="Arial"/>
                <w:sz w:val="20"/>
                <w:szCs w:val="20"/>
              </w:rPr>
              <w:t xml:space="preserve"> več upoštevati dohod</w:t>
            </w:r>
            <w:r w:rsidR="002B43EA">
              <w:rPr>
                <w:rFonts w:ascii="Arial" w:eastAsia="Calibri" w:hAnsi="Arial" w:cs="Arial"/>
                <w:sz w:val="20"/>
                <w:szCs w:val="20"/>
              </w:rPr>
              <w:t>ka</w:t>
            </w:r>
            <w:r>
              <w:rPr>
                <w:rFonts w:ascii="Arial" w:eastAsia="Calibri" w:hAnsi="Arial" w:cs="Arial"/>
                <w:sz w:val="20"/>
                <w:szCs w:val="20"/>
              </w:rPr>
              <w:t xml:space="preserve"> iz kapitala in dohod</w:t>
            </w:r>
            <w:r w:rsidR="002B43EA">
              <w:rPr>
                <w:rFonts w:ascii="Arial" w:eastAsia="Calibri" w:hAnsi="Arial" w:cs="Arial"/>
                <w:sz w:val="20"/>
                <w:szCs w:val="20"/>
              </w:rPr>
              <w:t>ka</w:t>
            </w:r>
            <w:r>
              <w:rPr>
                <w:rFonts w:ascii="Arial" w:eastAsia="Calibri" w:hAnsi="Arial" w:cs="Arial"/>
                <w:sz w:val="20"/>
                <w:szCs w:val="20"/>
              </w:rPr>
              <w:t xml:space="preserve"> iz oddajanja premoženja v najem.</w:t>
            </w:r>
          </w:p>
          <w:p w14:paraId="52202FC0" w14:textId="37D4AC39" w:rsidR="003B6739" w:rsidRDefault="003B6739" w:rsidP="004F2DCB">
            <w:pPr>
              <w:spacing w:after="0" w:line="276" w:lineRule="auto"/>
              <w:contextualSpacing/>
              <w:jc w:val="both"/>
              <w:rPr>
                <w:rFonts w:ascii="Arial" w:eastAsia="Calibri" w:hAnsi="Arial" w:cs="Arial"/>
                <w:sz w:val="20"/>
                <w:szCs w:val="20"/>
              </w:rPr>
            </w:pPr>
          </w:p>
          <w:p w14:paraId="74DFC784" w14:textId="30E45A5D" w:rsidR="003B6739" w:rsidRDefault="003B6739" w:rsidP="00076F4A">
            <w:pPr>
              <w:pStyle w:val="Odstavekseznama"/>
              <w:numPr>
                <w:ilvl w:val="0"/>
                <w:numId w:val="28"/>
              </w:numPr>
              <w:spacing w:line="276" w:lineRule="auto"/>
              <w:contextualSpacing/>
              <w:jc w:val="both"/>
              <w:rPr>
                <w:rFonts w:ascii="Arial" w:eastAsia="Calibri" w:hAnsi="Arial" w:cs="Arial"/>
                <w:b/>
                <w:bCs/>
                <w:sz w:val="20"/>
                <w:szCs w:val="20"/>
              </w:rPr>
            </w:pPr>
          </w:p>
          <w:p w14:paraId="534B9749" w14:textId="5A7F4A0C" w:rsidR="003A7679" w:rsidRDefault="005910D8" w:rsidP="004F2DCB">
            <w:pPr>
              <w:spacing w:after="0" w:line="276" w:lineRule="auto"/>
              <w:contextualSpacing/>
              <w:jc w:val="both"/>
              <w:rPr>
                <w:rFonts w:ascii="Arial" w:eastAsia="Calibri" w:hAnsi="Arial" w:cs="Arial"/>
                <w:sz w:val="20"/>
                <w:szCs w:val="20"/>
              </w:rPr>
            </w:pPr>
            <w:r w:rsidRPr="0012195D">
              <w:rPr>
                <w:rFonts w:ascii="Arial" w:eastAsia="Calibri" w:hAnsi="Arial" w:cs="Arial"/>
                <w:sz w:val="20"/>
                <w:szCs w:val="20"/>
              </w:rPr>
              <w:t>Z dopolnjenim 113.</w:t>
            </w:r>
            <w:r w:rsidR="00F2230B">
              <w:rPr>
                <w:rFonts w:ascii="Arial" w:eastAsia="Calibri" w:hAnsi="Arial" w:cs="Arial"/>
                <w:sz w:val="20"/>
                <w:szCs w:val="20"/>
              </w:rPr>
              <w:t> </w:t>
            </w:r>
            <w:r w:rsidRPr="0012195D">
              <w:rPr>
                <w:rFonts w:ascii="Arial" w:eastAsia="Calibri" w:hAnsi="Arial" w:cs="Arial"/>
                <w:sz w:val="20"/>
                <w:szCs w:val="20"/>
              </w:rPr>
              <w:t>členom ZDoh-2 se uvaja novo posebno osebno olajšavo za mlade</w:t>
            </w:r>
            <w:r w:rsidR="00FF0DE5" w:rsidRPr="0012195D">
              <w:rPr>
                <w:rFonts w:ascii="Arial" w:eastAsia="Calibri" w:hAnsi="Arial" w:cs="Arial"/>
                <w:sz w:val="20"/>
                <w:szCs w:val="20"/>
              </w:rPr>
              <w:t xml:space="preserve"> do dopolnjenega </w:t>
            </w:r>
            <w:r w:rsidR="003A7679">
              <w:rPr>
                <w:rFonts w:ascii="Arial" w:eastAsia="Calibri" w:hAnsi="Arial" w:cs="Arial"/>
                <w:sz w:val="20"/>
                <w:szCs w:val="20"/>
              </w:rPr>
              <w:t>29</w:t>
            </w:r>
            <w:r w:rsidR="00FF0DE5" w:rsidRPr="0012195D">
              <w:rPr>
                <w:rFonts w:ascii="Arial" w:eastAsia="Calibri" w:hAnsi="Arial" w:cs="Arial"/>
                <w:sz w:val="20"/>
                <w:szCs w:val="20"/>
              </w:rPr>
              <w:t>. leta starosti.</w:t>
            </w:r>
            <w:r w:rsidRPr="0012195D">
              <w:rPr>
                <w:rFonts w:ascii="Arial" w:eastAsia="Calibri" w:hAnsi="Arial" w:cs="Arial"/>
                <w:sz w:val="20"/>
                <w:szCs w:val="20"/>
              </w:rPr>
              <w:t xml:space="preserve"> Do olajšave bodo upravičeni rezidenti</w:t>
            </w:r>
            <w:r w:rsidR="0012195D" w:rsidRPr="0012195D">
              <w:rPr>
                <w:rFonts w:ascii="Arial" w:eastAsia="Calibri" w:hAnsi="Arial" w:cs="Arial"/>
                <w:sz w:val="20"/>
                <w:szCs w:val="20"/>
              </w:rPr>
              <w:t xml:space="preserve"> in</w:t>
            </w:r>
            <w:r w:rsidRPr="0012195D">
              <w:rPr>
                <w:rFonts w:ascii="Arial" w:eastAsia="Calibri" w:hAnsi="Arial" w:cs="Arial"/>
                <w:sz w:val="20"/>
                <w:szCs w:val="20"/>
              </w:rPr>
              <w:t xml:space="preserve"> pod pogoji, določenimi v 116.</w:t>
            </w:r>
            <w:r w:rsidR="00F2230B">
              <w:rPr>
                <w:rFonts w:ascii="Arial" w:eastAsia="Calibri" w:hAnsi="Arial" w:cs="Arial"/>
                <w:sz w:val="20"/>
                <w:szCs w:val="20"/>
              </w:rPr>
              <w:t> </w:t>
            </w:r>
            <w:r w:rsidRPr="0012195D">
              <w:rPr>
                <w:rFonts w:ascii="Arial" w:eastAsia="Calibri" w:hAnsi="Arial" w:cs="Arial"/>
                <w:sz w:val="20"/>
                <w:szCs w:val="20"/>
              </w:rPr>
              <w:t>členu ZDoh-2, tudi nerezidenti</w:t>
            </w:r>
            <w:r w:rsidR="00FF0DE5" w:rsidRPr="0012195D">
              <w:rPr>
                <w:rFonts w:ascii="Arial" w:eastAsia="Calibri" w:hAnsi="Arial" w:cs="Arial"/>
                <w:sz w:val="20"/>
                <w:szCs w:val="20"/>
              </w:rPr>
              <w:t>. Olajšava se priznava v obliki zmanjšanja davčne osnove od dohodka iz delovnega razmerja</w:t>
            </w:r>
            <w:r w:rsidR="00B84ECC">
              <w:rPr>
                <w:rFonts w:ascii="Arial" w:eastAsia="Calibri" w:hAnsi="Arial" w:cs="Arial"/>
                <w:sz w:val="20"/>
                <w:szCs w:val="20"/>
              </w:rPr>
              <w:t>.</w:t>
            </w:r>
          </w:p>
          <w:p w14:paraId="5BEDE54B" w14:textId="77777777" w:rsidR="003A7679" w:rsidRDefault="003A7679" w:rsidP="004F2DCB">
            <w:pPr>
              <w:spacing w:after="0" w:line="276" w:lineRule="auto"/>
              <w:contextualSpacing/>
              <w:jc w:val="both"/>
              <w:rPr>
                <w:rFonts w:ascii="Arial" w:eastAsia="Calibri" w:hAnsi="Arial" w:cs="Arial"/>
                <w:sz w:val="20"/>
                <w:szCs w:val="20"/>
              </w:rPr>
            </w:pPr>
          </w:p>
          <w:p w14:paraId="568920D2" w14:textId="5A10D906" w:rsidR="003A7679" w:rsidRDefault="003A7679" w:rsidP="004F2DCB">
            <w:pPr>
              <w:spacing w:after="0" w:line="276" w:lineRule="auto"/>
              <w:contextualSpacing/>
              <w:jc w:val="both"/>
              <w:rPr>
                <w:rFonts w:ascii="Arial" w:eastAsia="Calibri" w:hAnsi="Arial" w:cs="Arial"/>
                <w:sz w:val="20"/>
                <w:szCs w:val="20"/>
              </w:rPr>
            </w:pPr>
            <w:r>
              <w:rPr>
                <w:rFonts w:ascii="Arial" w:eastAsia="Calibri" w:hAnsi="Arial" w:cs="Arial"/>
                <w:sz w:val="20"/>
                <w:szCs w:val="20"/>
              </w:rPr>
              <w:t xml:space="preserve">Do </w:t>
            </w:r>
            <w:r w:rsidRPr="003A7679">
              <w:rPr>
                <w:rFonts w:ascii="Arial" w:eastAsia="Calibri" w:hAnsi="Arial" w:cs="Arial"/>
                <w:sz w:val="20"/>
                <w:szCs w:val="20"/>
              </w:rPr>
              <w:t>2</w:t>
            </w:r>
            <w:r w:rsidR="00B84ECC">
              <w:rPr>
                <w:rFonts w:ascii="Arial" w:eastAsia="Calibri" w:hAnsi="Arial" w:cs="Arial"/>
                <w:sz w:val="20"/>
                <w:szCs w:val="20"/>
              </w:rPr>
              <w:t>9</w:t>
            </w:r>
            <w:r w:rsidRPr="003A7679">
              <w:rPr>
                <w:rFonts w:ascii="Arial" w:eastAsia="Calibri" w:hAnsi="Arial" w:cs="Arial"/>
                <w:sz w:val="20"/>
                <w:szCs w:val="20"/>
              </w:rPr>
              <w:t>. leta starosti</w:t>
            </w:r>
            <w:r>
              <w:rPr>
                <w:rFonts w:ascii="Arial" w:eastAsia="Calibri" w:hAnsi="Arial" w:cs="Arial"/>
                <w:sz w:val="20"/>
                <w:szCs w:val="20"/>
              </w:rPr>
              <w:t xml:space="preserve"> zavezanca</w:t>
            </w:r>
            <w:r w:rsidRPr="003A7679">
              <w:rPr>
                <w:rFonts w:ascii="Arial" w:eastAsia="Calibri" w:hAnsi="Arial" w:cs="Arial"/>
                <w:sz w:val="20"/>
                <w:szCs w:val="20"/>
              </w:rPr>
              <w:t>, vključno z letom, v katerem dopolni 2</w:t>
            </w:r>
            <w:r w:rsidR="00B84ECC">
              <w:rPr>
                <w:rFonts w:ascii="Arial" w:eastAsia="Calibri" w:hAnsi="Arial" w:cs="Arial"/>
                <w:sz w:val="20"/>
                <w:szCs w:val="20"/>
              </w:rPr>
              <w:t>9</w:t>
            </w:r>
            <w:r w:rsidRPr="003A7679">
              <w:rPr>
                <w:rFonts w:ascii="Arial" w:eastAsia="Calibri" w:hAnsi="Arial" w:cs="Arial"/>
                <w:sz w:val="20"/>
                <w:szCs w:val="20"/>
              </w:rPr>
              <w:t xml:space="preserve"> let starosti, </w:t>
            </w:r>
            <w:r>
              <w:rPr>
                <w:rFonts w:ascii="Arial" w:eastAsia="Calibri" w:hAnsi="Arial" w:cs="Arial"/>
                <w:sz w:val="20"/>
                <w:szCs w:val="20"/>
              </w:rPr>
              <w:t xml:space="preserve">se </w:t>
            </w:r>
            <w:r w:rsidRPr="003A7679">
              <w:rPr>
                <w:rFonts w:ascii="Arial" w:eastAsia="Calibri" w:hAnsi="Arial" w:cs="Arial"/>
                <w:sz w:val="20"/>
                <w:szCs w:val="20"/>
              </w:rPr>
              <w:t>prizna zmanjšanje davčne osnove od dohodka iz delovnega razmerja v znesku 1.000</w:t>
            </w:r>
            <w:r w:rsidR="00F2230B">
              <w:rPr>
                <w:rFonts w:ascii="Arial" w:eastAsia="Calibri" w:hAnsi="Arial" w:cs="Arial"/>
                <w:sz w:val="20"/>
                <w:szCs w:val="20"/>
              </w:rPr>
              <w:t> </w:t>
            </w:r>
            <w:r w:rsidR="00EE55B3">
              <w:rPr>
                <w:rFonts w:ascii="Arial" w:eastAsia="Calibri" w:hAnsi="Arial" w:cs="Arial"/>
                <w:sz w:val="20"/>
                <w:szCs w:val="20"/>
              </w:rPr>
              <w:t>EUR</w:t>
            </w:r>
            <w:r w:rsidRPr="003A7679">
              <w:rPr>
                <w:rFonts w:ascii="Arial" w:eastAsia="Calibri" w:hAnsi="Arial" w:cs="Arial"/>
                <w:sz w:val="20"/>
                <w:szCs w:val="20"/>
              </w:rPr>
              <w:t xml:space="preserve"> letno. Olajšava se prizna sorazmerno glede na število mesecev </w:t>
            </w:r>
            <w:r>
              <w:rPr>
                <w:rFonts w:ascii="Arial" w:eastAsia="Calibri" w:hAnsi="Arial" w:cs="Arial"/>
                <w:sz w:val="20"/>
                <w:szCs w:val="20"/>
              </w:rPr>
              <w:t xml:space="preserve">delovnega razmerja </w:t>
            </w:r>
            <w:r w:rsidRPr="003A7679">
              <w:rPr>
                <w:rFonts w:ascii="Arial" w:eastAsia="Calibri" w:hAnsi="Arial" w:cs="Arial"/>
                <w:sz w:val="20"/>
                <w:szCs w:val="20"/>
              </w:rPr>
              <w:t xml:space="preserve">v posameznem davčnem letu, pri čemer se upošteva vsak polni mesec </w:t>
            </w:r>
            <w:r>
              <w:rPr>
                <w:rFonts w:ascii="Arial" w:eastAsia="Calibri" w:hAnsi="Arial" w:cs="Arial"/>
                <w:sz w:val="20"/>
                <w:szCs w:val="20"/>
              </w:rPr>
              <w:t>delovnega razmerja. Primeroma, če je zavezanec v davčnem letu v delovnem razmerju polnih šest mesecev, se za to davčno leto prizna olajšava v višini 500</w:t>
            </w:r>
            <w:r w:rsidR="00F2230B">
              <w:rPr>
                <w:rFonts w:ascii="Arial" w:eastAsia="Calibri" w:hAnsi="Arial" w:cs="Arial"/>
                <w:sz w:val="20"/>
                <w:szCs w:val="20"/>
              </w:rPr>
              <w:t> </w:t>
            </w:r>
            <w:r w:rsidR="00A22AC2">
              <w:rPr>
                <w:rFonts w:ascii="Arial" w:eastAsia="Calibri" w:hAnsi="Arial" w:cs="Arial"/>
                <w:sz w:val="20"/>
                <w:szCs w:val="20"/>
              </w:rPr>
              <w:t>EUR</w:t>
            </w:r>
            <w:r w:rsidR="00B84ECC">
              <w:rPr>
                <w:rFonts w:ascii="Arial" w:eastAsia="Calibri" w:hAnsi="Arial" w:cs="Arial"/>
                <w:sz w:val="20"/>
                <w:szCs w:val="20"/>
              </w:rPr>
              <w:t>.</w:t>
            </w:r>
          </w:p>
          <w:p w14:paraId="5FED2FD8" w14:textId="77777777" w:rsidR="00692866" w:rsidRDefault="00692866" w:rsidP="004F2DCB">
            <w:pPr>
              <w:spacing w:after="0" w:line="276" w:lineRule="auto"/>
              <w:contextualSpacing/>
              <w:jc w:val="both"/>
              <w:rPr>
                <w:rFonts w:ascii="Arial" w:eastAsia="Calibri" w:hAnsi="Arial" w:cs="Arial"/>
                <w:sz w:val="20"/>
                <w:szCs w:val="20"/>
              </w:rPr>
            </w:pPr>
          </w:p>
          <w:p w14:paraId="4C8CAB78" w14:textId="0BF544B6" w:rsidR="00B355A8" w:rsidRPr="0012195D" w:rsidRDefault="00B355A8" w:rsidP="004F2DCB">
            <w:pPr>
              <w:spacing w:after="0" w:line="276" w:lineRule="auto"/>
              <w:contextualSpacing/>
              <w:jc w:val="both"/>
              <w:rPr>
                <w:rFonts w:ascii="Arial" w:eastAsia="Calibri" w:hAnsi="Arial" w:cs="Arial"/>
                <w:sz w:val="20"/>
                <w:szCs w:val="20"/>
              </w:rPr>
            </w:pPr>
            <w:r>
              <w:rPr>
                <w:rFonts w:ascii="Arial" w:eastAsia="Calibri" w:hAnsi="Arial" w:cs="Arial"/>
                <w:sz w:val="20"/>
                <w:szCs w:val="20"/>
              </w:rPr>
              <w:t>Olajšav</w:t>
            </w:r>
            <w:r w:rsidR="00692866">
              <w:rPr>
                <w:rFonts w:ascii="Arial" w:eastAsia="Calibri" w:hAnsi="Arial" w:cs="Arial"/>
                <w:sz w:val="20"/>
                <w:szCs w:val="20"/>
              </w:rPr>
              <w:t>o upošteva davčni organ na podlagi razpoložljivi podatkov pri informativnem izračunu dohodnine oziroma pri odmeri dohodnine na podlagi napovedi davčnega zavezanca (npr. pri nerezidentih).</w:t>
            </w:r>
          </w:p>
          <w:p w14:paraId="2EF5ED8A" w14:textId="2BA69369" w:rsidR="00BD6A3B" w:rsidRDefault="00BD6A3B" w:rsidP="004F2DCB">
            <w:pPr>
              <w:spacing w:after="0" w:line="276" w:lineRule="auto"/>
              <w:contextualSpacing/>
              <w:jc w:val="both"/>
              <w:rPr>
                <w:rFonts w:ascii="Arial" w:eastAsia="Calibri" w:hAnsi="Arial" w:cs="Arial"/>
                <w:sz w:val="20"/>
                <w:szCs w:val="20"/>
              </w:rPr>
            </w:pPr>
          </w:p>
          <w:p w14:paraId="3071F98A" w14:textId="4271C437" w:rsidR="00BD6A3B" w:rsidRPr="00BD6A3B" w:rsidRDefault="00BD6A3B" w:rsidP="00076F4A">
            <w:pPr>
              <w:pStyle w:val="Odstavekseznama"/>
              <w:numPr>
                <w:ilvl w:val="0"/>
                <w:numId w:val="28"/>
              </w:numPr>
              <w:spacing w:line="276" w:lineRule="auto"/>
              <w:contextualSpacing/>
              <w:jc w:val="both"/>
              <w:rPr>
                <w:rFonts w:ascii="Arial" w:eastAsia="Calibri" w:hAnsi="Arial" w:cs="Arial"/>
                <w:b/>
                <w:bCs/>
                <w:sz w:val="20"/>
                <w:szCs w:val="20"/>
              </w:rPr>
            </w:pPr>
          </w:p>
          <w:p w14:paraId="6122755C" w14:textId="1588BDC5" w:rsidR="00255016" w:rsidRDefault="00BD6A3B" w:rsidP="00255016">
            <w:pPr>
              <w:spacing w:after="0" w:line="276" w:lineRule="auto"/>
              <w:contextualSpacing/>
              <w:jc w:val="both"/>
              <w:rPr>
                <w:rFonts w:ascii="Arial" w:hAnsi="Arial" w:cs="Arial"/>
                <w:sz w:val="20"/>
                <w:szCs w:val="20"/>
              </w:rPr>
            </w:pPr>
            <w:r>
              <w:rPr>
                <w:rFonts w:ascii="Arial" w:eastAsia="Calibri" w:hAnsi="Arial" w:cs="Arial"/>
                <w:sz w:val="20"/>
                <w:szCs w:val="20"/>
              </w:rPr>
              <w:t>Spremembe 118.</w:t>
            </w:r>
            <w:r w:rsidR="00F2230B">
              <w:rPr>
                <w:rFonts w:ascii="Arial" w:eastAsia="Calibri" w:hAnsi="Arial" w:cs="Arial"/>
                <w:sz w:val="20"/>
                <w:szCs w:val="20"/>
              </w:rPr>
              <w:t> </w:t>
            </w:r>
            <w:r>
              <w:rPr>
                <w:rFonts w:ascii="Arial" w:eastAsia="Calibri" w:hAnsi="Arial" w:cs="Arial"/>
                <w:sz w:val="20"/>
                <w:szCs w:val="20"/>
              </w:rPr>
              <w:t>člena ZDoh-2</w:t>
            </w:r>
            <w:r w:rsidR="00FD04E8">
              <w:rPr>
                <w:rFonts w:ascii="Arial" w:eastAsia="Calibri" w:hAnsi="Arial" w:cs="Arial"/>
                <w:sz w:val="20"/>
                <w:szCs w:val="20"/>
              </w:rPr>
              <w:t xml:space="preserve"> pomenijo </w:t>
            </w:r>
            <w:r w:rsidR="004A663F">
              <w:rPr>
                <w:rFonts w:ascii="Arial" w:eastAsia="Calibri" w:hAnsi="Arial" w:cs="Arial"/>
                <w:sz w:val="20"/>
                <w:szCs w:val="20"/>
              </w:rPr>
              <w:t>spremembo</w:t>
            </w:r>
            <w:r w:rsidR="00FD04E8">
              <w:rPr>
                <w:rFonts w:ascii="Arial" w:eastAsia="Calibri" w:hAnsi="Arial" w:cs="Arial"/>
                <w:sz w:val="20"/>
                <w:szCs w:val="20"/>
              </w:rPr>
              <w:t xml:space="preserve"> mehanizma usklajevanja zneskov olajšav ter </w:t>
            </w:r>
            <w:r w:rsidR="00FD04E8" w:rsidRPr="00FA004D">
              <w:rPr>
                <w:rFonts w:ascii="Arial" w:hAnsi="Arial" w:cs="Arial"/>
                <w:sz w:val="20"/>
                <w:szCs w:val="20"/>
              </w:rPr>
              <w:t>enačb</w:t>
            </w:r>
            <w:r w:rsidR="00FD04E8">
              <w:rPr>
                <w:rFonts w:ascii="Arial" w:hAnsi="Arial" w:cs="Arial"/>
                <w:sz w:val="20"/>
                <w:szCs w:val="20"/>
              </w:rPr>
              <w:t>e</w:t>
            </w:r>
            <w:r w:rsidR="00FD04E8" w:rsidRPr="00FA004D">
              <w:rPr>
                <w:rFonts w:ascii="Arial" w:hAnsi="Arial" w:cs="Arial"/>
                <w:sz w:val="20"/>
                <w:szCs w:val="20"/>
              </w:rPr>
              <w:t xml:space="preserve"> za določitev </w:t>
            </w:r>
            <w:r w:rsidR="00304CDC">
              <w:rPr>
                <w:rFonts w:ascii="Arial" w:hAnsi="Arial" w:cs="Arial"/>
                <w:sz w:val="20"/>
                <w:szCs w:val="20"/>
              </w:rPr>
              <w:t xml:space="preserve">dodatne splošne </w:t>
            </w:r>
            <w:r w:rsidR="00FD04E8" w:rsidRPr="00FA004D">
              <w:rPr>
                <w:rFonts w:ascii="Arial" w:hAnsi="Arial" w:cs="Arial"/>
                <w:sz w:val="20"/>
                <w:szCs w:val="20"/>
              </w:rPr>
              <w:t>olajšave</w:t>
            </w:r>
            <w:r w:rsidR="00304CDC">
              <w:rPr>
                <w:rFonts w:ascii="Arial" w:hAnsi="Arial" w:cs="Arial"/>
                <w:sz w:val="20"/>
                <w:szCs w:val="20"/>
              </w:rPr>
              <w:t>.</w:t>
            </w:r>
            <w:r w:rsidR="00FD04E8" w:rsidRPr="00FA004D">
              <w:rPr>
                <w:rFonts w:ascii="Arial" w:hAnsi="Arial" w:cs="Arial"/>
                <w:sz w:val="20"/>
                <w:szCs w:val="20"/>
              </w:rPr>
              <w:t xml:space="preserve"> </w:t>
            </w:r>
            <w:r w:rsidR="004A663F">
              <w:rPr>
                <w:rFonts w:ascii="Arial" w:eastAsia="Calibri" w:hAnsi="Arial" w:cs="Arial"/>
                <w:sz w:val="20"/>
                <w:szCs w:val="20"/>
              </w:rPr>
              <w:t>D</w:t>
            </w:r>
            <w:r w:rsidR="00FD04E8">
              <w:rPr>
                <w:rFonts w:ascii="Arial" w:eastAsia="Calibri" w:hAnsi="Arial" w:cs="Arial"/>
                <w:sz w:val="20"/>
                <w:szCs w:val="20"/>
              </w:rPr>
              <w:t>oloč</w:t>
            </w:r>
            <w:r w:rsidR="004A663F">
              <w:rPr>
                <w:rFonts w:ascii="Arial" w:eastAsia="Calibri" w:hAnsi="Arial" w:cs="Arial"/>
                <w:sz w:val="20"/>
                <w:szCs w:val="20"/>
              </w:rPr>
              <w:t>a se</w:t>
            </w:r>
            <w:r w:rsidR="00FD04E8">
              <w:rPr>
                <w:rFonts w:ascii="Arial" w:eastAsia="Calibri" w:hAnsi="Arial" w:cs="Arial"/>
                <w:sz w:val="20"/>
                <w:szCs w:val="20"/>
              </w:rPr>
              <w:t xml:space="preserve">, da se uskladitev opravi na podlagi vsakoletnega razmisleka </w:t>
            </w:r>
            <w:r w:rsidR="00A3387C">
              <w:rPr>
                <w:rFonts w:ascii="Arial" w:eastAsia="Calibri" w:hAnsi="Arial" w:cs="Arial"/>
                <w:sz w:val="20"/>
                <w:szCs w:val="20"/>
              </w:rPr>
              <w:t>ob pripravi</w:t>
            </w:r>
            <w:r w:rsidR="00FD04E8">
              <w:rPr>
                <w:rFonts w:ascii="Arial" w:eastAsia="Calibri" w:hAnsi="Arial" w:cs="Arial"/>
                <w:sz w:val="20"/>
                <w:szCs w:val="20"/>
              </w:rPr>
              <w:t xml:space="preserve"> </w:t>
            </w:r>
            <w:r w:rsidR="00FD04E8" w:rsidRPr="00FA004D">
              <w:rPr>
                <w:rFonts w:ascii="Arial" w:hAnsi="Arial" w:cs="Arial"/>
                <w:sz w:val="20"/>
                <w:szCs w:val="20"/>
              </w:rPr>
              <w:t>zakon</w:t>
            </w:r>
            <w:r w:rsidR="00A3387C">
              <w:rPr>
                <w:rFonts w:ascii="Arial" w:hAnsi="Arial" w:cs="Arial"/>
                <w:sz w:val="20"/>
                <w:szCs w:val="20"/>
              </w:rPr>
              <w:t>a</w:t>
            </w:r>
            <w:r w:rsidR="00FD04E8" w:rsidRPr="00FA004D">
              <w:rPr>
                <w:rFonts w:ascii="Arial" w:hAnsi="Arial" w:cs="Arial"/>
                <w:sz w:val="20"/>
                <w:szCs w:val="20"/>
              </w:rPr>
              <w:t>, ki ureja izvrševanje proračuna</w:t>
            </w:r>
            <w:r w:rsidR="00A3387C">
              <w:rPr>
                <w:rFonts w:ascii="Arial" w:hAnsi="Arial" w:cs="Arial"/>
                <w:sz w:val="20"/>
                <w:szCs w:val="20"/>
              </w:rPr>
              <w:t xml:space="preserve">, </w:t>
            </w:r>
            <w:r w:rsidR="00F2230B">
              <w:rPr>
                <w:rFonts w:ascii="Arial" w:hAnsi="Arial" w:cs="Arial"/>
                <w:sz w:val="20"/>
                <w:szCs w:val="20"/>
              </w:rPr>
              <w:t xml:space="preserve">ob upoštevanju </w:t>
            </w:r>
            <w:r w:rsidR="00A3387C">
              <w:rPr>
                <w:rFonts w:ascii="Arial" w:hAnsi="Arial" w:cs="Arial"/>
                <w:sz w:val="20"/>
                <w:szCs w:val="20"/>
              </w:rPr>
              <w:t>cilje</w:t>
            </w:r>
            <w:r w:rsidR="00F2230B">
              <w:rPr>
                <w:rFonts w:ascii="Arial" w:hAnsi="Arial" w:cs="Arial"/>
                <w:sz w:val="20"/>
                <w:szCs w:val="20"/>
              </w:rPr>
              <w:t>v</w:t>
            </w:r>
            <w:r w:rsidR="00A3387C">
              <w:rPr>
                <w:rFonts w:ascii="Arial" w:hAnsi="Arial" w:cs="Arial"/>
                <w:sz w:val="20"/>
                <w:szCs w:val="20"/>
              </w:rPr>
              <w:t xml:space="preserve"> ekonomske politike vlade</w:t>
            </w:r>
            <w:r w:rsidR="00D027F9">
              <w:rPr>
                <w:rFonts w:ascii="Arial" w:hAnsi="Arial" w:cs="Arial"/>
                <w:sz w:val="20"/>
                <w:szCs w:val="20"/>
              </w:rPr>
              <w:t xml:space="preserve"> in po prehodnem posvetu vlade s socialnimi partnerji</w:t>
            </w:r>
            <w:r w:rsidR="00A3387C">
              <w:rPr>
                <w:rFonts w:ascii="Arial" w:hAnsi="Arial" w:cs="Arial"/>
                <w:sz w:val="20"/>
                <w:szCs w:val="20"/>
              </w:rPr>
              <w:t>, in sicer z določitvijo koeficienta</w:t>
            </w:r>
            <w:r w:rsidR="000F2FAE">
              <w:rPr>
                <w:rFonts w:ascii="Arial" w:hAnsi="Arial" w:cs="Arial"/>
                <w:sz w:val="20"/>
                <w:szCs w:val="20"/>
              </w:rPr>
              <w:t>, s katerim se uskladijo zneski olajšav</w:t>
            </w:r>
            <w:r w:rsidR="003A4AC4">
              <w:rPr>
                <w:rFonts w:ascii="Arial" w:hAnsi="Arial" w:cs="Arial"/>
                <w:sz w:val="20"/>
                <w:szCs w:val="20"/>
              </w:rPr>
              <w:t>,</w:t>
            </w:r>
            <w:r w:rsidR="000F2FAE">
              <w:rPr>
                <w:rFonts w:ascii="Arial" w:hAnsi="Arial" w:cs="Arial"/>
                <w:sz w:val="20"/>
                <w:szCs w:val="20"/>
              </w:rPr>
              <w:t xml:space="preserve"> </w:t>
            </w:r>
            <w:r w:rsidR="00A22022">
              <w:rPr>
                <w:rFonts w:ascii="Arial" w:hAnsi="Arial" w:cs="Arial"/>
                <w:sz w:val="20"/>
                <w:szCs w:val="20"/>
              </w:rPr>
              <w:t>z navedenim</w:t>
            </w:r>
            <w:r w:rsidR="000F2FAE">
              <w:rPr>
                <w:rFonts w:ascii="Arial" w:hAnsi="Arial" w:cs="Arial"/>
                <w:sz w:val="20"/>
                <w:szCs w:val="20"/>
              </w:rPr>
              <w:t xml:space="preserve"> zakonom</w:t>
            </w:r>
            <w:r w:rsidR="00FD04E8">
              <w:rPr>
                <w:rFonts w:ascii="Arial" w:hAnsi="Arial" w:cs="Arial"/>
                <w:sz w:val="20"/>
                <w:szCs w:val="20"/>
              </w:rPr>
              <w:t xml:space="preserve">. </w:t>
            </w:r>
            <w:r w:rsidR="00255016">
              <w:rPr>
                <w:rFonts w:ascii="Arial" w:hAnsi="Arial" w:cs="Arial"/>
                <w:sz w:val="20"/>
                <w:szCs w:val="20"/>
              </w:rPr>
              <w:t>K</w:t>
            </w:r>
            <w:r w:rsidR="00255016" w:rsidRPr="00255016">
              <w:rPr>
                <w:rFonts w:ascii="Arial" w:hAnsi="Arial" w:cs="Arial"/>
                <w:sz w:val="20"/>
                <w:szCs w:val="20"/>
              </w:rPr>
              <w:t>oeficient se mora določiti najmanj v višini 50 % rasti povprečnih mesečnih plač zaposlenih v Sloveniji za mesec junij tekočega leta v primerjavi z mesecem junijem prejšnjega leta, po podatkih Statističnega urada Republike Slovenije, če je ta</w:t>
            </w:r>
            <w:r w:rsidR="00B72D1D">
              <w:rPr>
                <w:rFonts w:ascii="Arial" w:hAnsi="Arial" w:cs="Arial"/>
                <w:sz w:val="20"/>
                <w:szCs w:val="20"/>
              </w:rPr>
              <w:t xml:space="preserve"> </w:t>
            </w:r>
            <w:r w:rsidR="00255016" w:rsidRPr="00255016">
              <w:rPr>
                <w:rFonts w:ascii="Arial" w:hAnsi="Arial" w:cs="Arial"/>
                <w:sz w:val="20"/>
                <w:szCs w:val="20"/>
              </w:rPr>
              <w:t>pozitivna.</w:t>
            </w:r>
            <w:r w:rsidR="00331C6B">
              <w:rPr>
                <w:rFonts w:ascii="Arial" w:hAnsi="Arial" w:cs="Arial"/>
                <w:sz w:val="20"/>
                <w:szCs w:val="20"/>
              </w:rPr>
              <w:t xml:space="preserve"> </w:t>
            </w:r>
          </w:p>
          <w:p w14:paraId="78CC7AAE" w14:textId="77777777" w:rsidR="00044227" w:rsidRPr="00255016" w:rsidRDefault="00044227" w:rsidP="00255016">
            <w:pPr>
              <w:spacing w:after="0" w:line="276" w:lineRule="auto"/>
              <w:contextualSpacing/>
              <w:jc w:val="both"/>
              <w:rPr>
                <w:rFonts w:ascii="Arial" w:hAnsi="Arial" w:cs="Arial"/>
                <w:sz w:val="20"/>
                <w:szCs w:val="20"/>
              </w:rPr>
            </w:pPr>
          </w:p>
          <w:p w14:paraId="0CBCE5D8" w14:textId="4639D0D1" w:rsidR="00FD04E8" w:rsidRDefault="00FD04E8" w:rsidP="004F2DCB">
            <w:pPr>
              <w:spacing w:after="0" w:line="276" w:lineRule="auto"/>
              <w:contextualSpacing/>
              <w:jc w:val="both"/>
              <w:rPr>
                <w:rFonts w:ascii="Arial" w:hAnsi="Arial" w:cs="Arial"/>
                <w:sz w:val="20"/>
                <w:szCs w:val="20"/>
              </w:rPr>
            </w:pPr>
            <w:r>
              <w:rPr>
                <w:rFonts w:ascii="Arial" w:hAnsi="Arial" w:cs="Arial"/>
                <w:sz w:val="20"/>
                <w:szCs w:val="20"/>
              </w:rPr>
              <w:t xml:space="preserve">Pooblastilo za določitev </w:t>
            </w:r>
            <w:r w:rsidR="000F2FAE">
              <w:rPr>
                <w:rFonts w:ascii="Arial" w:hAnsi="Arial" w:cs="Arial"/>
                <w:sz w:val="20"/>
                <w:szCs w:val="20"/>
              </w:rPr>
              <w:t xml:space="preserve">usklajenih zneskov </w:t>
            </w:r>
            <w:r w:rsidR="00F2230B">
              <w:rPr>
                <w:rFonts w:ascii="Arial" w:hAnsi="Arial" w:cs="Arial"/>
                <w:sz w:val="20"/>
                <w:szCs w:val="20"/>
              </w:rPr>
              <w:t>in</w:t>
            </w:r>
            <w:r w:rsidR="00044227">
              <w:rPr>
                <w:rFonts w:ascii="Arial" w:hAnsi="Arial" w:cs="Arial"/>
                <w:sz w:val="20"/>
                <w:szCs w:val="20"/>
              </w:rPr>
              <w:t xml:space="preserve"> </w:t>
            </w:r>
            <w:r w:rsidR="000F2FAE">
              <w:rPr>
                <w:rFonts w:ascii="Arial" w:hAnsi="Arial" w:cs="Arial"/>
                <w:sz w:val="20"/>
                <w:szCs w:val="20"/>
              </w:rPr>
              <w:t xml:space="preserve">enačbe za določitev dodatne splošne olajšave, </w:t>
            </w:r>
            <w:r w:rsidR="00F2230B">
              <w:rPr>
                <w:rFonts w:ascii="Arial" w:hAnsi="Arial" w:cs="Arial"/>
                <w:sz w:val="20"/>
                <w:szCs w:val="20"/>
              </w:rPr>
              <w:t>ob upoštevanju</w:t>
            </w:r>
            <w:r w:rsidR="000F2FAE">
              <w:rPr>
                <w:rFonts w:ascii="Arial" w:hAnsi="Arial" w:cs="Arial"/>
                <w:sz w:val="20"/>
                <w:szCs w:val="20"/>
              </w:rPr>
              <w:t xml:space="preserve"> koeficient</w:t>
            </w:r>
            <w:r w:rsidR="00F2230B">
              <w:rPr>
                <w:rFonts w:ascii="Arial" w:hAnsi="Arial" w:cs="Arial"/>
                <w:sz w:val="20"/>
                <w:szCs w:val="20"/>
              </w:rPr>
              <w:t>a</w:t>
            </w:r>
            <w:r w:rsidR="000F2FAE">
              <w:rPr>
                <w:rFonts w:ascii="Arial" w:hAnsi="Arial" w:cs="Arial"/>
                <w:sz w:val="20"/>
                <w:szCs w:val="20"/>
              </w:rPr>
              <w:t>, določen</w:t>
            </w:r>
            <w:r w:rsidR="00F2230B">
              <w:rPr>
                <w:rFonts w:ascii="Arial" w:hAnsi="Arial" w:cs="Arial"/>
                <w:sz w:val="20"/>
                <w:szCs w:val="20"/>
              </w:rPr>
              <w:t>ega</w:t>
            </w:r>
            <w:r w:rsidR="000F2FAE">
              <w:rPr>
                <w:rFonts w:ascii="Arial" w:hAnsi="Arial" w:cs="Arial"/>
                <w:sz w:val="20"/>
                <w:szCs w:val="20"/>
              </w:rPr>
              <w:t xml:space="preserve"> z zakonom, ki ureja izvrševanje proračuna, </w:t>
            </w:r>
            <w:r>
              <w:rPr>
                <w:rFonts w:ascii="Arial" w:hAnsi="Arial" w:cs="Arial"/>
                <w:sz w:val="20"/>
                <w:szCs w:val="20"/>
              </w:rPr>
              <w:t>je podeljen</w:t>
            </w:r>
            <w:r w:rsidR="008D57D0">
              <w:rPr>
                <w:rFonts w:ascii="Arial" w:hAnsi="Arial" w:cs="Arial"/>
                <w:sz w:val="20"/>
                <w:szCs w:val="20"/>
              </w:rPr>
              <w:t>o</w:t>
            </w:r>
            <w:r>
              <w:rPr>
                <w:rFonts w:ascii="Arial" w:hAnsi="Arial" w:cs="Arial"/>
                <w:sz w:val="20"/>
                <w:szCs w:val="20"/>
              </w:rPr>
              <w:t xml:space="preserve"> ministru, pristojnem</w:t>
            </w:r>
            <w:r w:rsidR="00F2230B">
              <w:rPr>
                <w:rFonts w:ascii="Arial" w:hAnsi="Arial" w:cs="Arial"/>
                <w:sz w:val="20"/>
                <w:szCs w:val="20"/>
              </w:rPr>
              <w:t>u</w:t>
            </w:r>
            <w:r>
              <w:rPr>
                <w:rFonts w:ascii="Arial" w:hAnsi="Arial" w:cs="Arial"/>
                <w:sz w:val="20"/>
                <w:szCs w:val="20"/>
              </w:rPr>
              <w:t xml:space="preserve"> za finance, ki mora te znesk</w:t>
            </w:r>
            <w:r w:rsidR="00174201">
              <w:rPr>
                <w:rFonts w:ascii="Arial" w:hAnsi="Arial" w:cs="Arial"/>
                <w:sz w:val="20"/>
                <w:szCs w:val="20"/>
              </w:rPr>
              <w:t>e</w:t>
            </w:r>
            <w:r w:rsidR="00D067C5">
              <w:rPr>
                <w:rFonts w:ascii="Arial" w:hAnsi="Arial" w:cs="Arial"/>
                <w:sz w:val="20"/>
                <w:szCs w:val="20"/>
              </w:rPr>
              <w:t xml:space="preserve"> </w:t>
            </w:r>
            <w:r w:rsidR="000F2FAE">
              <w:rPr>
                <w:rFonts w:ascii="Arial" w:hAnsi="Arial" w:cs="Arial"/>
                <w:sz w:val="20"/>
                <w:szCs w:val="20"/>
              </w:rPr>
              <w:t>in enačbo za določitev dodatne splošne olajšave,</w:t>
            </w:r>
            <w:r>
              <w:rPr>
                <w:rFonts w:ascii="Arial" w:hAnsi="Arial" w:cs="Arial"/>
                <w:sz w:val="20"/>
                <w:szCs w:val="20"/>
              </w:rPr>
              <w:t xml:space="preserve"> določiti </w:t>
            </w:r>
            <w:r w:rsidR="00F2230B">
              <w:rPr>
                <w:rFonts w:ascii="Arial" w:hAnsi="Arial" w:cs="Arial"/>
                <w:sz w:val="20"/>
                <w:szCs w:val="20"/>
              </w:rPr>
              <w:t>najpozneje</w:t>
            </w:r>
            <w:r>
              <w:rPr>
                <w:rFonts w:ascii="Arial" w:hAnsi="Arial" w:cs="Arial"/>
                <w:sz w:val="20"/>
                <w:szCs w:val="20"/>
              </w:rPr>
              <w:t xml:space="preserve"> v decembru tekočega leta za naslednje leto.</w:t>
            </w:r>
          </w:p>
          <w:p w14:paraId="2340F83B" w14:textId="0E7FA2B0" w:rsidR="00ED6374" w:rsidRDefault="00ED6374" w:rsidP="004F2DCB">
            <w:pPr>
              <w:spacing w:after="0" w:line="276" w:lineRule="auto"/>
              <w:contextualSpacing/>
              <w:jc w:val="both"/>
              <w:rPr>
                <w:rFonts w:ascii="Arial" w:hAnsi="Arial" w:cs="Arial"/>
                <w:sz w:val="20"/>
                <w:szCs w:val="20"/>
              </w:rPr>
            </w:pPr>
          </w:p>
          <w:p w14:paraId="59B08FFB" w14:textId="75C4AF36" w:rsidR="004E5E5D" w:rsidRDefault="004E5E5D" w:rsidP="00076F4A">
            <w:pPr>
              <w:pStyle w:val="Odstavekseznama"/>
              <w:numPr>
                <w:ilvl w:val="0"/>
                <w:numId w:val="28"/>
              </w:numPr>
              <w:spacing w:line="276" w:lineRule="auto"/>
              <w:contextualSpacing/>
              <w:jc w:val="both"/>
              <w:rPr>
                <w:rFonts w:ascii="Arial" w:eastAsia="Calibri" w:hAnsi="Arial" w:cs="Arial"/>
                <w:b/>
                <w:bCs/>
                <w:sz w:val="20"/>
                <w:szCs w:val="20"/>
              </w:rPr>
            </w:pPr>
          </w:p>
          <w:p w14:paraId="72FABA6C" w14:textId="234ECB68" w:rsidR="004E5E5D" w:rsidRPr="003537D6" w:rsidRDefault="004E5E5D" w:rsidP="004F2DCB">
            <w:pPr>
              <w:spacing w:after="0" w:line="276" w:lineRule="auto"/>
              <w:contextualSpacing/>
              <w:jc w:val="both"/>
              <w:rPr>
                <w:rFonts w:ascii="Arial" w:eastAsia="Calibri" w:hAnsi="Arial" w:cs="Arial"/>
                <w:sz w:val="20"/>
                <w:szCs w:val="20"/>
              </w:rPr>
            </w:pPr>
            <w:r w:rsidRPr="003537D6">
              <w:rPr>
                <w:rFonts w:ascii="Arial" w:eastAsia="Calibri" w:hAnsi="Arial" w:cs="Arial"/>
                <w:sz w:val="20"/>
                <w:szCs w:val="20"/>
              </w:rPr>
              <w:t>S predlagano spremembo prvega odstavka 122.</w:t>
            </w:r>
            <w:r w:rsidR="00F2230B">
              <w:rPr>
                <w:rFonts w:ascii="Arial" w:eastAsia="Calibri" w:hAnsi="Arial" w:cs="Arial"/>
                <w:sz w:val="20"/>
                <w:szCs w:val="20"/>
              </w:rPr>
              <w:t> </w:t>
            </w:r>
            <w:r w:rsidRPr="003537D6">
              <w:rPr>
                <w:rFonts w:ascii="Arial" w:eastAsia="Calibri" w:hAnsi="Arial" w:cs="Arial"/>
                <w:sz w:val="20"/>
                <w:szCs w:val="20"/>
              </w:rPr>
              <w:t>člena ZDoh-2 se davčna stopnja v petem dohodninskem razredu zviša s 45</w:t>
            </w:r>
            <w:r w:rsidR="00F2230B">
              <w:rPr>
                <w:rFonts w:ascii="Arial" w:eastAsia="Calibri" w:hAnsi="Arial" w:cs="Arial"/>
                <w:sz w:val="20"/>
                <w:szCs w:val="20"/>
              </w:rPr>
              <w:t> </w:t>
            </w:r>
            <w:r w:rsidRPr="003537D6">
              <w:rPr>
                <w:rFonts w:ascii="Arial" w:eastAsia="Calibri" w:hAnsi="Arial" w:cs="Arial"/>
                <w:sz w:val="20"/>
                <w:szCs w:val="20"/>
              </w:rPr>
              <w:t>% na 50</w:t>
            </w:r>
            <w:r w:rsidR="00F2230B">
              <w:rPr>
                <w:rFonts w:ascii="Arial" w:eastAsia="Calibri" w:hAnsi="Arial" w:cs="Arial"/>
                <w:sz w:val="20"/>
                <w:szCs w:val="20"/>
              </w:rPr>
              <w:t> </w:t>
            </w:r>
            <w:r w:rsidRPr="003537D6">
              <w:rPr>
                <w:rFonts w:ascii="Arial" w:eastAsia="Calibri" w:hAnsi="Arial" w:cs="Arial"/>
                <w:sz w:val="20"/>
                <w:szCs w:val="20"/>
              </w:rPr>
              <w:t>%, torej na raven pred davčnim letom 2022.</w:t>
            </w:r>
          </w:p>
          <w:p w14:paraId="7D361CC0" w14:textId="77777777" w:rsidR="004E5E5D" w:rsidRPr="00BD6A3B" w:rsidRDefault="004E5E5D" w:rsidP="004F2DCB">
            <w:pPr>
              <w:spacing w:after="0" w:line="276" w:lineRule="auto"/>
              <w:contextualSpacing/>
              <w:jc w:val="both"/>
              <w:rPr>
                <w:rFonts w:ascii="Arial" w:eastAsia="Calibri" w:hAnsi="Arial" w:cs="Arial"/>
                <w:b/>
                <w:bCs/>
                <w:sz w:val="20"/>
                <w:szCs w:val="20"/>
              </w:rPr>
            </w:pPr>
          </w:p>
          <w:p w14:paraId="57156576" w14:textId="7745CB20" w:rsidR="003A4AC4" w:rsidRDefault="00BD6A3B" w:rsidP="003A4AC4">
            <w:pPr>
              <w:spacing w:after="0" w:line="276" w:lineRule="auto"/>
              <w:contextualSpacing/>
              <w:jc w:val="both"/>
              <w:rPr>
                <w:rFonts w:ascii="Arial" w:hAnsi="Arial" w:cs="Arial"/>
                <w:sz w:val="20"/>
                <w:szCs w:val="20"/>
              </w:rPr>
            </w:pPr>
            <w:r>
              <w:rPr>
                <w:rFonts w:ascii="Arial" w:eastAsia="Calibri" w:hAnsi="Arial" w:cs="Arial"/>
                <w:sz w:val="20"/>
                <w:szCs w:val="20"/>
              </w:rPr>
              <w:lastRenderedPageBreak/>
              <w:t>Spremembe drugega in tretjega odstavka 1</w:t>
            </w:r>
            <w:r w:rsidR="00D75C3A">
              <w:rPr>
                <w:rFonts w:ascii="Arial" w:eastAsia="Calibri" w:hAnsi="Arial" w:cs="Arial"/>
                <w:sz w:val="20"/>
                <w:szCs w:val="20"/>
              </w:rPr>
              <w:t>2</w:t>
            </w:r>
            <w:r>
              <w:rPr>
                <w:rFonts w:ascii="Arial" w:eastAsia="Calibri" w:hAnsi="Arial" w:cs="Arial"/>
                <w:sz w:val="20"/>
                <w:szCs w:val="20"/>
              </w:rPr>
              <w:t>2.</w:t>
            </w:r>
            <w:r w:rsidR="00F2230B">
              <w:rPr>
                <w:rFonts w:ascii="Arial" w:eastAsia="Calibri" w:hAnsi="Arial" w:cs="Arial"/>
                <w:sz w:val="20"/>
                <w:szCs w:val="20"/>
              </w:rPr>
              <w:t> </w:t>
            </w:r>
            <w:r>
              <w:rPr>
                <w:rFonts w:ascii="Arial" w:eastAsia="Calibri" w:hAnsi="Arial" w:cs="Arial"/>
                <w:sz w:val="20"/>
                <w:szCs w:val="20"/>
              </w:rPr>
              <w:t>člena ZDoh-2</w:t>
            </w:r>
            <w:r w:rsidR="00FD04E8">
              <w:rPr>
                <w:rFonts w:ascii="Arial" w:eastAsia="Calibri" w:hAnsi="Arial" w:cs="Arial"/>
                <w:sz w:val="20"/>
                <w:szCs w:val="20"/>
              </w:rPr>
              <w:t xml:space="preserve"> pomenijo </w:t>
            </w:r>
            <w:r w:rsidR="007B4895">
              <w:rPr>
                <w:rFonts w:ascii="Arial" w:eastAsia="Calibri" w:hAnsi="Arial" w:cs="Arial"/>
                <w:sz w:val="20"/>
                <w:szCs w:val="20"/>
              </w:rPr>
              <w:t>spremembo</w:t>
            </w:r>
            <w:r w:rsidR="00FD04E8">
              <w:rPr>
                <w:rFonts w:ascii="Arial" w:eastAsia="Calibri" w:hAnsi="Arial" w:cs="Arial"/>
                <w:sz w:val="20"/>
                <w:szCs w:val="20"/>
              </w:rPr>
              <w:t xml:space="preserve"> mehanizma usklajevanja zneskov </w:t>
            </w:r>
            <w:r w:rsidR="00FD04E8" w:rsidRPr="000F68F8">
              <w:rPr>
                <w:rFonts w:ascii="Arial" w:hAnsi="Arial" w:cs="Arial"/>
                <w:sz w:val="20"/>
                <w:szCs w:val="20"/>
              </w:rPr>
              <w:t>neto letnih davčnih osnov</w:t>
            </w:r>
            <w:r w:rsidR="007B4895">
              <w:rPr>
                <w:rFonts w:ascii="Arial" w:hAnsi="Arial" w:cs="Arial"/>
                <w:sz w:val="20"/>
                <w:szCs w:val="20"/>
              </w:rPr>
              <w:t>.</w:t>
            </w:r>
            <w:r w:rsidR="00FD04E8" w:rsidRPr="000F68F8">
              <w:rPr>
                <w:rFonts w:ascii="Arial" w:hAnsi="Arial" w:cs="Arial"/>
                <w:sz w:val="20"/>
                <w:szCs w:val="20"/>
              </w:rPr>
              <w:t xml:space="preserve"> </w:t>
            </w:r>
            <w:r w:rsidR="007B4895">
              <w:rPr>
                <w:rFonts w:ascii="Arial" w:eastAsia="Calibri" w:hAnsi="Arial" w:cs="Arial"/>
                <w:sz w:val="20"/>
                <w:szCs w:val="20"/>
              </w:rPr>
              <w:t>D</w:t>
            </w:r>
            <w:r w:rsidR="00FD04E8">
              <w:rPr>
                <w:rFonts w:ascii="Arial" w:eastAsia="Calibri" w:hAnsi="Arial" w:cs="Arial"/>
                <w:sz w:val="20"/>
                <w:szCs w:val="20"/>
              </w:rPr>
              <w:t>oloč</w:t>
            </w:r>
            <w:r w:rsidR="007B4895">
              <w:rPr>
                <w:rFonts w:ascii="Arial" w:eastAsia="Calibri" w:hAnsi="Arial" w:cs="Arial"/>
                <w:sz w:val="20"/>
                <w:szCs w:val="20"/>
              </w:rPr>
              <w:t>a se</w:t>
            </w:r>
            <w:r w:rsidR="00FD04E8">
              <w:rPr>
                <w:rFonts w:ascii="Arial" w:eastAsia="Calibri" w:hAnsi="Arial" w:cs="Arial"/>
                <w:sz w:val="20"/>
                <w:szCs w:val="20"/>
              </w:rPr>
              <w:t xml:space="preserve">, da se uskladitev </w:t>
            </w:r>
            <w:r w:rsidR="000F2FAE">
              <w:rPr>
                <w:rFonts w:ascii="Arial" w:eastAsia="Calibri" w:hAnsi="Arial" w:cs="Arial"/>
                <w:sz w:val="20"/>
                <w:szCs w:val="20"/>
              </w:rPr>
              <w:t xml:space="preserve">lahko </w:t>
            </w:r>
            <w:r w:rsidR="00FD04E8">
              <w:rPr>
                <w:rFonts w:ascii="Arial" w:eastAsia="Calibri" w:hAnsi="Arial" w:cs="Arial"/>
                <w:sz w:val="20"/>
                <w:szCs w:val="20"/>
              </w:rPr>
              <w:t xml:space="preserve">opravi na podlagi vsakoletnega razmisleka </w:t>
            </w:r>
            <w:r w:rsidR="00D1034C">
              <w:rPr>
                <w:rFonts w:ascii="Arial" w:eastAsia="Calibri" w:hAnsi="Arial" w:cs="Arial"/>
                <w:sz w:val="20"/>
                <w:szCs w:val="20"/>
              </w:rPr>
              <w:t>ob pripravi</w:t>
            </w:r>
            <w:r w:rsidR="00D1034C">
              <w:rPr>
                <w:rFonts w:ascii="Arial" w:hAnsi="Arial" w:cs="Arial"/>
                <w:sz w:val="20"/>
                <w:szCs w:val="20"/>
              </w:rPr>
              <w:t xml:space="preserve"> z</w:t>
            </w:r>
            <w:r w:rsidR="00FD04E8" w:rsidRPr="00FA004D">
              <w:rPr>
                <w:rFonts w:ascii="Arial" w:hAnsi="Arial" w:cs="Arial"/>
                <w:sz w:val="20"/>
                <w:szCs w:val="20"/>
              </w:rPr>
              <w:t>akon</w:t>
            </w:r>
            <w:r w:rsidR="00D1034C">
              <w:rPr>
                <w:rFonts w:ascii="Arial" w:hAnsi="Arial" w:cs="Arial"/>
                <w:sz w:val="20"/>
                <w:szCs w:val="20"/>
              </w:rPr>
              <w:t>a</w:t>
            </w:r>
            <w:r w:rsidR="00FD04E8" w:rsidRPr="00FA004D">
              <w:rPr>
                <w:rFonts w:ascii="Arial" w:hAnsi="Arial" w:cs="Arial"/>
                <w:sz w:val="20"/>
                <w:szCs w:val="20"/>
              </w:rPr>
              <w:t>, ki ureja izvrševanje proračuna</w:t>
            </w:r>
            <w:r w:rsidR="00D1034C">
              <w:rPr>
                <w:rFonts w:ascii="Arial" w:hAnsi="Arial" w:cs="Arial"/>
                <w:sz w:val="20"/>
                <w:szCs w:val="20"/>
              </w:rPr>
              <w:t>,</w:t>
            </w:r>
            <w:r w:rsidR="00F2230B">
              <w:rPr>
                <w:rFonts w:ascii="Arial" w:hAnsi="Arial" w:cs="Arial"/>
                <w:sz w:val="20"/>
                <w:szCs w:val="20"/>
              </w:rPr>
              <w:t xml:space="preserve"> ob upoštevanju</w:t>
            </w:r>
            <w:r w:rsidR="00D1034C" w:rsidRPr="00D1034C">
              <w:rPr>
                <w:rFonts w:ascii="Arial" w:hAnsi="Arial" w:cs="Arial"/>
                <w:sz w:val="20"/>
                <w:szCs w:val="20"/>
              </w:rPr>
              <w:t xml:space="preserve"> cilje</w:t>
            </w:r>
            <w:r w:rsidR="00F2230B">
              <w:rPr>
                <w:rFonts w:ascii="Arial" w:hAnsi="Arial" w:cs="Arial"/>
                <w:sz w:val="20"/>
                <w:szCs w:val="20"/>
              </w:rPr>
              <w:t>v</w:t>
            </w:r>
            <w:r w:rsidR="00D1034C" w:rsidRPr="00D1034C">
              <w:rPr>
                <w:rFonts w:ascii="Arial" w:hAnsi="Arial" w:cs="Arial"/>
                <w:sz w:val="20"/>
                <w:szCs w:val="20"/>
              </w:rPr>
              <w:t xml:space="preserve"> ekonomske politike vlade</w:t>
            </w:r>
            <w:r w:rsidR="007B4895">
              <w:rPr>
                <w:rFonts w:ascii="Arial" w:hAnsi="Arial" w:cs="Arial"/>
                <w:sz w:val="20"/>
                <w:szCs w:val="20"/>
              </w:rPr>
              <w:t xml:space="preserve"> in po predhodnem posvetu vlade s socialnimi partnerji</w:t>
            </w:r>
            <w:r w:rsidR="00D1034C" w:rsidRPr="00D1034C">
              <w:rPr>
                <w:rFonts w:ascii="Arial" w:hAnsi="Arial" w:cs="Arial"/>
                <w:sz w:val="20"/>
                <w:szCs w:val="20"/>
              </w:rPr>
              <w:t xml:space="preserve">, in sicer z določitvijo koeficienta, s katerim se uskladijo zneski </w:t>
            </w:r>
            <w:r w:rsidR="002F63BA">
              <w:rPr>
                <w:rFonts w:ascii="Arial" w:hAnsi="Arial" w:cs="Arial"/>
                <w:sz w:val="20"/>
                <w:szCs w:val="20"/>
              </w:rPr>
              <w:t xml:space="preserve"> neto letnih davčnih osnov</w:t>
            </w:r>
            <w:r w:rsidR="003A4AC4">
              <w:rPr>
                <w:rFonts w:ascii="Arial" w:hAnsi="Arial" w:cs="Arial"/>
                <w:sz w:val="20"/>
                <w:szCs w:val="20"/>
              </w:rPr>
              <w:t>,</w:t>
            </w:r>
            <w:r w:rsidR="00D1034C" w:rsidRPr="00D1034C">
              <w:rPr>
                <w:rFonts w:ascii="Arial" w:hAnsi="Arial" w:cs="Arial"/>
                <w:sz w:val="20"/>
                <w:szCs w:val="20"/>
              </w:rPr>
              <w:t xml:space="preserve"> </w:t>
            </w:r>
            <w:r w:rsidR="00A9223B">
              <w:rPr>
                <w:rFonts w:ascii="Arial" w:hAnsi="Arial" w:cs="Arial"/>
                <w:sz w:val="20"/>
                <w:szCs w:val="20"/>
              </w:rPr>
              <w:t xml:space="preserve">z navedenim </w:t>
            </w:r>
            <w:r w:rsidR="00D1034C" w:rsidRPr="00D1034C">
              <w:rPr>
                <w:rFonts w:ascii="Arial" w:hAnsi="Arial" w:cs="Arial"/>
                <w:sz w:val="20"/>
                <w:szCs w:val="20"/>
              </w:rPr>
              <w:t>zakonom.</w:t>
            </w:r>
            <w:r w:rsidR="00D1034C">
              <w:rPr>
                <w:rFonts w:ascii="Arial" w:hAnsi="Arial" w:cs="Arial"/>
                <w:sz w:val="20"/>
                <w:szCs w:val="20"/>
              </w:rPr>
              <w:t xml:space="preserve"> </w:t>
            </w:r>
            <w:r w:rsidR="003A4AC4" w:rsidRPr="003A4AC4">
              <w:rPr>
                <w:rFonts w:ascii="Arial" w:hAnsi="Arial" w:cs="Arial"/>
                <w:sz w:val="20"/>
                <w:szCs w:val="20"/>
              </w:rPr>
              <w:t xml:space="preserve">Koeficient se mora določiti najmanj v višini 50 % rasti povprečnih mesečnih plač zaposlenih v Sloveniji za mesec junij tekočega leta v primerjavi z mesecem junijem prejšnjega leta, po podatkih Statističnega urada Republike Slovenije, če je ta pozitivna. </w:t>
            </w:r>
          </w:p>
          <w:p w14:paraId="16714B47" w14:textId="77777777" w:rsidR="00044227" w:rsidRPr="003A4AC4" w:rsidRDefault="00044227" w:rsidP="003A4AC4">
            <w:pPr>
              <w:spacing w:after="0" w:line="276" w:lineRule="auto"/>
              <w:contextualSpacing/>
              <w:jc w:val="both"/>
              <w:rPr>
                <w:rFonts w:ascii="Arial" w:hAnsi="Arial" w:cs="Arial"/>
                <w:sz w:val="20"/>
                <w:szCs w:val="20"/>
              </w:rPr>
            </w:pPr>
          </w:p>
          <w:p w14:paraId="2C95F818" w14:textId="11D6EE52" w:rsidR="00FD04E8" w:rsidRPr="00FA004D" w:rsidRDefault="00FD04E8" w:rsidP="004F2DCB">
            <w:pPr>
              <w:spacing w:after="0" w:line="276" w:lineRule="auto"/>
              <w:contextualSpacing/>
              <w:jc w:val="both"/>
              <w:rPr>
                <w:rFonts w:ascii="Arial" w:hAnsi="Arial" w:cs="Arial"/>
                <w:sz w:val="20"/>
                <w:szCs w:val="20"/>
              </w:rPr>
            </w:pPr>
            <w:r>
              <w:rPr>
                <w:rFonts w:ascii="Arial" w:hAnsi="Arial" w:cs="Arial"/>
                <w:sz w:val="20"/>
                <w:szCs w:val="20"/>
              </w:rPr>
              <w:t xml:space="preserve">Pooblastilo za določitev </w:t>
            </w:r>
            <w:r w:rsidR="002F63BA" w:rsidRPr="002F63BA">
              <w:rPr>
                <w:rFonts w:ascii="Arial" w:hAnsi="Arial" w:cs="Arial"/>
                <w:sz w:val="20"/>
                <w:szCs w:val="20"/>
              </w:rPr>
              <w:t xml:space="preserve">usklajenih zneskov </w:t>
            </w:r>
            <w:r w:rsidR="002F63BA">
              <w:rPr>
                <w:rFonts w:ascii="Arial" w:hAnsi="Arial" w:cs="Arial"/>
                <w:sz w:val="20"/>
                <w:szCs w:val="20"/>
              </w:rPr>
              <w:t xml:space="preserve">neto </w:t>
            </w:r>
            <w:r w:rsidR="004E7AEC">
              <w:rPr>
                <w:rFonts w:ascii="Arial" w:hAnsi="Arial" w:cs="Arial"/>
                <w:sz w:val="20"/>
                <w:szCs w:val="20"/>
              </w:rPr>
              <w:t>letnih davčnih osnov</w:t>
            </w:r>
            <w:r w:rsidR="002F63BA" w:rsidRPr="002F63BA">
              <w:rPr>
                <w:rFonts w:ascii="Arial" w:hAnsi="Arial" w:cs="Arial"/>
                <w:sz w:val="20"/>
                <w:szCs w:val="20"/>
              </w:rPr>
              <w:t xml:space="preserve">, </w:t>
            </w:r>
            <w:r w:rsidR="00F2230B">
              <w:rPr>
                <w:rFonts w:ascii="Arial" w:hAnsi="Arial" w:cs="Arial"/>
                <w:sz w:val="20"/>
                <w:szCs w:val="20"/>
              </w:rPr>
              <w:t>ob upoštevanju</w:t>
            </w:r>
            <w:r w:rsidR="002F63BA" w:rsidRPr="002F63BA">
              <w:rPr>
                <w:rFonts w:ascii="Arial" w:hAnsi="Arial" w:cs="Arial"/>
                <w:sz w:val="20"/>
                <w:szCs w:val="20"/>
              </w:rPr>
              <w:t xml:space="preserve"> koeficient</w:t>
            </w:r>
            <w:r w:rsidR="00F2230B">
              <w:rPr>
                <w:rFonts w:ascii="Arial" w:hAnsi="Arial" w:cs="Arial"/>
                <w:sz w:val="20"/>
                <w:szCs w:val="20"/>
              </w:rPr>
              <w:t>a</w:t>
            </w:r>
            <w:r w:rsidR="002F63BA" w:rsidRPr="002F63BA">
              <w:rPr>
                <w:rFonts w:ascii="Arial" w:hAnsi="Arial" w:cs="Arial"/>
                <w:sz w:val="20"/>
                <w:szCs w:val="20"/>
              </w:rPr>
              <w:t>, določen</w:t>
            </w:r>
            <w:r w:rsidR="00F2230B">
              <w:rPr>
                <w:rFonts w:ascii="Arial" w:hAnsi="Arial" w:cs="Arial"/>
                <w:sz w:val="20"/>
                <w:szCs w:val="20"/>
              </w:rPr>
              <w:t>ega</w:t>
            </w:r>
            <w:r w:rsidR="002F63BA" w:rsidRPr="002F63BA">
              <w:rPr>
                <w:rFonts w:ascii="Arial" w:hAnsi="Arial" w:cs="Arial"/>
                <w:sz w:val="20"/>
                <w:szCs w:val="20"/>
              </w:rPr>
              <w:t xml:space="preserve"> z zakonom, ki ureja izvrševanje proračuna</w:t>
            </w:r>
            <w:r w:rsidR="00F2230B">
              <w:rPr>
                <w:rFonts w:ascii="Arial" w:hAnsi="Arial" w:cs="Arial"/>
                <w:sz w:val="20"/>
                <w:szCs w:val="20"/>
              </w:rPr>
              <w:t>,</w:t>
            </w:r>
            <w:r w:rsidR="002F63BA" w:rsidRPr="002F63BA">
              <w:rPr>
                <w:rFonts w:ascii="Arial" w:hAnsi="Arial" w:cs="Arial"/>
                <w:sz w:val="20"/>
                <w:szCs w:val="20"/>
              </w:rPr>
              <w:t xml:space="preserve"> </w:t>
            </w:r>
            <w:r>
              <w:rPr>
                <w:rFonts w:ascii="Arial" w:hAnsi="Arial" w:cs="Arial"/>
                <w:sz w:val="20"/>
                <w:szCs w:val="20"/>
              </w:rPr>
              <w:t>je podeljen</w:t>
            </w:r>
            <w:r w:rsidR="003A4AC4">
              <w:rPr>
                <w:rFonts w:ascii="Arial" w:hAnsi="Arial" w:cs="Arial"/>
                <w:sz w:val="20"/>
                <w:szCs w:val="20"/>
              </w:rPr>
              <w:t>o</w:t>
            </w:r>
            <w:r>
              <w:rPr>
                <w:rFonts w:ascii="Arial" w:hAnsi="Arial" w:cs="Arial"/>
                <w:sz w:val="20"/>
                <w:szCs w:val="20"/>
              </w:rPr>
              <w:t xml:space="preserve"> ministru, pristojnem</w:t>
            </w:r>
            <w:r w:rsidR="00F2230B">
              <w:rPr>
                <w:rFonts w:ascii="Arial" w:hAnsi="Arial" w:cs="Arial"/>
                <w:sz w:val="20"/>
                <w:szCs w:val="20"/>
              </w:rPr>
              <w:t>u</w:t>
            </w:r>
            <w:r>
              <w:rPr>
                <w:rFonts w:ascii="Arial" w:hAnsi="Arial" w:cs="Arial"/>
                <w:sz w:val="20"/>
                <w:szCs w:val="20"/>
              </w:rPr>
              <w:t xml:space="preserve"> za finance, ki mora te znesk</w:t>
            </w:r>
            <w:r w:rsidR="00174201">
              <w:rPr>
                <w:rFonts w:ascii="Arial" w:hAnsi="Arial" w:cs="Arial"/>
                <w:sz w:val="20"/>
                <w:szCs w:val="20"/>
              </w:rPr>
              <w:t>e</w:t>
            </w:r>
            <w:r>
              <w:rPr>
                <w:rFonts w:ascii="Arial" w:hAnsi="Arial" w:cs="Arial"/>
                <w:sz w:val="20"/>
                <w:szCs w:val="20"/>
              </w:rPr>
              <w:t xml:space="preserve"> določiti naj</w:t>
            </w:r>
            <w:r w:rsidR="00F2230B">
              <w:rPr>
                <w:rFonts w:ascii="Arial" w:hAnsi="Arial" w:cs="Arial"/>
                <w:sz w:val="20"/>
                <w:szCs w:val="20"/>
              </w:rPr>
              <w:t>poz</w:t>
            </w:r>
            <w:r>
              <w:rPr>
                <w:rFonts w:ascii="Arial" w:hAnsi="Arial" w:cs="Arial"/>
                <w:sz w:val="20"/>
                <w:szCs w:val="20"/>
              </w:rPr>
              <w:t>neje v decembru tekočega leta za naslednje leto.</w:t>
            </w:r>
          </w:p>
          <w:p w14:paraId="3D6019B5" w14:textId="2AC6FB30" w:rsidR="00BD6A3B" w:rsidRDefault="00BD6A3B" w:rsidP="004F2DCB">
            <w:pPr>
              <w:spacing w:after="0" w:line="276" w:lineRule="auto"/>
              <w:contextualSpacing/>
              <w:jc w:val="both"/>
              <w:rPr>
                <w:rFonts w:ascii="Arial" w:eastAsia="Calibri" w:hAnsi="Arial" w:cs="Arial"/>
                <w:sz w:val="20"/>
                <w:szCs w:val="20"/>
              </w:rPr>
            </w:pPr>
          </w:p>
          <w:p w14:paraId="4E3B0325" w14:textId="47631CFB" w:rsidR="00AD4B6F" w:rsidRPr="00AD4B6F" w:rsidRDefault="00AD4B6F" w:rsidP="00076F4A">
            <w:pPr>
              <w:pStyle w:val="Odstavekseznama"/>
              <w:numPr>
                <w:ilvl w:val="0"/>
                <w:numId w:val="28"/>
              </w:numPr>
              <w:spacing w:line="276" w:lineRule="auto"/>
              <w:contextualSpacing/>
              <w:jc w:val="both"/>
              <w:rPr>
                <w:rFonts w:ascii="Arial" w:eastAsia="Calibri" w:hAnsi="Arial" w:cs="Arial"/>
                <w:b/>
                <w:bCs/>
                <w:sz w:val="20"/>
                <w:szCs w:val="20"/>
              </w:rPr>
            </w:pPr>
          </w:p>
          <w:p w14:paraId="7B28571C" w14:textId="38301098" w:rsidR="002B43EA" w:rsidRDefault="002B43EA" w:rsidP="004F2DCB">
            <w:pPr>
              <w:spacing w:after="0" w:line="276" w:lineRule="auto"/>
              <w:contextualSpacing/>
              <w:jc w:val="both"/>
              <w:rPr>
                <w:rFonts w:ascii="Arial" w:eastAsia="Calibri" w:hAnsi="Arial" w:cs="Arial"/>
                <w:sz w:val="20"/>
                <w:szCs w:val="20"/>
              </w:rPr>
            </w:pPr>
            <w:r w:rsidRPr="002B43EA">
              <w:rPr>
                <w:rFonts w:ascii="Arial" w:eastAsia="Calibri" w:hAnsi="Arial" w:cs="Arial"/>
                <w:sz w:val="20"/>
                <w:szCs w:val="20"/>
              </w:rPr>
              <w:t xml:space="preserve">Črtanje </w:t>
            </w:r>
            <w:r w:rsidR="00803336">
              <w:rPr>
                <w:rFonts w:ascii="Arial" w:eastAsia="Calibri" w:hAnsi="Arial" w:cs="Arial"/>
                <w:sz w:val="20"/>
                <w:szCs w:val="20"/>
              </w:rPr>
              <w:t>drugega</w:t>
            </w:r>
            <w:r>
              <w:rPr>
                <w:rFonts w:ascii="Arial" w:eastAsia="Calibri" w:hAnsi="Arial" w:cs="Arial"/>
                <w:sz w:val="20"/>
                <w:szCs w:val="20"/>
              </w:rPr>
              <w:t xml:space="preserve"> stavka tretjega odstavka 123.</w:t>
            </w:r>
            <w:r w:rsidR="00F2230B">
              <w:rPr>
                <w:rFonts w:ascii="Arial" w:eastAsia="Calibri" w:hAnsi="Arial" w:cs="Arial"/>
                <w:sz w:val="20"/>
                <w:szCs w:val="20"/>
              </w:rPr>
              <w:t> </w:t>
            </w:r>
            <w:r>
              <w:rPr>
                <w:rFonts w:ascii="Arial" w:eastAsia="Calibri" w:hAnsi="Arial" w:cs="Arial"/>
                <w:sz w:val="20"/>
                <w:szCs w:val="20"/>
              </w:rPr>
              <w:t xml:space="preserve">člena ZDoh-2 </w:t>
            </w:r>
            <w:r w:rsidRPr="002B43EA">
              <w:rPr>
                <w:rFonts w:ascii="Arial" w:eastAsia="Calibri" w:hAnsi="Arial" w:cs="Arial"/>
                <w:sz w:val="20"/>
                <w:szCs w:val="20"/>
              </w:rPr>
              <w:t>je povezano s predlogom spremembe prvega odstavka 109.</w:t>
            </w:r>
            <w:r w:rsidR="00F2230B">
              <w:rPr>
                <w:rFonts w:ascii="Arial" w:eastAsia="Calibri" w:hAnsi="Arial" w:cs="Arial"/>
                <w:sz w:val="20"/>
                <w:szCs w:val="20"/>
              </w:rPr>
              <w:t> </w:t>
            </w:r>
            <w:r w:rsidRPr="002B43EA">
              <w:rPr>
                <w:rFonts w:ascii="Arial" w:eastAsia="Calibri" w:hAnsi="Arial" w:cs="Arial"/>
                <w:sz w:val="20"/>
                <w:szCs w:val="20"/>
              </w:rPr>
              <w:t>člena ZDoh-2, s katerim se odpravlja možnost odločitve zavezanc</w:t>
            </w:r>
            <w:r w:rsidR="003C7DE4">
              <w:rPr>
                <w:rFonts w:ascii="Arial" w:eastAsia="Calibri" w:hAnsi="Arial" w:cs="Arial"/>
                <w:sz w:val="20"/>
                <w:szCs w:val="20"/>
              </w:rPr>
              <w:t>a</w:t>
            </w:r>
            <w:r w:rsidRPr="002B43EA">
              <w:rPr>
                <w:rFonts w:ascii="Arial" w:eastAsia="Calibri" w:hAnsi="Arial" w:cs="Arial"/>
                <w:sz w:val="20"/>
                <w:szCs w:val="20"/>
              </w:rPr>
              <w:t xml:space="preserve"> za vštevanje dohodkov iz kapitala in oddajanja premoženja v najem v letno davčno osnovo. </w:t>
            </w:r>
            <w:r w:rsidR="003C7DE4">
              <w:rPr>
                <w:rFonts w:ascii="Arial" w:eastAsia="Calibri" w:hAnsi="Arial" w:cs="Arial"/>
                <w:sz w:val="20"/>
                <w:szCs w:val="20"/>
              </w:rPr>
              <w:t>Plačan dokončni davek se posledično ne bo štel več za akontacijo dohodnine od dohodkov iz kapitala in dohodkov iz oddajanja premoženja v najem.</w:t>
            </w:r>
          </w:p>
          <w:p w14:paraId="4F64A206" w14:textId="77777777" w:rsidR="002B43EA" w:rsidRDefault="002B43EA" w:rsidP="004F2DCB">
            <w:pPr>
              <w:spacing w:after="0" w:line="276" w:lineRule="auto"/>
              <w:contextualSpacing/>
              <w:jc w:val="both"/>
              <w:rPr>
                <w:rFonts w:ascii="Arial" w:eastAsia="Calibri" w:hAnsi="Arial" w:cs="Arial"/>
                <w:sz w:val="20"/>
                <w:szCs w:val="20"/>
              </w:rPr>
            </w:pPr>
          </w:p>
          <w:p w14:paraId="057D6D02" w14:textId="37CB8F2A" w:rsidR="002B43EA" w:rsidRPr="00CA2033" w:rsidRDefault="002B43EA" w:rsidP="00076F4A">
            <w:pPr>
              <w:pStyle w:val="Odstavekseznama"/>
              <w:numPr>
                <w:ilvl w:val="0"/>
                <w:numId w:val="28"/>
              </w:numPr>
              <w:spacing w:line="276" w:lineRule="auto"/>
              <w:contextualSpacing/>
              <w:jc w:val="both"/>
              <w:rPr>
                <w:rFonts w:ascii="Arial" w:eastAsia="Calibri" w:hAnsi="Arial" w:cs="Arial"/>
                <w:sz w:val="20"/>
                <w:szCs w:val="20"/>
              </w:rPr>
            </w:pPr>
          </w:p>
          <w:p w14:paraId="174002E5" w14:textId="346EC1A4" w:rsidR="002B43EA" w:rsidRDefault="003C7DE4" w:rsidP="004F2DCB">
            <w:pPr>
              <w:spacing w:after="0" w:line="276" w:lineRule="auto"/>
              <w:contextualSpacing/>
              <w:jc w:val="both"/>
              <w:rPr>
                <w:rFonts w:ascii="Arial" w:eastAsia="Calibri" w:hAnsi="Arial" w:cs="Arial"/>
                <w:sz w:val="20"/>
                <w:szCs w:val="20"/>
              </w:rPr>
            </w:pPr>
            <w:r w:rsidRPr="003C7DE4">
              <w:rPr>
                <w:rFonts w:ascii="Arial" w:eastAsia="Calibri" w:hAnsi="Arial" w:cs="Arial"/>
                <w:sz w:val="20"/>
                <w:szCs w:val="20"/>
              </w:rPr>
              <w:t xml:space="preserve">Črtanje </w:t>
            </w:r>
            <w:r>
              <w:rPr>
                <w:rFonts w:ascii="Arial" w:eastAsia="Calibri" w:hAnsi="Arial" w:cs="Arial"/>
                <w:sz w:val="20"/>
                <w:szCs w:val="20"/>
              </w:rPr>
              <w:t xml:space="preserve">poglavja </w:t>
            </w:r>
            <w:r w:rsidRPr="003C7DE4">
              <w:rPr>
                <w:rFonts w:ascii="Arial" w:eastAsia="Calibri" w:hAnsi="Arial" w:cs="Arial"/>
                <w:sz w:val="20"/>
                <w:szCs w:val="20"/>
              </w:rPr>
              <w:t>»VII.A POSEBNA PRAVILA V ZVEZI Z UVELJAVLJANJEM ODLOČITVE ZAVEZANCA O VŠTEVANJU DAVČNIH OSNOV OD DOHODKOV IZ KAPITALA IN DOHODKOV IZ ODDAJANJA PREMOŽENJA V NAJEM V LETNO DAVČNO OSNOVO« in a131.a</w:t>
            </w:r>
            <w:r w:rsidR="00F2230B">
              <w:rPr>
                <w:rFonts w:ascii="Arial" w:eastAsia="Calibri" w:hAnsi="Arial" w:cs="Arial"/>
                <w:sz w:val="20"/>
                <w:szCs w:val="20"/>
              </w:rPr>
              <w:t> </w:t>
            </w:r>
            <w:r w:rsidRPr="003C7DE4">
              <w:rPr>
                <w:rFonts w:ascii="Arial" w:eastAsia="Calibri" w:hAnsi="Arial" w:cs="Arial"/>
                <w:sz w:val="20"/>
                <w:szCs w:val="20"/>
              </w:rPr>
              <w:t>člen</w:t>
            </w:r>
            <w:r w:rsidR="00803336">
              <w:rPr>
                <w:rFonts w:ascii="Arial" w:eastAsia="Calibri" w:hAnsi="Arial" w:cs="Arial"/>
                <w:sz w:val="20"/>
                <w:szCs w:val="20"/>
              </w:rPr>
              <w:t>a</w:t>
            </w:r>
            <w:r w:rsidRPr="003C7DE4">
              <w:rPr>
                <w:rFonts w:ascii="Arial" w:eastAsia="Calibri" w:hAnsi="Arial" w:cs="Arial"/>
                <w:sz w:val="20"/>
                <w:szCs w:val="20"/>
              </w:rPr>
              <w:t xml:space="preserve"> ZDoh-2</w:t>
            </w:r>
            <w:r>
              <w:rPr>
                <w:rFonts w:ascii="Arial" w:eastAsia="Calibri" w:hAnsi="Arial" w:cs="Arial"/>
                <w:sz w:val="20"/>
                <w:szCs w:val="20"/>
              </w:rPr>
              <w:t xml:space="preserve"> </w:t>
            </w:r>
            <w:r w:rsidR="00F2230B">
              <w:rPr>
                <w:rFonts w:ascii="Arial" w:eastAsia="Calibri" w:hAnsi="Arial" w:cs="Arial"/>
                <w:sz w:val="20"/>
                <w:szCs w:val="20"/>
              </w:rPr>
              <w:t>sta</w:t>
            </w:r>
            <w:r>
              <w:rPr>
                <w:rFonts w:ascii="Arial" w:eastAsia="Calibri" w:hAnsi="Arial" w:cs="Arial"/>
                <w:sz w:val="20"/>
                <w:szCs w:val="20"/>
              </w:rPr>
              <w:t xml:space="preserve"> povezan</w:t>
            </w:r>
            <w:r w:rsidR="00F2230B">
              <w:rPr>
                <w:rFonts w:ascii="Arial" w:eastAsia="Calibri" w:hAnsi="Arial" w:cs="Arial"/>
                <w:sz w:val="20"/>
                <w:szCs w:val="20"/>
              </w:rPr>
              <w:t>a</w:t>
            </w:r>
            <w:r>
              <w:rPr>
                <w:rFonts w:ascii="Arial" w:eastAsia="Calibri" w:hAnsi="Arial" w:cs="Arial"/>
                <w:sz w:val="20"/>
                <w:szCs w:val="20"/>
              </w:rPr>
              <w:t xml:space="preserve"> s </w:t>
            </w:r>
            <w:r w:rsidRPr="003C7DE4">
              <w:rPr>
                <w:rFonts w:ascii="Arial" w:eastAsia="Calibri" w:hAnsi="Arial" w:cs="Arial"/>
                <w:sz w:val="20"/>
                <w:szCs w:val="20"/>
              </w:rPr>
              <w:t>predlogom spremembe prvega odstavka 109.</w:t>
            </w:r>
            <w:r w:rsidR="00F2230B">
              <w:rPr>
                <w:rFonts w:ascii="Arial" w:eastAsia="Calibri" w:hAnsi="Arial" w:cs="Arial"/>
                <w:sz w:val="20"/>
                <w:szCs w:val="20"/>
              </w:rPr>
              <w:t> </w:t>
            </w:r>
            <w:r w:rsidRPr="003C7DE4">
              <w:rPr>
                <w:rFonts w:ascii="Arial" w:eastAsia="Calibri" w:hAnsi="Arial" w:cs="Arial"/>
                <w:sz w:val="20"/>
                <w:szCs w:val="20"/>
              </w:rPr>
              <w:t xml:space="preserve">člena ZDoh-2, s katerim se odpravlja možnost odločitve zavezance za vštevanje dohodkov iz kapitala in oddajanja premoženja v najem v letno davčno osnovo. </w:t>
            </w:r>
            <w:r>
              <w:rPr>
                <w:rFonts w:ascii="Arial" w:eastAsia="Calibri" w:hAnsi="Arial" w:cs="Arial"/>
                <w:sz w:val="20"/>
                <w:szCs w:val="20"/>
              </w:rPr>
              <w:t xml:space="preserve">Posebna pravila v zvezi z uveljavljanjem odločitve zavezanca o </w:t>
            </w:r>
            <w:r w:rsidR="00FB0A39">
              <w:rPr>
                <w:rFonts w:ascii="Arial" w:eastAsia="Calibri" w:hAnsi="Arial" w:cs="Arial"/>
                <w:sz w:val="20"/>
                <w:szCs w:val="20"/>
              </w:rPr>
              <w:t>vštevanju davčnih osnov od dohodkov iz kapitala in dohodkov iz oddajanja premoženja v najem v letno davčno osnovo posledično niso več potrebna.</w:t>
            </w:r>
          </w:p>
          <w:p w14:paraId="1D74DDE7" w14:textId="77777777" w:rsidR="002B43EA" w:rsidRDefault="002B43EA" w:rsidP="004F2DCB">
            <w:pPr>
              <w:spacing w:after="0" w:line="276" w:lineRule="auto"/>
              <w:contextualSpacing/>
              <w:jc w:val="both"/>
              <w:rPr>
                <w:rFonts w:ascii="Arial" w:eastAsia="Calibri" w:hAnsi="Arial" w:cs="Arial"/>
                <w:sz w:val="20"/>
                <w:szCs w:val="20"/>
              </w:rPr>
            </w:pPr>
          </w:p>
          <w:p w14:paraId="63852F57" w14:textId="77777777" w:rsidR="002B43EA" w:rsidRPr="00CA2033" w:rsidRDefault="002B43EA" w:rsidP="00076F4A">
            <w:pPr>
              <w:pStyle w:val="Odstavekseznama"/>
              <w:numPr>
                <w:ilvl w:val="0"/>
                <w:numId w:val="28"/>
              </w:numPr>
              <w:spacing w:line="276" w:lineRule="auto"/>
              <w:contextualSpacing/>
              <w:jc w:val="both"/>
              <w:rPr>
                <w:rFonts w:ascii="Arial" w:eastAsia="Calibri" w:hAnsi="Arial" w:cs="Arial"/>
                <w:sz w:val="20"/>
                <w:szCs w:val="20"/>
              </w:rPr>
            </w:pPr>
          </w:p>
          <w:p w14:paraId="4D95FB04" w14:textId="2FC0ADB7" w:rsidR="00AD4B6F" w:rsidRDefault="00AD4B6F" w:rsidP="004F2DCB">
            <w:pPr>
              <w:spacing w:after="0" w:line="276" w:lineRule="auto"/>
              <w:contextualSpacing/>
              <w:jc w:val="both"/>
              <w:rPr>
                <w:rFonts w:ascii="Arial" w:eastAsia="Calibri" w:hAnsi="Arial" w:cs="Arial"/>
                <w:sz w:val="20"/>
                <w:szCs w:val="20"/>
              </w:rPr>
            </w:pPr>
            <w:r w:rsidRPr="00AD4B6F">
              <w:rPr>
                <w:rFonts w:ascii="Arial" w:eastAsia="Calibri" w:hAnsi="Arial" w:cs="Arial"/>
                <w:sz w:val="20"/>
                <w:szCs w:val="20"/>
              </w:rPr>
              <w:t xml:space="preserve">S predlagano spremembo </w:t>
            </w:r>
            <w:r>
              <w:rPr>
                <w:rFonts w:ascii="Arial" w:eastAsia="Calibri" w:hAnsi="Arial" w:cs="Arial"/>
                <w:sz w:val="20"/>
                <w:szCs w:val="20"/>
              </w:rPr>
              <w:t>135.č</w:t>
            </w:r>
            <w:r w:rsidR="00F2230B">
              <w:rPr>
                <w:rFonts w:ascii="Arial" w:eastAsia="Calibri" w:hAnsi="Arial" w:cs="Arial"/>
                <w:sz w:val="20"/>
                <w:szCs w:val="20"/>
              </w:rPr>
              <w:t> </w:t>
            </w:r>
            <w:r w:rsidRPr="00AD4B6F">
              <w:rPr>
                <w:rFonts w:ascii="Arial" w:eastAsia="Calibri" w:hAnsi="Arial" w:cs="Arial"/>
                <w:sz w:val="20"/>
                <w:szCs w:val="20"/>
              </w:rPr>
              <w:t xml:space="preserve">člena </w:t>
            </w:r>
            <w:r w:rsidR="00F2230B">
              <w:rPr>
                <w:rFonts w:ascii="Arial" w:eastAsia="Calibri" w:hAnsi="Arial" w:cs="Arial"/>
                <w:sz w:val="20"/>
                <w:szCs w:val="20"/>
              </w:rPr>
              <w:t>ZDoh-2</w:t>
            </w:r>
            <w:r w:rsidRPr="00AD4B6F">
              <w:rPr>
                <w:rFonts w:ascii="Arial" w:eastAsia="Calibri" w:hAnsi="Arial" w:cs="Arial"/>
                <w:sz w:val="20"/>
                <w:szCs w:val="20"/>
              </w:rPr>
              <w:t xml:space="preserve"> se </w:t>
            </w:r>
            <w:r>
              <w:rPr>
                <w:rFonts w:ascii="Arial" w:eastAsia="Calibri" w:hAnsi="Arial" w:cs="Arial"/>
                <w:sz w:val="20"/>
                <w:szCs w:val="20"/>
              </w:rPr>
              <w:t>stopnja dohodnine, ki se plačuje od dohodkov iz poglavja</w:t>
            </w:r>
            <w:r w:rsidR="00F2230B">
              <w:rPr>
                <w:rFonts w:ascii="Arial" w:eastAsia="Calibri" w:hAnsi="Arial" w:cs="Arial"/>
                <w:sz w:val="20"/>
                <w:szCs w:val="20"/>
              </w:rPr>
              <w:t> III.5.1.</w:t>
            </w:r>
            <w:r>
              <w:rPr>
                <w:rFonts w:ascii="Arial" w:eastAsia="Calibri" w:hAnsi="Arial" w:cs="Arial"/>
                <w:sz w:val="20"/>
                <w:szCs w:val="20"/>
              </w:rPr>
              <w:t xml:space="preserve"> </w:t>
            </w:r>
            <w:r w:rsidR="00803336">
              <w:rPr>
                <w:rFonts w:ascii="Arial" w:eastAsia="Calibri" w:hAnsi="Arial" w:cs="Arial"/>
                <w:sz w:val="20"/>
                <w:szCs w:val="20"/>
              </w:rPr>
              <w:t>ZDoh-2</w:t>
            </w:r>
            <w:r w:rsidR="008D57D0">
              <w:rPr>
                <w:rFonts w:ascii="Arial" w:eastAsia="Calibri" w:hAnsi="Arial" w:cs="Arial"/>
                <w:sz w:val="20"/>
                <w:szCs w:val="20"/>
              </w:rPr>
              <w:t>,</w:t>
            </w:r>
            <w:r w:rsidRPr="00AD4B6F">
              <w:rPr>
                <w:rFonts w:ascii="Arial" w:eastAsia="Calibri" w:hAnsi="Arial" w:cs="Arial"/>
                <w:sz w:val="20"/>
                <w:szCs w:val="20"/>
              </w:rPr>
              <w:t xml:space="preserve"> zviša </w:t>
            </w:r>
            <w:r>
              <w:rPr>
                <w:rFonts w:ascii="Arial" w:eastAsia="Calibri" w:hAnsi="Arial" w:cs="Arial"/>
                <w:sz w:val="20"/>
                <w:szCs w:val="20"/>
              </w:rPr>
              <w:t xml:space="preserve">s </w:t>
            </w:r>
            <w:r w:rsidRPr="00AD4B6F">
              <w:rPr>
                <w:rFonts w:ascii="Arial" w:eastAsia="Calibri" w:hAnsi="Arial" w:cs="Arial"/>
                <w:sz w:val="20"/>
                <w:szCs w:val="20"/>
              </w:rPr>
              <w:t>1</w:t>
            </w:r>
            <w:r>
              <w:rPr>
                <w:rFonts w:ascii="Arial" w:eastAsia="Calibri" w:hAnsi="Arial" w:cs="Arial"/>
                <w:sz w:val="20"/>
                <w:szCs w:val="20"/>
              </w:rPr>
              <w:t>5</w:t>
            </w:r>
            <w:r w:rsidR="00F2230B">
              <w:rPr>
                <w:rFonts w:ascii="Arial" w:eastAsia="Calibri" w:hAnsi="Arial" w:cs="Arial"/>
                <w:sz w:val="20"/>
                <w:szCs w:val="20"/>
              </w:rPr>
              <w:t> </w:t>
            </w:r>
            <w:r w:rsidRPr="00AD4B6F">
              <w:rPr>
                <w:rFonts w:ascii="Arial" w:eastAsia="Calibri" w:hAnsi="Arial" w:cs="Arial"/>
                <w:sz w:val="20"/>
                <w:szCs w:val="20"/>
              </w:rPr>
              <w:t xml:space="preserve">% na </w:t>
            </w:r>
            <w:r>
              <w:rPr>
                <w:rFonts w:ascii="Arial" w:eastAsia="Calibri" w:hAnsi="Arial" w:cs="Arial"/>
                <w:sz w:val="20"/>
                <w:szCs w:val="20"/>
              </w:rPr>
              <w:t>25</w:t>
            </w:r>
            <w:r w:rsidR="00F2230B">
              <w:rPr>
                <w:rFonts w:ascii="Arial" w:eastAsia="Calibri" w:hAnsi="Arial" w:cs="Arial"/>
                <w:sz w:val="20"/>
                <w:szCs w:val="20"/>
              </w:rPr>
              <w:t> </w:t>
            </w:r>
            <w:r w:rsidRPr="00AD4B6F">
              <w:rPr>
                <w:rFonts w:ascii="Arial" w:eastAsia="Calibri" w:hAnsi="Arial" w:cs="Arial"/>
                <w:sz w:val="20"/>
                <w:szCs w:val="20"/>
              </w:rPr>
              <w:t>%.</w:t>
            </w:r>
          </w:p>
          <w:p w14:paraId="690FA12D" w14:textId="3DF44AAE" w:rsidR="00C909D0" w:rsidRPr="00833C5D" w:rsidRDefault="00C909D0" w:rsidP="00833C5D">
            <w:pPr>
              <w:shd w:val="clear" w:color="auto" w:fill="FFFFFF" w:themeFill="background1"/>
              <w:spacing w:after="0" w:line="276" w:lineRule="auto"/>
              <w:jc w:val="both"/>
              <w:rPr>
                <w:rFonts w:ascii="Arial" w:hAnsi="Arial" w:cs="Arial"/>
                <w:sz w:val="20"/>
                <w:szCs w:val="20"/>
              </w:rPr>
            </w:pPr>
          </w:p>
          <w:p w14:paraId="5FE1BC3E" w14:textId="273A8621" w:rsidR="00DD1916" w:rsidRPr="00833C5D" w:rsidRDefault="00DD1916" w:rsidP="00833C5D">
            <w:pPr>
              <w:pStyle w:val="Odstavekseznama"/>
              <w:numPr>
                <w:ilvl w:val="0"/>
                <w:numId w:val="28"/>
              </w:numPr>
              <w:shd w:val="clear" w:color="auto" w:fill="FFFFFF" w:themeFill="background1"/>
              <w:spacing w:line="276" w:lineRule="auto"/>
              <w:jc w:val="both"/>
              <w:rPr>
                <w:rFonts w:ascii="Arial" w:hAnsi="Arial" w:cs="Arial"/>
                <w:b/>
                <w:sz w:val="20"/>
                <w:szCs w:val="20"/>
              </w:rPr>
            </w:pPr>
          </w:p>
          <w:p w14:paraId="6599C63F" w14:textId="77777777" w:rsidR="00AD68A5" w:rsidRPr="00C86DCA" w:rsidRDefault="00AD68A5" w:rsidP="00833C5D">
            <w:pPr>
              <w:shd w:val="clear" w:color="auto" w:fill="FFFFFF" w:themeFill="background1"/>
              <w:spacing w:after="0" w:line="276" w:lineRule="auto"/>
              <w:jc w:val="both"/>
              <w:rPr>
                <w:rFonts w:ascii="Arial" w:eastAsia="Times New Roman" w:hAnsi="Arial" w:cs="Arial"/>
                <w:sz w:val="20"/>
                <w:szCs w:val="20"/>
                <w:lang w:eastAsia="sl-SI"/>
              </w:rPr>
            </w:pPr>
            <w:r w:rsidRPr="00AD68A5">
              <w:rPr>
                <w:rFonts w:ascii="Arial" w:eastAsia="Times New Roman" w:hAnsi="Arial" w:cs="Arial"/>
                <w:sz w:val="20"/>
                <w:szCs w:val="20"/>
                <w:lang w:eastAsia="sl-SI"/>
              </w:rPr>
              <w:t>S spremembo prvega odstavka 142. člena ZDoh-2 se določa delež, do katerega lahko rezident od dohodnine, odmerjene po tem zakonu, od dohodkov, ki se vštevajo v letno davčno osnovo, nameni upravičencem do donacij. Ta delež je določen s prvim odstavkom tega člena v višini 0,5 %, ne glede na to pa Zakon o interventnih ukrepih za pomoč pri omilitvi posledic drugega vala epidemije COVID-19 (Uradni list RS, št. 203/20, 15/21 – ZDUOP, 82/21 – ZNB-C, 112/21 – ZNUPZ in 206/21 – ZDUPŠOP; v nadaljnjem besedilu: ZIUPOPDVE) v svojem 60. členu določa, da ta delež, ne glede na določbo ZDoh-2, znaša 1 %. Zato se s spremembo prvega odstavka prenaša višina tega deleža, trenutno urejenega v ZIUPOPDVE, v ZDoh-2, torej v zakon, ki sistemsko ureja institut namenitve dela dohodnine za donacije.</w:t>
            </w:r>
          </w:p>
          <w:p w14:paraId="5757519A" w14:textId="77777777" w:rsidR="00AD68A5" w:rsidRPr="00AD68A5" w:rsidRDefault="00AD68A5" w:rsidP="00833C5D">
            <w:pPr>
              <w:shd w:val="clear" w:color="auto" w:fill="FFFFFF" w:themeFill="background1"/>
              <w:spacing w:after="0" w:line="276" w:lineRule="auto"/>
              <w:jc w:val="both"/>
              <w:rPr>
                <w:rFonts w:ascii="Arial" w:eastAsia="Times New Roman" w:hAnsi="Arial" w:cs="Arial"/>
                <w:sz w:val="20"/>
                <w:szCs w:val="20"/>
                <w:lang w:eastAsia="sl-SI"/>
              </w:rPr>
            </w:pPr>
          </w:p>
          <w:p w14:paraId="4BE25E4E" w14:textId="77777777" w:rsidR="00AD68A5" w:rsidRPr="00C86DCA" w:rsidRDefault="00AD68A5" w:rsidP="00833C5D">
            <w:pPr>
              <w:shd w:val="clear" w:color="auto" w:fill="FFFFFF" w:themeFill="background1"/>
              <w:spacing w:after="0" w:line="276" w:lineRule="auto"/>
              <w:jc w:val="both"/>
              <w:rPr>
                <w:rFonts w:ascii="Arial" w:eastAsia="Times New Roman" w:hAnsi="Arial" w:cs="Arial"/>
                <w:sz w:val="20"/>
                <w:szCs w:val="20"/>
                <w:lang w:eastAsia="sl-SI"/>
              </w:rPr>
            </w:pPr>
            <w:r w:rsidRPr="00AD68A5">
              <w:rPr>
                <w:rFonts w:ascii="Arial" w:eastAsia="Times New Roman" w:hAnsi="Arial" w:cs="Arial"/>
                <w:sz w:val="20"/>
                <w:szCs w:val="20"/>
                <w:lang w:eastAsia="sl-SI"/>
              </w:rPr>
              <w:t xml:space="preserve">Drugi odstavek se dopolnjuje na način, da so upravičenci do donacij iz namenitve dela dohodnine tudi šole in vrtci, ki na določen dan (31. decembra preteklega leta) izpolnjujejo pogoje iz tega člena. </w:t>
            </w:r>
          </w:p>
          <w:p w14:paraId="4648BC9D" w14:textId="77777777" w:rsidR="00AD68A5" w:rsidRPr="00AD68A5" w:rsidRDefault="00AD68A5" w:rsidP="00833C5D">
            <w:pPr>
              <w:shd w:val="clear" w:color="auto" w:fill="FFFFFF" w:themeFill="background1"/>
              <w:spacing w:after="0" w:line="276" w:lineRule="auto"/>
              <w:jc w:val="both"/>
              <w:rPr>
                <w:rFonts w:ascii="Arial" w:eastAsia="Times New Roman" w:hAnsi="Arial" w:cs="Arial"/>
                <w:sz w:val="20"/>
                <w:szCs w:val="20"/>
                <w:lang w:eastAsia="sl-SI"/>
              </w:rPr>
            </w:pPr>
          </w:p>
          <w:p w14:paraId="6F78AA8D" w14:textId="77777777" w:rsidR="00AD68A5" w:rsidRPr="00C86DCA" w:rsidRDefault="00AD68A5" w:rsidP="00833C5D">
            <w:pPr>
              <w:shd w:val="clear" w:color="auto" w:fill="FFFFFF" w:themeFill="background1"/>
              <w:spacing w:after="0" w:line="276" w:lineRule="auto"/>
              <w:jc w:val="both"/>
              <w:rPr>
                <w:rFonts w:ascii="Arial" w:eastAsia="Times New Roman" w:hAnsi="Arial" w:cs="Arial"/>
                <w:sz w:val="20"/>
                <w:szCs w:val="20"/>
                <w:lang w:eastAsia="sl-SI"/>
              </w:rPr>
            </w:pPr>
            <w:r w:rsidRPr="00AD68A5">
              <w:rPr>
                <w:rFonts w:ascii="Arial" w:eastAsia="Times New Roman" w:hAnsi="Arial" w:cs="Arial"/>
                <w:sz w:val="20"/>
                <w:szCs w:val="20"/>
                <w:lang w:eastAsia="sl-SI"/>
              </w:rPr>
              <w:t xml:space="preserve">Dopolnitve drugega in četrtega odstavka v delu, ki se nanaša na sestavne dele registriranih cerkva in drugih verskih skupnosti pomenijo večjo jasnosti zakona, saj se jasno določi, da so upravičenci do namenitve dela dohodnine tudi sestavni deli registriranih cerkva in drugih verskih skupnosti, ki so </w:t>
            </w:r>
            <w:r w:rsidRPr="00AD68A5">
              <w:rPr>
                <w:rFonts w:ascii="Arial" w:eastAsia="Times New Roman" w:hAnsi="Arial" w:cs="Arial"/>
                <w:sz w:val="20"/>
                <w:szCs w:val="20"/>
                <w:lang w:eastAsia="sl-SI"/>
              </w:rPr>
              <w:lastRenderedPageBreak/>
              <w:t>pridobili pravno osebnost v skladu z zakonom, ki ureja versko svobodo. Ti so namreč lahko sami nosilci pravic in obveznosti.</w:t>
            </w:r>
          </w:p>
          <w:p w14:paraId="0333C30F" w14:textId="77777777" w:rsidR="00AD68A5" w:rsidRPr="00AD68A5" w:rsidRDefault="00AD68A5" w:rsidP="00833C5D">
            <w:pPr>
              <w:shd w:val="clear" w:color="auto" w:fill="FFFFFF" w:themeFill="background1"/>
              <w:spacing w:after="0" w:line="276" w:lineRule="auto"/>
              <w:jc w:val="both"/>
              <w:rPr>
                <w:rFonts w:ascii="Arial" w:eastAsia="Times New Roman" w:hAnsi="Arial" w:cs="Arial"/>
                <w:sz w:val="20"/>
                <w:szCs w:val="20"/>
                <w:lang w:eastAsia="sl-SI"/>
              </w:rPr>
            </w:pPr>
          </w:p>
          <w:p w14:paraId="73CED636" w14:textId="77777777" w:rsidR="00AD68A5" w:rsidRPr="00C86DCA" w:rsidRDefault="00AD68A5" w:rsidP="00833C5D">
            <w:pPr>
              <w:shd w:val="clear" w:color="auto" w:fill="FFFFFF" w:themeFill="background1"/>
              <w:spacing w:after="0" w:line="276" w:lineRule="auto"/>
              <w:jc w:val="both"/>
              <w:rPr>
                <w:rFonts w:ascii="Arial" w:eastAsia="Times New Roman" w:hAnsi="Arial" w:cs="Arial"/>
                <w:sz w:val="20"/>
                <w:szCs w:val="20"/>
                <w:lang w:eastAsia="sl-SI"/>
              </w:rPr>
            </w:pPr>
            <w:r w:rsidRPr="00AD68A5">
              <w:rPr>
                <w:rFonts w:ascii="Arial" w:eastAsia="Times New Roman" w:hAnsi="Arial" w:cs="Arial"/>
                <w:sz w:val="20"/>
                <w:szCs w:val="20"/>
                <w:lang w:eastAsia="sl-SI"/>
              </w:rPr>
              <w:t xml:space="preserve">Nov peti odstavek določa pogoje, ki jih mora izpolnjevati šola oziroma vrtec, ki se za potrebe instituta namenitve dela dohodnine za donacije (ne glede na drugačno opredelitev šole oziroma vrtca v zakonu, ki ureja organizacijo in financiranje vzgoje in izobraževanja, ki je lahko tudi organizacijska enota in ne nujno samostojna pravna oseba) šteje pravna oseba, ustanoviteljica šolskega sklada, da se lahko šteje za upravičenca do donacij. In sicer mora imeti pravna oseba ustanovljen šolski sklad oziroma sklad vrtca, ki sredstva iz sklada namenja tudi otrokom, učencem in dijakom iz socialno manj spodbudnih okolij na dejavnostih, ki so povezane z izvajanjem javno veljavnega programa, vendar se ne financirajo v celoti iz javnih sredstev, če se tako zagotavljajo enake možnosti. Navedena vsebina se zaradi sistemske ureditve instituta namenitve dela dohodnine za donacije prenaša iz Zakona o organizaciji in financiranju vzgoje in izobraževanja (Uradni list RS, št. 16/07 – uradno prečiščeno besedilo, 36/08, 58/09, 64/09 – </w:t>
            </w:r>
            <w:proofErr w:type="spellStart"/>
            <w:r w:rsidRPr="00AD68A5">
              <w:rPr>
                <w:rFonts w:ascii="Arial" w:eastAsia="Times New Roman" w:hAnsi="Arial" w:cs="Arial"/>
                <w:sz w:val="20"/>
                <w:szCs w:val="20"/>
                <w:lang w:eastAsia="sl-SI"/>
              </w:rPr>
              <w:t>popr</w:t>
            </w:r>
            <w:proofErr w:type="spellEnd"/>
            <w:r w:rsidRPr="00AD68A5">
              <w:rPr>
                <w:rFonts w:ascii="Arial" w:eastAsia="Times New Roman" w:hAnsi="Arial" w:cs="Arial"/>
                <w:sz w:val="20"/>
                <w:szCs w:val="20"/>
                <w:lang w:eastAsia="sl-SI"/>
              </w:rPr>
              <w:t xml:space="preserve">., 65/09 – </w:t>
            </w:r>
            <w:proofErr w:type="spellStart"/>
            <w:r w:rsidRPr="00AD68A5">
              <w:rPr>
                <w:rFonts w:ascii="Arial" w:eastAsia="Times New Roman" w:hAnsi="Arial" w:cs="Arial"/>
                <w:sz w:val="20"/>
                <w:szCs w:val="20"/>
                <w:lang w:eastAsia="sl-SI"/>
              </w:rPr>
              <w:t>popr</w:t>
            </w:r>
            <w:proofErr w:type="spellEnd"/>
            <w:r w:rsidRPr="00AD68A5">
              <w:rPr>
                <w:rFonts w:ascii="Arial" w:eastAsia="Times New Roman" w:hAnsi="Arial" w:cs="Arial"/>
                <w:sz w:val="20"/>
                <w:szCs w:val="20"/>
                <w:lang w:eastAsia="sl-SI"/>
              </w:rPr>
              <w:t xml:space="preserve">., 20/11, 40/12 – ZUJF, 57/12 – ZPCP-2D, 47/15, 46/16, 49/16 – </w:t>
            </w:r>
            <w:proofErr w:type="spellStart"/>
            <w:r w:rsidRPr="00AD68A5">
              <w:rPr>
                <w:rFonts w:ascii="Arial" w:eastAsia="Times New Roman" w:hAnsi="Arial" w:cs="Arial"/>
                <w:sz w:val="20"/>
                <w:szCs w:val="20"/>
                <w:lang w:eastAsia="sl-SI"/>
              </w:rPr>
              <w:t>popr</w:t>
            </w:r>
            <w:proofErr w:type="spellEnd"/>
            <w:r w:rsidRPr="00AD68A5">
              <w:rPr>
                <w:rFonts w:ascii="Arial" w:eastAsia="Times New Roman" w:hAnsi="Arial" w:cs="Arial"/>
                <w:sz w:val="20"/>
                <w:szCs w:val="20"/>
                <w:lang w:eastAsia="sl-SI"/>
              </w:rPr>
              <w:t xml:space="preserve">., 25/17 – </w:t>
            </w:r>
            <w:proofErr w:type="spellStart"/>
            <w:r w:rsidRPr="00AD68A5">
              <w:rPr>
                <w:rFonts w:ascii="Arial" w:eastAsia="Times New Roman" w:hAnsi="Arial" w:cs="Arial"/>
                <w:sz w:val="20"/>
                <w:szCs w:val="20"/>
                <w:lang w:eastAsia="sl-SI"/>
              </w:rPr>
              <w:t>ZVaj</w:t>
            </w:r>
            <w:proofErr w:type="spellEnd"/>
            <w:r w:rsidRPr="00AD68A5">
              <w:rPr>
                <w:rFonts w:ascii="Arial" w:eastAsia="Times New Roman" w:hAnsi="Arial" w:cs="Arial"/>
                <w:sz w:val="20"/>
                <w:szCs w:val="20"/>
                <w:lang w:eastAsia="sl-SI"/>
              </w:rPr>
              <w:t>, 123/21, 172/21, 207/21 in 105/22 – ZZNŠPP; v nadaljnjem besedilu: ZOFVI).</w:t>
            </w:r>
          </w:p>
          <w:p w14:paraId="60FCC590" w14:textId="77777777" w:rsidR="00AD68A5" w:rsidRPr="00AD68A5" w:rsidRDefault="00AD68A5" w:rsidP="00833C5D">
            <w:pPr>
              <w:shd w:val="clear" w:color="auto" w:fill="FFFFFF" w:themeFill="background1"/>
              <w:spacing w:after="0" w:line="276" w:lineRule="auto"/>
              <w:jc w:val="both"/>
              <w:rPr>
                <w:rFonts w:ascii="Arial" w:eastAsia="Times New Roman" w:hAnsi="Arial" w:cs="Arial"/>
                <w:sz w:val="20"/>
                <w:szCs w:val="20"/>
                <w:lang w:eastAsia="sl-SI"/>
              </w:rPr>
            </w:pPr>
          </w:p>
          <w:p w14:paraId="5C33FE1A" w14:textId="77777777" w:rsidR="00AD68A5" w:rsidRPr="00C86DCA" w:rsidRDefault="00AD68A5" w:rsidP="00833C5D">
            <w:pPr>
              <w:shd w:val="clear" w:color="auto" w:fill="FFFFFF" w:themeFill="background1"/>
              <w:spacing w:after="0" w:line="276" w:lineRule="auto"/>
              <w:jc w:val="both"/>
              <w:rPr>
                <w:rFonts w:ascii="Arial" w:eastAsia="Times New Roman" w:hAnsi="Arial" w:cs="Arial"/>
                <w:sz w:val="20"/>
                <w:szCs w:val="20"/>
                <w:lang w:eastAsia="sl-SI"/>
              </w:rPr>
            </w:pPr>
            <w:r w:rsidRPr="00AD68A5">
              <w:rPr>
                <w:rFonts w:ascii="Arial" w:eastAsia="Times New Roman" w:hAnsi="Arial" w:cs="Arial"/>
                <w:sz w:val="20"/>
                <w:szCs w:val="20"/>
                <w:lang w:eastAsia="sl-SI"/>
              </w:rPr>
              <w:t>Nov šesti odstavek določa delež dohodnine, katerega lahko rezident nameni posamezni šoli oziroma vrtcu kot upravičencu do donacij. In sicer ta delež znaša največ 0,3 %, namesto splošnega deleža, ki ga lahko posameznemu upravičencu do donacij nameni rezident (ki je največ 1 %). Skupni delež namenitve dela dohodnine posameznega rezidenta lahko, vključno z namenitvijo dela dohodnine za šole oziroma vrtce, znaša 1 %.</w:t>
            </w:r>
          </w:p>
          <w:p w14:paraId="51A80EA6" w14:textId="77777777" w:rsidR="00AD68A5" w:rsidRPr="00AD68A5" w:rsidRDefault="00AD68A5" w:rsidP="00833C5D">
            <w:pPr>
              <w:shd w:val="clear" w:color="auto" w:fill="FFFFFF" w:themeFill="background1"/>
              <w:spacing w:after="0" w:line="276" w:lineRule="auto"/>
              <w:jc w:val="both"/>
              <w:rPr>
                <w:rFonts w:ascii="Arial" w:eastAsia="Times New Roman" w:hAnsi="Arial" w:cs="Arial"/>
                <w:sz w:val="20"/>
                <w:szCs w:val="20"/>
                <w:lang w:eastAsia="sl-SI"/>
              </w:rPr>
            </w:pPr>
          </w:p>
          <w:p w14:paraId="3746E307" w14:textId="77777777" w:rsidR="00AD68A5" w:rsidRPr="00C86DCA" w:rsidRDefault="00AD68A5" w:rsidP="00833C5D">
            <w:pPr>
              <w:shd w:val="clear" w:color="auto" w:fill="FFFFFF" w:themeFill="background1"/>
              <w:spacing w:after="0" w:line="276" w:lineRule="auto"/>
              <w:jc w:val="both"/>
              <w:rPr>
                <w:rFonts w:ascii="Arial" w:eastAsia="Times New Roman" w:hAnsi="Arial" w:cs="Arial"/>
                <w:sz w:val="20"/>
                <w:szCs w:val="20"/>
                <w:lang w:eastAsia="sl-SI"/>
              </w:rPr>
            </w:pPr>
            <w:r w:rsidRPr="00AD68A5">
              <w:rPr>
                <w:rFonts w:ascii="Arial" w:eastAsia="Times New Roman" w:hAnsi="Arial" w:cs="Arial"/>
                <w:sz w:val="20"/>
                <w:szCs w:val="20"/>
                <w:lang w:eastAsia="sl-SI"/>
              </w:rPr>
              <w:t xml:space="preserve">Dosedanji šesti odstavek, ki postane osmi odstavek, se spremeni tako, da se kot organ, ki je dolžan posredovati podatke za pripravo seznama upravičencev do donacij določi tudi organ, ki je pristojen za izdajo potrdil o pravni osebnosti sestavnih delov registriranih cerkva in drugih verskih skupnosti, in sicer iz nabora samih podatkov iz izdanih potrdil, saj zakon, ki ureja versko svobodo, ne predpisuje, da se podatek o pravni osebnosti vodi v registru registriranih cerkva in drugih verskih skupnosti, zato je treba to določiti posebej. </w:t>
            </w:r>
          </w:p>
          <w:p w14:paraId="35804C86" w14:textId="77777777" w:rsidR="00AD68A5" w:rsidRPr="00AD68A5" w:rsidRDefault="00AD68A5" w:rsidP="00833C5D">
            <w:pPr>
              <w:shd w:val="clear" w:color="auto" w:fill="FFFFFF" w:themeFill="background1"/>
              <w:spacing w:after="0" w:line="276" w:lineRule="auto"/>
              <w:jc w:val="both"/>
              <w:rPr>
                <w:rFonts w:ascii="Arial" w:eastAsia="Times New Roman" w:hAnsi="Arial" w:cs="Arial"/>
                <w:sz w:val="20"/>
                <w:szCs w:val="20"/>
                <w:lang w:eastAsia="sl-SI"/>
              </w:rPr>
            </w:pPr>
          </w:p>
          <w:p w14:paraId="55CC0166" w14:textId="3771EDF4" w:rsidR="00DD1916" w:rsidRPr="00833C5D" w:rsidRDefault="00AD68A5" w:rsidP="00833C5D">
            <w:pPr>
              <w:shd w:val="clear" w:color="auto" w:fill="FFFFFF" w:themeFill="background1"/>
              <w:spacing w:after="0" w:line="276" w:lineRule="auto"/>
              <w:jc w:val="both"/>
              <w:rPr>
                <w:rFonts w:ascii="Arial" w:hAnsi="Arial" w:cs="Arial"/>
                <w:sz w:val="20"/>
                <w:szCs w:val="20"/>
              </w:rPr>
            </w:pPr>
            <w:r w:rsidRPr="00AD68A5">
              <w:rPr>
                <w:rFonts w:ascii="Arial" w:eastAsia="Times New Roman" w:hAnsi="Arial" w:cs="Arial"/>
                <w:sz w:val="20"/>
                <w:szCs w:val="20"/>
                <w:lang w:eastAsia="sl-SI"/>
              </w:rPr>
              <w:t>Nov deseti odstavek določa organ, ki ministrstvu za finance, zagotovi podatke o šolah in vrtcih iz petega odstavka tega člena za namen priprave seznama upravičencev do donacij, in sicer je to ministrstvo, pristojno za šolstvo.</w:t>
            </w:r>
          </w:p>
          <w:p w14:paraId="545720E4" w14:textId="77777777" w:rsidR="00AD68A5" w:rsidRPr="00833C5D" w:rsidRDefault="00AD68A5" w:rsidP="00833C5D">
            <w:pPr>
              <w:shd w:val="clear" w:color="auto" w:fill="FFFFFF" w:themeFill="background1"/>
              <w:spacing w:after="0" w:line="276" w:lineRule="auto"/>
              <w:jc w:val="both"/>
              <w:rPr>
                <w:rFonts w:ascii="Arial" w:hAnsi="Arial" w:cs="Arial"/>
                <w:sz w:val="20"/>
                <w:szCs w:val="20"/>
              </w:rPr>
            </w:pPr>
          </w:p>
          <w:p w14:paraId="03502525" w14:textId="3D0338F8" w:rsidR="00C909D0" w:rsidRPr="00C86DCA" w:rsidRDefault="00C909D0" w:rsidP="00833C5D">
            <w:pPr>
              <w:pStyle w:val="Odstavekseznama"/>
              <w:numPr>
                <w:ilvl w:val="0"/>
                <w:numId w:val="28"/>
              </w:numPr>
              <w:shd w:val="clear" w:color="auto" w:fill="FFFFFF" w:themeFill="background1"/>
              <w:spacing w:line="276" w:lineRule="auto"/>
              <w:jc w:val="both"/>
              <w:rPr>
                <w:rFonts w:ascii="Arial" w:eastAsia="Calibri" w:hAnsi="Arial" w:cs="Arial"/>
                <w:b/>
                <w:sz w:val="20"/>
                <w:szCs w:val="20"/>
              </w:rPr>
            </w:pPr>
          </w:p>
          <w:p w14:paraId="04990DED" w14:textId="4463B748" w:rsidR="00C909D0" w:rsidRPr="00C86DCA" w:rsidRDefault="00C909D0" w:rsidP="00833C5D">
            <w:pPr>
              <w:shd w:val="clear" w:color="auto" w:fill="FFFFFF" w:themeFill="background1"/>
              <w:spacing w:after="0" w:line="276" w:lineRule="auto"/>
              <w:jc w:val="both"/>
              <w:rPr>
                <w:rFonts w:ascii="Arial" w:eastAsia="Calibri" w:hAnsi="Arial" w:cs="Arial"/>
                <w:sz w:val="20"/>
                <w:szCs w:val="20"/>
              </w:rPr>
            </w:pPr>
            <w:r w:rsidRPr="00C909D0">
              <w:rPr>
                <w:rFonts w:ascii="Arial" w:eastAsia="Calibri" w:hAnsi="Arial" w:cs="Arial"/>
                <w:sz w:val="20"/>
                <w:szCs w:val="20"/>
              </w:rPr>
              <w:t xml:space="preserve">Na podlagi </w:t>
            </w:r>
            <w:r w:rsidR="00C2174A">
              <w:rPr>
                <w:rFonts w:ascii="Arial" w:eastAsia="Calibri" w:hAnsi="Arial" w:cs="Arial"/>
                <w:sz w:val="20"/>
                <w:szCs w:val="20"/>
              </w:rPr>
              <w:t xml:space="preserve">te </w:t>
            </w:r>
            <w:r w:rsidRPr="00C909D0">
              <w:rPr>
                <w:rFonts w:ascii="Arial" w:eastAsia="Calibri" w:hAnsi="Arial" w:cs="Arial"/>
                <w:sz w:val="20"/>
                <w:szCs w:val="20"/>
              </w:rPr>
              <w:t xml:space="preserve">prehodne določbe se </w:t>
            </w:r>
            <w:r w:rsidR="0075214A">
              <w:rPr>
                <w:rFonts w:ascii="Arial" w:eastAsia="Calibri" w:hAnsi="Arial" w:cs="Arial"/>
                <w:sz w:val="20"/>
                <w:szCs w:val="20"/>
              </w:rPr>
              <w:t xml:space="preserve">uskladitev olajšav, </w:t>
            </w:r>
            <w:r w:rsidRPr="00C909D0">
              <w:rPr>
                <w:rFonts w:ascii="Arial" w:eastAsia="Calibri" w:hAnsi="Arial" w:cs="Arial"/>
                <w:sz w:val="20"/>
                <w:szCs w:val="20"/>
              </w:rPr>
              <w:t xml:space="preserve">enačbe za določitev </w:t>
            </w:r>
            <w:r w:rsidR="004E22A4">
              <w:rPr>
                <w:rFonts w:ascii="Arial" w:eastAsia="Calibri" w:hAnsi="Arial" w:cs="Arial"/>
                <w:sz w:val="20"/>
                <w:szCs w:val="20"/>
              </w:rPr>
              <w:t xml:space="preserve">dodatne splošne </w:t>
            </w:r>
            <w:r w:rsidRPr="00C909D0">
              <w:rPr>
                <w:rFonts w:ascii="Arial" w:eastAsia="Calibri" w:hAnsi="Arial" w:cs="Arial"/>
                <w:sz w:val="20"/>
                <w:szCs w:val="20"/>
              </w:rPr>
              <w:t xml:space="preserve">olajšave in </w:t>
            </w:r>
            <w:r w:rsidR="004E22A4">
              <w:rPr>
                <w:rFonts w:ascii="Arial" w:eastAsia="Calibri" w:hAnsi="Arial" w:cs="Arial"/>
                <w:sz w:val="20"/>
                <w:szCs w:val="20"/>
              </w:rPr>
              <w:t>neto letnih davčnih osnov (</w:t>
            </w:r>
            <w:r w:rsidRPr="00C909D0" w:rsidDel="004E22A4">
              <w:rPr>
                <w:rFonts w:ascii="Arial" w:eastAsia="Calibri" w:hAnsi="Arial" w:cs="Arial"/>
                <w:sz w:val="20"/>
                <w:szCs w:val="20"/>
              </w:rPr>
              <w:t>l</w:t>
            </w:r>
            <w:r w:rsidRPr="00C909D0">
              <w:rPr>
                <w:rFonts w:ascii="Arial" w:eastAsia="Calibri" w:hAnsi="Arial" w:cs="Arial"/>
                <w:sz w:val="20"/>
                <w:szCs w:val="20"/>
              </w:rPr>
              <w:t>estvice</w:t>
            </w:r>
            <w:r w:rsidR="004E22A4">
              <w:rPr>
                <w:rFonts w:ascii="Arial" w:eastAsia="Calibri" w:hAnsi="Arial" w:cs="Arial"/>
                <w:sz w:val="20"/>
                <w:szCs w:val="20"/>
              </w:rPr>
              <w:t xml:space="preserve">) </w:t>
            </w:r>
            <w:r w:rsidR="002301F3">
              <w:rPr>
                <w:rFonts w:ascii="Arial" w:eastAsia="Calibri" w:hAnsi="Arial" w:cs="Arial"/>
                <w:sz w:val="20"/>
                <w:szCs w:val="20"/>
              </w:rPr>
              <w:t xml:space="preserve">za davčno leto 2023 </w:t>
            </w:r>
            <w:r w:rsidR="004E22A4">
              <w:rPr>
                <w:rFonts w:ascii="Arial" w:eastAsia="Calibri" w:hAnsi="Arial" w:cs="Arial"/>
                <w:sz w:val="20"/>
                <w:szCs w:val="20"/>
              </w:rPr>
              <w:t xml:space="preserve">ne bo opravila. Pri odmeri dohodnine se bodo upoštevale višine olajšav in neto letne davčne osnove, določene za davčno leto 2022, za olajšave, za katere so s tem zakonom določene nove višine ali so nove, </w:t>
            </w:r>
            <w:r w:rsidR="001A1EDE">
              <w:rPr>
                <w:rFonts w:ascii="Arial" w:eastAsia="Calibri" w:hAnsi="Arial" w:cs="Arial"/>
                <w:sz w:val="20"/>
                <w:szCs w:val="20"/>
              </w:rPr>
              <w:t xml:space="preserve">pa </w:t>
            </w:r>
            <w:r w:rsidR="004E22A4">
              <w:rPr>
                <w:rFonts w:ascii="Arial" w:eastAsia="Calibri" w:hAnsi="Arial" w:cs="Arial"/>
                <w:sz w:val="20"/>
                <w:szCs w:val="20"/>
              </w:rPr>
              <w:t xml:space="preserve">se bodo upoštevale na novo določene višine olajšav </w:t>
            </w:r>
            <w:r w:rsidR="00FA271F">
              <w:rPr>
                <w:rFonts w:ascii="Arial" w:eastAsia="Calibri" w:hAnsi="Arial" w:cs="Arial"/>
                <w:sz w:val="20"/>
                <w:szCs w:val="20"/>
              </w:rPr>
              <w:t>s tem zakonom</w:t>
            </w:r>
            <w:r w:rsidR="004E22A4">
              <w:rPr>
                <w:rFonts w:ascii="Arial" w:eastAsia="Calibri" w:hAnsi="Arial" w:cs="Arial"/>
                <w:sz w:val="20"/>
                <w:szCs w:val="20"/>
              </w:rPr>
              <w:t xml:space="preserve"> (splošna olajšava in olajšava za mlade). Upoštevala se bo tudi </w:t>
            </w:r>
            <w:r w:rsidR="00FA271F">
              <w:rPr>
                <w:rFonts w:ascii="Arial" w:eastAsia="Calibri" w:hAnsi="Arial" w:cs="Arial"/>
                <w:sz w:val="20"/>
                <w:szCs w:val="20"/>
              </w:rPr>
              <w:t xml:space="preserve">s tem zakonom </w:t>
            </w:r>
            <w:r w:rsidR="004E22A4">
              <w:rPr>
                <w:rFonts w:ascii="Arial" w:eastAsia="Calibri" w:hAnsi="Arial" w:cs="Arial"/>
                <w:sz w:val="20"/>
                <w:szCs w:val="20"/>
              </w:rPr>
              <w:t xml:space="preserve">na novo določena enačba za določitev dodatne splošne olajšave oziroma skupni dohodek </w:t>
            </w:r>
            <w:r w:rsidR="00E70003">
              <w:rPr>
                <w:rFonts w:ascii="Arial" w:eastAsia="Calibri" w:hAnsi="Arial" w:cs="Arial"/>
                <w:sz w:val="20"/>
                <w:szCs w:val="20"/>
              </w:rPr>
              <w:t>za upravičenost do dodatn</w:t>
            </w:r>
            <w:r w:rsidR="000E7863">
              <w:rPr>
                <w:rFonts w:ascii="Arial" w:eastAsia="Calibri" w:hAnsi="Arial" w:cs="Arial"/>
                <w:sz w:val="20"/>
                <w:szCs w:val="20"/>
              </w:rPr>
              <w:t>e splošne olajšave.</w:t>
            </w:r>
          </w:p>
          <w:p w14:paraId="2BE04078" w14:textId="77777777" w:rsidR="00CD5A36" w:rsidRDefault="00CD5A36" w:rsidP="00833C5D">
            <w:pPr>
              <w:shd w:val="clear" w:color="auto" w:fill="FFFFFF" w:themeFill="background1"/>
              <w:spacing w:after="0" w:line="276" w:lineRule="auto"/>
              <w:jc w:val="both"/>
              <w:rPr>
                <w:rFonts w:ascii="Arial" w:eastAsia="Calibri" w:hAnsi="Arial" w:cs="Arial"/>
                <w:sz w:val="20"/>
                <w:szCs w:val="20"/>
              </w:rPr>
            </w:pPr>
          </w:p>
          <w:p w14:paraId="4D4F5266" w14:textId="5CEA6F57" w:rsidR="00BD6A3B" w:rsidRPr="00303E2C" w:rsidRDefault="00BD6A3B" w:rsidP="00076F4A">
            <w:pPr>
              <w:pStyle w:val="Odstavekseznama"/>
              <w:numPr>
                <w:ilvl w:val="0"/>
                <w:numId w:val="28"/>
              </w:numPr>
              <w:spacing w:line="276" w:lineRule="auto"/>
              <w:contextualSpacing/>
              <w:jc w:val="both"/>
              <w:rPr>
                <w:rFonts w:ascii="Arial" w:eastAsia="Calibri" w:hAnsi="Arial" w:cs="Arial"/>
                <w:b/>
                <w:bCs/>
                <w:sz w:val="20"/>
                <w:szCs w:val="20"/>
              </w:rPr>
            </w:pPr>
          </w:p>
          <w:p w14:paraId="743C0F6B" w14:textId="4C253091" w:rsidR="002B7200" w:rsidRPr="00ED13A5" w:rsidRDefault="00F45022" w:rsidP="002B7200">
            <w:pPr>
              <w:spacing w:after="0" w:line="276" w:lineRule="auto"/>
              <w:contextualSpacing/>
              <w:jc w:val="both"/>
              <w:rPr>
                <w:rFonts w:ascii="Arial" w:eastAsia="Times New Roman" w:hAnsi="Arial" w:cs="Arial"/>
                <w:sz w:val="20"/>
                <w:szCs w:val="20"/>
              </w:rPr>
            </w:pPr>
            <w:r w:rsidRPr="00ED13A5" w:rsidDel="009D417B">
              <w:rPr>
                <w:rFonts w:ascii="Arial" w:eastAsia="Times New Roman" w:hAnsi="Arial" w:cs="Arial"/>
                <w:sz w:val="20"/>
                <w:szCs w:val="20"/>
              </w:rPr>
              <w:t>Z novelo ZDoh-2Z je bila črtana določba 6. točke četrtega odstavka 90.</w:t>
            </w:r>
            <w:r w:rsidR="001A1EDE">
              <w:rPr>
                <w:rFonts w:ascii="Arial" w:eastAsia="Times New Roman" w:hAnsi="Arial" w:cs="Arial"/>
                <w:sz w:val="20"/>
                <w:szCs w:val="20"/>
              </w:rPr>
              <w:t> </w:t>
            </w:r>
            <w:r w:rsidRPr="00ED13A5" w:rsidDel="009D417B">
              <w:rPr>
                <w:rFonts w:ascii="Arial" w:eastAsia="Times New Roman" w:hAnsi="Arial" w:cs="Arial"/>
                <w:sz w:val="20"/>
                <w:szCs w:val="20"/>
              </w:rPr>
              <w:t xml:space="preserve">člena Zakona o dohodnini, ki se je uporabljala od 1. </w:t>
            </w:r>
            <w:r w:rsidR="002B7200">
              <w:rPr>
                <w:rFonts w:ascii="Arial" w:eastAsia="Times New Roman" w:hAnsi="Arial" w:cs="Arial"/>
                <w:sz w:val="20"/>
                <w:szCs w:val="20"/>
              </w:rPr>
              <w:t>januarja</w:t>
            </w:r>
            <w:r w:rsidR="002B7200" w:rsidRPr="00ED13A5">
              <w:rPr>
                <w:rFonts w:ascii="Arial" w:eastAsia="Times New Roman" w:hAnsi="Arial" w:cs="Arial"/>
                <w:sz w:val="20"/>
                <w:szCs w:val="20"/>
              </w:rPr>
              <w:t xml:space="preserve"> 2020. Po omenjeni določbi se je kot dividenda obdavčevala tudi izplačana vrednost delnic ali deležev v primeru odsvojitve delnic ali deležev v okviru pridobivanja lastnih delnic oziroma deležev družbe, razen ko je družba pridobivala lastne delnice na organiziranem trgu. Črtana določba se je prenehala uporabljati 1. januarja 2022. Z novelo ZDoh-2Z je bilo tako posredno določeno, da se dohodek, dosežen po 31. </w:t>
            </w:r>
            <w:r w:rsidR="002B7200">
              <w:rPr>
                <w:rFonts w:ascii="Arial" w:eastAsia="Times New Roman" w:hAnsi="Arial" w:cs="Arial"/>
                <w:sz w:val="20"/>
                <w:szCs w:val="20"/>
              </w:rPr>
              <w:t>decembru</w:t>
            </w:r>
            <w:r w:rsidR="002B7200" w:rsidRPr="00ED13A5">
              <w:rPr>
                <w:rFonts w:ascii="Arial" w:eastAsia="Times New Roman" w:hAnsi="Arial" w:cs="Arial"/>
                <w:sz w:val="20"/>
                <w:szCs w:val="20"/>
              </w:rPr>
              <w:t xml:space="preserve"> 2021 z odsvojitvijo delnic ali deležev v okviru</w:t>
            </w:r>
            <w:r w:rsidR="002B7200" w:rsidRPr="00ED13A5">
              <w:rPr>
                <w:rFonts w:ascii="Arial" w:eastAsia="Times New Roman" w:hAnsi="Arial" w:cs="Times New Roman"/>
                <w:sz w:val="20"/>
                <w:szCs w:val="24"/>
              </w:rPr>
              <w:t xml:space="preserve"> </w:t>
            </w:r>
            <w:r w:rsidR="002B7200" w:rsidRPr="00ED13A5">
              <w:rPr>
                <w:rFonts w:ascii="Arial" w:eastAsia="Times New Roman" w:hAnsi="Arial" w:cs="Arial"/>
                <w:sz w:val="20"/>
                <w:szCs w:val="20"/>
              </w:rPr>
              <w:t xml:space="preserve">pridobivanja lastnih delnic oziroma deležev družbe, na splošno obdavčuje – podobno kot je veljalo po ZDoh-2 pred 1. </w:t>
            </w:r>
            <w:r w:rsidR="002B7200">
              <w:rPr>
                <w:rFonts w:ascii="Arial" w:eastAsia="Times New Roman" w:hAnsi="Arial" w:cs="Arial"/>
                <w:sz w:val="20"/>
                <w:szCs w:val="20"/>
              </w:rPr>
              <w:t>januarjem</w:t>
            </w:r>
            <w:r w:rsidR="002B7200" w:rsidRPr="00ED13A5">
              <w:rPr>
                <w:rFonts w:ascii="Arial" w:eastAsia="Times New Roman" w:hAnsi="Arial" w:cs="Arial"/>
                <w:sz w:val="20"/>
                <w:szCs w:val="20"/>
              </w:rPr>
              <w:t xml:space="preserve"> 2020 – po poglavju III.6.3.</w:t>
            </w:r>
            <w:r w:rsidR="006C6CCB">
              <w:rPr>
                <w:rFonts w:ascii="Arial" w:eastAsia="Times New Roman" w:hAnsi="Arial" w:cs="Arial"/>
                <w:sz w:val="20"/>
                <w:szCs w:val="20"/>
              </w:rPr>
              <w:t> </w:t>
            </w:r>
            <w:r w:rsidR="002B7200" w:rsidRPr="00ED13A5">
              <w:rPr>
                <w:rFonts w:ascii="Arial" w:eastAsia="Times New Roman" w:hAnsi="Arial" w:cs="Arial"/>
                <w:sz w:val="20"/>
                <w:szCs w:val="20"/>
              </w:rPr>
              <w:t>Dobiček iz kapitala.</w:t>
            </w:r>
          </w:p>
          <w:p w14:paraId="3F285F74" w14:textId="77777777" w:rsidR="002B7200" w:rsidRPr="00ED13A5" w:rsidRDefault="002B7200" w:rsidP="002B7200">
            <w:pPr>
              <w:spacing w:after="0" w:line="276" w:lineRule="auto"/>
              <w:contextualSpacing/>
              <w:jc w:val="both"/>
              <w:rPr>
                <w:rFonts w:ascii="Arial" w:eastAsia="Times New Roman" w:hAnsi="Arial" w:cs="Arial"/>
                <w:sz w:val="20"/>
                <w:szCs w:val="20"/>
              </w:rPr>
            </w:pPr>
          </w:p>
          <w:p w14:paraId="0AE2A80E" w14:textId="457CD27A" w:rsidR="002B7200" w:rsidRPr="00ED13A5" w:rsidRDefault="002B7200" w:rsidP="002B7200">
            <w:pPr>
              <w:spacing w:after="0" w:line="276" w:lineRule="auto"/>
              <w:contextualSpacing/>
              <w:jc w:val="both"/>
              <w:rPr>
                <w:rFonts w:ascii="Arial" w:eastAsia="Times New Roman" w:hAnsi="Arial" w:cs="Arial"/>
                <w:sz w:val="20"/>
                <w:szCs w:val="20"/>
              </w:rPr>
            </w:pPr>
            <w:r w:rsidRPr="00ED13A5">
              <w:rPr>
                <w:rFonts w:ascii="Arial" w:eastAsia="Times New Roman" w:hAnsi="Arial" w:cs="Arial"/>
                <w:sz w:val="20"/>
                <w:szCs w:val="20"/>
              </w:rPr>
              <w:t xml:space="preserve">Po prenehanju uporabe črtane določbe se je izkazalo, da se v praksi pojavljajo situacije obročnega izplačevanja vrednosti delnic ali deležev, odsvojenih v okviru pridobivanja lastnih delnic ali deležev družbe, in primeri odloženega izplačevanja takih vrednosti, ki jih novela ZDoh-2Z ni posebej uredila. Gre za situacije, </w:t>
            </w:r>
            <w:r w:rsidR="006C6CCB">
              <w:rPr>
                <w:rFonts w:ascii="Arial" w:eastAsia="Times New Roman" w:hAnsi="Arial" w:cs="Arial"/>
                <w:sz w:val="20"/>
                <w:szCs w:val="20"/>
              </w:rPr>
              <w:t>v katerih</w:t>
            </w:r>
            <w:r w:rsidRPr="00ED13A5">
              <w:rPr>
                <w:rFonts w:ascii="Arial" w:eastAsia="Times New Roman" w:hAnsi="Arial" w:cs="Arial"/>
                <w:sz w:val="20"/>
                <w:szCs w:val="20"/>
              </w:rPr>
              <w:t xml:space="preserve"> so bile delnice ali deleži družbe odsvojeni v letih 2020 in 2021, ko se je tak dohodek po ZDoh-2 obdavčeval kot dividenda po proporcionalni davčni stopnji kot dokončnim davkom, od davčne osnove, zmanjšane za nabavno vrednost odsvojenih delnic ali deležev, obrok, kateri od obrokov oziroma odloženo izplačilo vrednosti delnic ali deležev pa so bili izplačani v letu 2022, v katerem se določba 6. točke četrtega odstavka 90.</w:t>
            </w:r>
            <w:r w:rsidR="006C6CCB">
              <w:rPr>
                <w:rFonts w:ascii="Arial" w:eastAsia="Times New Roman" w:hAnsi="Arial" w:cs="Arial"/>
                <w:sz w:val="20"/>
                <w:szCs w:val="20"/>
              </w:rPr>
              <w:t> </w:t>
            </w:r>
            <w:r w:rsidRPr="00ED13A5">
              <w:rPr>
                <w:rFonts w:ascii="Arial" w:eastAsia="Times New Roman" w:hAnsi="Arial" w:cs="Arial"/>
                <w:sz w:val="20"/>
                <w:szCs w:val="20"/>
              </w:rPr>
              <w:t xml:space="preserve">člena zakona več ne uporablja. </w:t>
            </w:r>
            <w:r w:rsidR="006C6CCB">
              <w:rPr>
                <w:rFonts w:ascii="Arial" w:eastAsia="Times New Roman" w:hAnsi="Arial" w:cs="Arial"/>
                <w:sz w:val="20"/>
                <w:szCs w:val="20"/>
              </w:rPr>
              <w:t>Ob upoštevanju</w:t>
            </w:r>
            <w:r w:rsidRPr="00ED13A5">
              <w:rPr>
                <w:rFonts w:ascii="Arial" w:eastAsia="Times New Roman" w:hAnsi="Arial" w:cs="Arial"/>
                <w:sz w:val="20"/>
                <w:szCs w:val="20"/>
              </w:rPr>
              <w:t>, da z ZDoh-2Z za taka izplačila ni bila določena oprostitev dohodnine</w:t>
            </w:r>
            <w:r w:rsidR="006C6CCB">
              <w:rPr>
                <w:rFonts w:ascii="Arial" w:eastAsia="Times New Roman" w:hAnsi="Arial" w:cs="Arial"/>
                <w:sz w:val="20"/>
                <w:szCs w:val="20"/>
              </w:rPr>
              <w:t>,</w:t>
            </w:r>
            <w:r w:rsidRPr="00ED13A5">
              <w:rPr>
                <w:rFonts w:ascii="Arial" w:eastAsia="Times New Roman" w:hAnsi="Arial" w:cs="Arial"/>
                <w:sz w:val="20"/>
                <w:szCs w:val="20"/>
              </w:rPr>
              <w:t xml:space="preserve"> in veljavne določbe ZDoh-2</w:t>
            </w:r>
            <w:r w:rsidR="00803336">
              <w:rPr>
                <w:rFonts w:ascii="Arial" w:eastAsia="Times New Roman" w:hAnsi="Arial" w:cs="Arial"/>
                <w:sz w:val="20"/>
                <w:szCs w:val="20"/>
              </w:rPr>
              <w:t>,</w:t>
            </w:r>
            <w:r w:rsidRPr="00ED13A5">
              <w:rPr>
                <w:rFonts w:ascii="Arial" w:eastAsia="Times New Roman" w:hAnsi="Arial" w:cs="Arial"/>
                <w:sz w:val="20"/>
                <w:szCs w:val="20"/>
              </w:rPr>
              <w:t xml:space="preserve"> se obročna oziroma odložena izplačila takega dohodka, izplačana v obdobju od 1. </w:t>
            </w:r>
            <w:r>
              <w:rPr>
                <w:rFonts w:ascii="Arial" w:eastAsia="Times New Roman" w:hAnsi="Arial" w:cs="Arial"/>
                <w:sz w:val="20"/>
                <w:szCs w:val="20"/>
              </w:rPr>
              <w:t>januarja</w:t>
            </w:r>
            <w:r w:rsidRPr="00ED13A5">
              <w:rPr>
                <w:rFonts w:ascii="Arial" w:eastAsia="Times New Roman" w:hAnsi="Arial" w:cs="Arial"/>
                <w:sz w:val="20"/>
                <w:szCs w:val="20"/>
              </w:rPr>
              <w:t xml:space="preserve"> 2022, vštevajo med druge dohodke po poglavju III.7.</w:t>
            </w:r>
            <w:r w:rsidR="006C6CCB">
              <w:rPr>
                <w:rFonts w:ascii="Arial" w:eastAsia="Times New Roman" w:hAnsi="Arial" w:cs="Arial"/>
                <w:sz w:val="20"/>
                <w:szCs w:val="20"/>
              </w:rPr>
              <w:t> </w:t>
            </w:r>
            <w:r w:rsidRPr="00ED13A5">
              <w:rPr>
                <w:rFonts w:ascii="Arial" w:eastAsia="Times New Roman" w:hAnsi="Arial" w:cs="Arial"/>
                <w:sz w:val="20"/>
                <w:szCs w:val="20"/>
              </w:rPr>
              <w:t>Drugi dohod</w:t>
            </w:r>
            <w:r w:rsidR="006C6CCB">
              <w:rPr>
                <w:rFonts w:ascii="Arial" w:eastAsia="Times New Roman" w:hAnsi="Arial" w:cs="Arial"/>
                <w:sz w:val="20"/>
                <w:szCs w:val="20"/>
              </w:rPr>
              <w:t>ki</w:t>
            </w:r>
            <w:r w:rsidRPr="00ED13A5">
              <w:rPr>
                <w:rFonts w:ascii="Arial" w:eastAsia="Times New Roman" w:hAnsi="Arial" w:cs="Arial"/>
                <w:sz w:val="20"/>
                <w:szCs w:val="20"/>
              </w:rPr>
              <w:t xml:space="preserve"> ter obdavčijo od davčne osnove, ki je enaka izplačanemu dohodku, sintetično in po progresivnih stopnjah dohodnine. </w:t>
            </w:r>
          </w:p>
          <w:p w14:paraId="3455DC6E" w14:textId="77777777" w:rsidR="002B7200" w:rsidRPr="00ED13A5" w:rsidRDefault="002B7200" w:rsidP="002B7200">
            <w:pPr>
              <w:spacing w:after="0" w:line="276" w:lineRule="auto"/>
              <w:contextualSpacing/>
              <w:jc w:val="both"/>
              <w:rPr>
                <w:rFonts w:ascii="Arial" w:eastAsia="Times New Roman" w:hAnsi="Arial" w:cs="Arial"/>
                <w:sz w:val="20"/>
                <w:szCs w:val="20"/>
              </w:rPr>
            </w:pPr>
          </w:p>
          <w:p w14:paraId="5CF63C67" w14:textId="20F418AF" w:rsidR="002B7200" w:rsidRPr="004221A7" w:rsidRDefault="006C6CCB" w:rsidP="002B7200">
            <w:pPr>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Ob upoštevanju</w:t>
            </w:r>
            <w:r w:rsidR="002B7200" w:rsidRPr="00ED13A5">
              <w:rPr>
                <w:rFonts w:ascii="Arial" w:eastAsia="Times New Roman" w:hAnsi="Arial" w:cs="Arial"/>
                <w:sz w:val="20"/>
                <w:szCs w:val="20"/>
              </w:rPr>
              <w:t xml:space="preserve"> prej naveden</w:t>
            </w:r>
            <w:r>
              <w:rPr>
                <w:rFonts w:ascii="Arial" w:eastAsia="Times New Roman" w:hAnsi="Arial" w:cs="Arial"/>
                <w:sz w:val="20"/>
                <w:szCs w:val="20"/>
              </w:rPr>
              <w:t>ega</w:t>
            </w:r>
            <w:r w:rsidR="002B7200" w:rsidRPr="00ED13A5">
              <w:rPr>
                <w:rFonts w:ascii="Arial" w:eastAsia="Times New Roman" w:hAnsi="Arial" w:cs="Arial"/>
                <w:sz w:val="20"/>
                <w:szCs w:val="20"/>
              </w:rPr>
              <w:t xml:space="preserve"> se s prvim odstavkom tega člena davčnim zavezancem omogoča, da </w:t>
            </w:r>
            <w:r w:rsidR="002B7200" w:rsidRPr="0023653A">
              <w:rPr>
                <w:rFonts w:ascii="Arial" w:eastAsia="Times New Roman" w:hAnsi="Arial" w:cs="Arial"/>
                <w:sz w:val="20"/>
                <w:szCs w:val="20"/>
              </w:rPr>
              <w:t xml:space="preserve">se </w:t>
            </w:r>
            <w:r w:rsidR="002B7200" w:rsidRPr="00ED13A5">
              <w:rPr>
                <w:rFonts w:ascii="Arial" w:eastAsia="Times New Roman" w:hAnsi="Arial" w:cs="Arial"/>
                <w:sz w:val="20"/>
                <w:szCs w:val="20"/>
              </w:rPr>
              <w:t xml:space="preserve">v primeru obročnih oziroma odloženih izplačil vrednosti delnic ali deležev, odsvojenih v okviru pridobivanja lastnih delnic oziroma deležev družbe v letih 2020 in 2021, za taka izplačila v letu 2022 </w:t>
            </w:r>
            <w:r w:rsidR="002B7200" w:rsidRPr="0023653A">
              <w:rPr>
                <w:rFonts w:ascii="Arial" w:eastAsia="Times New Roman" w:hAnsi="Arial" w:cs="Arial"/>
                <w:sz w:val="20"/>
                <w:szCs w:val="20"/>
              </w:rPr>
              <w:t>odločijo za</w:t>
            </w:r>
            <w:r w:rsidR="002B7200" w:rsidRPr="00ED13A5">
              <w:rPr>
                <w:rFonts w:ascii="Arial" w:eastAsia="Times New Roman" w:hAnsi="Arial" w:cs="Arial"/>
                <w:sz w:val="20"/>
                <w:szCs w:val="20"/>
              </w:rPr>
              <w:t xml:space="preserve"> ugotovitev davčne osnove in izračun dohodnine, kot se predlaga </w:t>
            </w:r>
            <w:r w:rsidR="002B7200">
              <w:rPr>
                <w:rFonts w:ascii="Arial" w:eastAsia="Times New Roman" w:hAnsi="Arial" w:cs="Arial"/>
                <w:sz w:val="20"/>
                <w:szCs w:val="20"/>
              </w:rPr>
              <w:t>z novo</w:t>
            </w:r>
            <w:r w:rsidR="002B7200" w:rsidRPr="00ED13A5">
              <w:rPr>
                <w:rFonts w:ascii="Arial" w:eastAsia="Times New Roman" w:hAnsi="Arial" w:cs="Arial"/>
                <w:sz w:val="20"/>
                <w:szCs w:val="20"/>
              </w:rPr>
              <w:t xml:space="preserve"> 6.</w:t>
            </w:r>
            <w:r w:rsidR="008970AD">
              <w:rPr>
                <w:rFonts w:ascii="Arial" w:eastAsia="Times New Roman" w:hAnsi="Arial" w:cs="Arial"/>
                <w:sz w:val="20"/>
                <w:szCs w:val="20"/>
              </w:rPr>
              <w:t> </w:t>
            </w:r>
            <w:r w:rsidR="002B7200" w:rsidRPr="00ED13A5">
              <w:rPr>
                <w:rFonts w:ascii="Arial" w:eastAsia="Times New Roman" w:hAnsi="Arial" w:cs="Arial"/>
                <w:sz w:val="20"/>
                <w:szCs w:val="20"/>
              </w:rPr>
              <w:t>točko četrtega odstavka 90.</w:t>
            </w:r>
            <w:r w:rsidR="002B7200">
              <w:rPr>
                <w:rFonts w:ascii="Arial" w:eastAsia="Times New Roman" w:hAnsi="Arial" w:cs="Arial"/>
                <w:sz w:val="20"/>
                <w:szCs w:val="20"/>
              </w:rPr>
              <w:t> </w:t>
            </w:r>
            <w:r w:rsidR="002B7200" w:rsidRPr="00ED13A5">
              <w:rPr>
                <w:rFonts w:ascii="Arial" w:eastAsia="Times New Roman" w:hAnsi="Arial" w:cs="Arial"/>
                <w:sz w:val="20"/>
                <w:szCs w:val="20"/>
              </w:rPr>
              <w:t>člena zakona (tj.</w:t>
            </w:r>
            <w:r w:rsidR="008970AD">
              <w:rPr>
                <w:rFonts w:ascii="Arial" w:eastAsia="Times New Roman" w:hAnsi="Arial" w:cs="Arial"/>
                <w:sz w:val="20"/>
                <w:szCs w:val="20"/>
              </w:rPr>
              <w:t> </w:t>
            </w:r>
            <w:proofErr w:type="spellStart"/>
            <w:r w:rsidR="002B7200" w:rsidRPr="0023653A">
              <w:rPr>
                <w:rFonts w:ascii="Arial" w:eastAsia="Times New Roman" w:hAnsi="Arial" w:cs="Arial"/>
                <w:sz w:val="20"/>
                <w:szCs w:val="20"/>
              </w:rPr>
              <w:t>cedularna</w:t>
            </w:r>
            <w:proofErr w:type="spellEnd"/>
            <w:r w:rsidR="002B7200" w:rsidRPr="0023653A">
              <w:rPr>
                <w:rFonts w:ascii="Arial" w:eastAsia="Times New Roman" w:hAnsi="Arial" w:cs="Arial"/>
                <w:sz w:val="20"/>
                <w:szCs w:val="20"/>
              </w:rPr>
              <w:t xml:space="preserve"> </w:t>
            </w:r>
            <w:r w:rsidR="002B7200" w:rsidRPr="00ED13A5">
              <w:rPr>
                <w:rFonts w:ascii="Arial" w:eastAsia="Times New Roman" w:hAnsi="Arial" w:cs="Arial"/>
                <w:sz w:val="20"/>
                <w:szCs w:val="20"/>
              </w:rPr>
              <w:t xml:space="preserve">obdavčitev </w:t>
            </w:r>
            <w:r w:rsidR="002B7200" w:rsidRPr="0023653A">
              <w:rPr>
                <w:rFonts w:ascii="Arial" w:eastAsia="Times New Roman" w:hAnsi="Arial" w:cs="Arial"/>
                <w:sz w:val="20"/>
                <w:szCs w:val="20"/>
              </w:rPr>
              <w:t xml:space="preserve">oziroma obdavčitev </w:t>
            </w:r>
            <w:r w:rsidR="002B7200" w:rsidRPr="00ED13A5">
              <w:rPr>
                <w:rFonts w:ascii="Arial" w:eastAsia="Times New Roman" w:hAnsi="Arial" w:cs="Arial"/>
                <w:sz w:val="20"/>
                <w:szCs w:val="20"/>
              </w:rPr>
              <w:t xml:space="preserve">kot dividenda po proporcionalni davčni stopnji kot dokončnim davkom, od davčne osnove, zmanjšane za nabavno </w:t>
            </w:r>
            <w:r w:rsidR="002B7200" w:rsidRPr="004221A7">
              <w:rPr>
                <w:rFonts w:ascii="Arial" w:eastAsia="Times New Roman" w:hAnsi="Arial" w:cs="Arial"/>
                <w:sz w:val="20"/>
                <w:szCs w:val="20"/>
              </w:rPr>
              <w:t xml:space="preserve">vrednost odsvojenih delnic ali deležev), ter s tem tudi za </w:t>
            </w:r>
            <w:r w:rsidR="002B7200">
              <w:rPr>
                <w:rFonts w:ascii="Arial" w:eastAsia="Times New Roman" w:hAnsi="Arial" w:cs="Arial"/>
                <w:sz w:val="20"/>
                <w:szCs w:val="20"/>
              </w:rPr>
              <w:t>vračilo</w:t>
            </w:r>
            <w:r w:rsidR="002B7200" w:rsidRPr="004221A7">
              <w:rPr>
                <w:rFonts w:ascii="Arial" w:eastAsia="Times New Roman" w:hAnsi="Arial" w:cs="Arial"/>
                <w:sz w:val="20"/>
                <w:szCs w:val="20"/>
              </w:rPr>
              <w:t xml:space="preserve"> morebitne razlike med tako izračunano dohodnino ter med letom izračunano in odtegnjeno dohodnino</w:t>
            </w:r>
            <w:r w:rsidR="002B7200">
              <w:rPr>
                <w:rFonts w:ascii="Arial" w:eastAsia="Times New Roman" w:hAnsi="Arial" w:cs="Arial"/>
                <w:sz w:val="20"/>
                <w:szCs w:val="20"/>
              </w:rPr>
              <w:t xml:space="preserve"> (kot dokončnim davkom oziroma kot akontacijo dohodnine)</w:t>
            </w:r>
            <w:r w:rsidR="002B7200" w:rsidRPr="004221A7">
              <w:rPr>
                <w:rFonts w:ascii="Arial" w:eastAsia="Times New Roman" w:hAnsi="Arial" w:cs="Arial"/>
                <w:sz w:val="20"/>
                <w:szCs w:val="20"/>
              </w:rPr>
              <w:t xml:space="preserve"> </w:t>
            </w:r>
            <w:r w:rsidR="002B7200">
              <w:rPr>
                <w:rFonts w:ascii="Arial" w:eastAsia="Times New Roman" w:hAnsi="Arial" w:cs="Arial"/>
                <w:sz w:val="20"/>
                <w:szCs w:val="20"/>
              </w:rPr>
              <w:t>ali</w:t>
            </w:r>
            <w:r w:rsidR="002B7200" w:rsidRPr="004221A7">
              <w:rPr>
                <w:rFonts w:ascii="Arial" w:eastAsia="Times New Roman" w:hAnsi="Arial" w:cs="Arial"/>
                <w:sz w:val="20"/>
                <w:szCs w:val="20"/>
              </w:rPr>
              <w:t xml:space="preserve"> odmerjeno akontacijo dohodnine. </w:t>
            </w:r>
            <w:r w:rsidR="008970AD">
              <w:rPr>
                <w:rFonts w:ascii="Arial" w:eastAsia="Times New Roman" w:hAnsi="Arial" w:cs="Arial"/>
                <w:sz w:val="20"/>
                <w:szCs w:val="20"/>
              </w:rPr>
              <w:t>Tako</w:t>
            </w:r>
            <w:r w:rsidR="002B7200" w:rsidRPr="004221A7">
              <w:rPr>
                <w:rFonts w:ascii="Arial" w:eastAsia="Times New Roman" w:hAnsi="Arial" w:cs="Arial"/>
                <w:sz w:val="20"/>
                <w:szCs w:val="20"/>
              </w:rPr>
              <w:t xml:space="preserve"> se pod pogojem, da davčni zavezanec na predpisan način uveljavlja tako ugotavljanje davčne osnove in izračun dohodnine, zagotavlja enaka obravnava tovrstnih obročnih oziroma odloženih izplačil v primerih, ko so bile delnice oziroma deleži odsvojeni v letih 2020 in 2021 ali od leta 2023. Zavezanec lahko tako ugotavljanje davčne osnove in izračun dohodnine uveljavlja na predpisan način v primeru tovrstnih dohodkov z virom v Sloveniji </w:t>
            </w:r>
            <w:r w:rsidR="008970AD">
              <w:rPr>
                <w:rFonts w:ascii="Arial" w:eastAsia="Times New Roman" w:hAnsi="Arial" w:cs="Arial"/>
                <w:sz w:val="20"/>
                <w:szCs w:val="20"/>
              </w:rPr>
              <w:t>in</w:t>
            </w:r>
            <w:r w:rsidR="002B7200" w:rsidRPr="004221A7">
              <w:rPr>
                <w:rFonts w:ascii="Arial" w:eastAsia="Times New Roman" w:hAnsi="Arial" w:cs="Arial"/>
                <w:sz w:val="20"/>
                <w:szCs w:val="20"/>
              </w:rPr>
              <w:t xml:space="preserve"> tudi izven Slovenije</w:t>
            </w:r>
            <w:r w:rsidR="008970AD">
              <w:rPr>
                <w:rFonts w:ascii="Arial" w:eastAsia="Times New Roman" w:hAnsi="Arial" w:cs="Arial"/>
                <w:sz w:val="20"/>
                <w:szCs w:val="20"/>
              </w:rPr>
              <w:t>,</w:t>
            </w:r>
            <w:r w:rsidR="002B7200" w:rsidRPr="004221A7">
              <w:rPr>
                <w:rFonts w:ascii="Arial" w:eastAsia="Times New Roman" w:hAnsi="Arial" w:cs="Arial"/>
                <w:sz w:val="20"/>
                <w:szCs w:val="20"/>
              </w:rPr>
              <w:t xml:space="preserve"> in sicer ne glede na to, ali je bil od dohodka med letom izračunan in odtegnjen davčni odtegljaj oziroma odmerjena akontacija dohodnine in v kakšni višini.</w:t>
            </w:r>
          </w:p>
          <w:p w14:paraId="6D783074" w14:textId="77777777" w:rsidR="002B7200" w:rsidRPr="00ED13A5" w:rsidRDefault="002B7200" w:rsidP="002B7200">
            <w:pPr>
              <w:spacing w:after="0" w:line="276" w:lineRule="auto"/>
              <w:contextualSpacing/>
              <w:jc w:val="both"/>
              <w:rPr>
                <w:rFonts w:ascii="Arial" w:eastAsia="Times New Roman" w:hAnsi="Arial" w:cs="Arial"/>
                <w:sz w:val="20"/>
                <w:szCs w:val="20"/>
              </w:rPr>
            </w:pPr>
          </w:p>
          <w:p w14:paraId="36E7C7B4" w14:textId="36A9A6E4" w:rsidR="002B7200" w:rsidRPr="0023653A" w:rsidRDefault="002B7200" w:rsidP="002B7200">
            <w:pPr>
              <w:spacing w:after="0" w:line="276" w:lineRule="auto"/>
              <w:contextualSpacing/>
              <w:jc w:val="both"/>
              <w:rPr>
                <w:rFonts w:ascii="Arial" w:eastAsia="Times New Roman" w:hAnsi="Arial" w:cs="Arial"/>
                <w:sz w:val="20"/>
                <w:szCs w:val="20"/>
              </w:rPr>
            </w:pPr>
            <w:r w:rsidRPr="00ED13A5">
              <w:rPr>
                <w:rFonts w:ascii="Arial" w:eastAsia="Times New Roman" w:hAnsi="Arial" w:cs="Arial"/>
                <w:sz w:val="20"/>
                <w:szCs w:val="20"/>
              </w:rPr>
              <w:t xml:space="preserve">Z drugim odstavkom tega člena </w:t>
            </w:r>
            <w:r w:rsidRPr="0023653A">
              <w:rPr>
                <w:rFonts w:ascii="Arial" w:eastAsia="Times New Roman" w:hAnsi="Arial" w:cs="Arial"/>
                <w:sz w:val="20"/>
                <w:szCs w:val="20"/>
              </w:rPr>
              <w:t xml:space="preserve">se določa, da se odločitev iz prvega odstavka tega člena uveljavlja </w:t>
            </w:r>
            <w:r>
              <w:rPr>
                <w:rFonts w:ascii="Arial" w:eastAsia="Times New Roman" w:hAnsi="Arial" w:cs="Arial"/>
                <w:sz w:val="20"/>
                <w:szCs w:val="20"/>
              </w:rPr>
              <w:t>z vlogo, ki jo</w:t>
            </w:r>
            <w:r w:rsidRPr="0023653A">
              <w:rPr>
                <w:rFonts w:ascii="Arial" w:eastAsia="Times New Roman" w:hAnsi="Arial" w:cs="Arial"/>
                <w:sz w:val="20"/>
                <w:szCs w:val="20"/>
              </w:rPr>
              <w:t xml:space="preserve"> mora davčni zavezanec vložiti pri davčnem organu najpozneje do 5. februarja 202</w:t>
            </w:r>
            <w:r w:rsidR="00F50CED">
              <w:rPr>
                <w:rFonts w:ascii="Arial" w:eastAsia="Times New Roman" w:hAnsi="Arial" w:cs="Arial"/>
                <w:sz w:val="20"/>
                <w:szCs w:val="20"/>
              </w:rPr>
              <w:t>3</w:t>
            </w:r>
            <w:r w:rsidRPr="0023653A">
              <w:rPr>
                <w:rFonts w:ascii="Arial" w:eastAsia="Times New Roman" w:hAnsi="Arial" w:cs="Arial"/>
                <w:sz w:val="20"/>
                <w:szCs w:val="20"/>
              </w:rPr>
              <w:t xml:space="preserve"> (op. gre za </w:t>
            </w:r>
            <w:proofErr w:type="spellStart"/>
            <w:r w:rsidRPr="0023653A">
              <w:rPr>
                <w:rFonts w:ascii="Arial" w:eastAsia="Times New Roman" w:hAnsi="Arial" w:cs="Arial"/>
                <w:sz w:val="20"/>
                <w:szCs w:val="20"/>
              </w:rPr>
              <w:t>prekluzivni</w:t>
            </w:r>
            <w:proofErr w:type="spellEnd"/>
            <w:r w:rsidRPr="0023653A">
              <w:rPr>
                <w:rFonts w:ascii="Arial" w:eastAsia="Times New Roman" w:hAnsi="Arial" w:cs="Arial"/>
                <w:sz w:val="20"/>
                <w:szCs w:val="20"/>
              </w:rPr>
              <w:t xml:space="preserve"> rok). Navedeno pomeni, da odločitve iz prvega odstavka tega člena ni mogoče uveljavljati po tem roku, kar med drugim pomeni, da je ni mogoče uveljavljati v ugovoru zoper informativni izračun dohodnine ali z vložitvijo davčne napovedi za odmero dohodnine od tovrstnega dohodka, vključno na podlagi </w:t>
            </w:r>
            <w:proofErr w:type="spellStart"/>
            <w:r w:rsidRPr="0023653A">
              <w:rPr>
                <w:rFonts w:ascii="Arial" w:eastAsia="Times New Roman" w:hAnsi="Arial" w:cs="Arial"/>
                <w:sz w:val="20"/>
                <w:szCs w:val="20"/>
              </w:rPr>
              <w:t>samoprijave</w:t>
            </w:r>
            <w:proofErr w:type="spellEnd"/>
            <w:r w:rsidRPr="0023653A">
              <w:rPr>
                <w:rFonts w:ascii="Arial" w:eastAsia="Times New Roman" w:hAnsi="Arial" w:cs="Arial"/>
                <w:sz w:val="20"/>
                <w:szCs w:val="20"/>
              </w:rPr>
              <w:t xml:space="preserve"> iz 63.</w:t>
            </w:r>
            <w:r w:rsidR="008970AD">
              <w:rPr>
                <w:rFonts w:ascii="Arial" w:eastAsia="Times New Roman" w:hAnsi="Arial" w:cs="Arial"/>
                <w:sz w:val="20"/>
                <w:szCs w:val="20"/>
              </w:rPr>
              <w:t> </w:t>
            </w:r>
            <w:r w:rsidRPr="0023653A">
              <w:rPr>
                <w:rFonts w:ascii="Arial" w:eastAsia="Times New Roman" w:hAnsi="Arial" w:cs="Arial"/>
                <w:sz w:val="20"/>
                <w:szCs w:val="20"/>
              </w:rPr>
              <w:t>člena ZDavP-2.</w:t>
            </w:r>
          </w:p>
          <w:p w14:paraId="74E51E14" w14:textId="77777777" w:rsidR="002B7200" w:rsidRPr="0023653A" w:rsidRDefault="002B7200" w:rsidP="002B7200">
            <w:pPr>
              <w:spacing w:after="0" w:line="276" w:lineRule="auto"/>
              <w:contextualSpacing/>
              <w:jc w:val="both"/>
              <w:rPr>
                <w:rFonts w:ascii="Arial" w:eastAsia="Times New Roman" w:hAnsi="Arial" w:cs="Arial"/>
                <w:sz w:val="20"/>
                <w:szCs w:val="20"/>
              </w:rPr>
            </w:pPr>
          </w:p>
          <w:p w14:paraId="14BFCF5E" w14:textId="7A2CC072" w:rsidR="002B7200" w:rsidRDefault="002B7200" w:rsidP="002B7200">
            <w:pPr>
              <w:spacing w:after="0" w:line="276" w:lineRule="auto"/>
              <w:contextualSpacing/>
              <w:jc w:val="both"/>
              <w:rPr>
                <w:rFonts w:ascii="Arial" w:eastAsia="Times New Roman" w:hAnsi="Arial" w:cs="Arial"/>
                <w:sz w:val="20"/>
                <w:szCs w:val="20"/>
              </w:rPr>
            </w:pPr>
            <w:r w:rsidRPr="004221A7">
              <w:rPr>
                <w:rFonts w:ascii="Arial" w:eastAsia="Times New Roman" w:hAnsi="Arial" w:cs="Arial"/>
                <w:sz w:val="20"/>
                <w:szCs w:val="20"/>
              </w:rPr>
              <w:t>V tretjem odstavku je določeno, da davčni organ o vlogi, s katero davčni zavezanec uveljavlja odločitev iz prvega odstavka tega člena, odloči v 60  dneh od dneva njene vložitve (tj.</w:t>
            </w:r>
            <w:r w:rsidR="008970AD">
              <w:rPr>
                <w:rFonts w:ascii="Arial" w:eastAsia="Times New Roman" w:hAnsi="Arial" w:cs="Arial"/>
                <w:sz w:val="20"/>
                <w:szCs w:val="20"/>
              </w:rPr>
              <w:t> </w:t>
            </w:r>
            <w:r>
              <w:rPr>
                <w:rFonts w:ascii="Arial" w:eastAsia="Times New Roman" w:hAnsi="Arial" w:cs="Arial"/>
                <w:sz w:val="20"/>
                <w:szCs w:val="20"/>
              </w:rPr>
              <w:t>z odločbo ugotovi davčno obveznost, o</w:t>
            </w:r>
            <w:r w:rsidRPr="004221A7">
              <w:rPr>
                <w:rFonts w:ascii="Arial" w:eastAsia="Times New Roman" w:hAnsi="Arial" w:cs="Arial"/>
                <w:sz w:val="20"/>
                <w:szCs w:val="20"/>
              </w:rPr>
              <w:t xml:space="preserve">dloči o poračunu te z izračunanim in odtegnjenim davčnim odtegljajem oziroma </w:t>
            </w:r>
            <w:r w:rsidR="008970AD">
              <w:rPr>
                <w:rFonts w:ascii="Arial" w:eastAsia="Times New Roman" w:hAnsi="Arial" w:cs="Arial"/>
                <w:sz w:val="20"/>
                <w:szCs w:val="20"/>
              </w:rPr>
              <w:t xml:space="preserve">o </w:t>
            </w:r>
            <w:r w:rsidRPr="004221A7">
              <w:rPr>
                <w:rFonts w:ascii="Arial" w:eastAsia="Times New Roman" w:hAnsi="Arial" w:cs="Arial"/>
                <w:sz w:val="20"/>
                <w:szCs w:val="20"/>
              </w:rPr>
              <w:t xml:space="preserve">poračunu te z akontacijo dohodnine, odmerjene z odločbo, ter o odbitku tujega davka). </w:t>
            </w:r>
            <w:r>
              <w:rPr>
                <w:rFonts w:ascii="Arial" w:eastAsia="Times New Roman" w:hAnsi="Arial" w:cs="Arial"/>
                <w:sz w:val="20"/>
                <w:szCs w:val="20"/>
              </w:rPr>
              <w:t>V primeru, č</w:t>
            </w:r>
            <w:r w:rsidRPr="00190F6D">
              <w:rPr>
                <w:rFonts w:ascii="Arial" w:eastAsia="Times New Roman" w:hAnsi="Arial" w:cs="Arial"/>
                <w:sz w:val="20"/>
                <w:szCs w:val="20"/>
              </w:rPr>
              <w:t xml:space="preserve">e je z odločbo ugotovljeno, da znesek </w:t>
            </w:r>
            <w:bookmarkStart w:id="12" w:name="_Hlk112766939"/>
            <w:r>
              <w:rPr>
                <w:rFonts w:ascii="Arial" w:eastAsia="Times New Roman" w:hAnsi="Arial" w:cs="Arial"/>
                <w:sz w:val="20"/>
                <w:szCs w:val="20"/>
              </w:rPr>
              <w:t xml:space="preserve">od takega dohodka </w:t>
            </w:r>
            <w:r w:rsidRPr="00190F6D">
              <w:rPr>
                <w:rFonts w:ascii="Arial" w:eastAsia="Times New Roman" w:hAnsi="Arial" w:cs="Arial"/>
                <w:sz w:val="20"/>
                <w:szCs w:val="20"/>
              </w:rPr>
              <w:t>izračunane in odtegnjene</w:t>
            </w:r>
            <w:r>
              <w:rPr>
                <w:rFonts w:ascii="Arial" w:eastAsia="Times New Roman" w:hAnsi="Arial" w:cs="Arial"/>
                <w:sz w:val="20"/>
                <w:szCs w:val="20"/>
              </w:rPr>
              <w:t xml:space="preserve"> dohodnine oziroma akontacije dohodnine ali</w:t>
            </w:r>
            <w:r w:rsidRPr="00190F6D">
              <w:rPr>
                <w:rFonts w:ascii="Arial" w:eastAsia="Times New Roman" w:hAnsi="Arial" w:cs="Arial"/>
                <w:sz w:val="20"/>
                <w:szCs w:val="20"/>
              </w:rPr>
              <w:t xml:space="preserve"> odmerjene akontacije dohodnine presega davčno obveznost, ugotovljeno v skladu s prvo alinejo prvega odstavka tega člena</w:t>
            </w:r>
            <w:bookmarkEnd w:id="12"/>
            <w:r w:rsidRPr="00190F6D">
              <w:rPr>
                <w:rFonts w:ascii="Arial" w:eastAsia="Times New Roman" w:hAnsi="Arial" w:cs="Arial"/>
                <w:sz w:val="20"/>
                <w:szCs w:val="20"/>
              </w:rPr>
              <w:t xml:space="preserve">, </w:t>
            </w:r>
            <w:r>
              <w:rPr>
                <w:rFonts w:ascii="Arial" w:eastAsia="Times New Roman" w:hAnsi="Arial" w:cs="Arial"/>
                <w:sz w:val="20"/>
                <w:szCs w:val="20"/>
              </w:rPr>
              <w:t xml:space="preserve">se razlika – </w:t>
            </w:r>
            <w:r w:rsidRPr="00190F6D">
              <w:rPr>
                <w:rFonts w:ascii="Arial" w:eastAsia="Times New Roman" w:hAnsi="Arial" w:cs="Arial"/>
                <w:sz w:val="20"/>
                <w:szCs w:val="20"/>
              </w:rPr>
              <w:t xml:space="preserve">ne glede na </w:t>
            </w:r>
            <w:r>
              <w:rPr>
                <w:rFonts w:ascii="Arial" w:eastAsia="Times New Roman" w:hAnsi="Arial" w:cs="Arial"/>
                <w:sz w:val="20"/>
                <w:szCs w:val="20"/>
              </w:rPr>
              <w:t>Z</w:t>
            </w:r>
            <w:r w:rsidRPr="00190F6D">
              <w:rPr>
                <w:rFonts w:ascii="Arial" w:eastAsia="Times New Roman" w:hAnsi="Arial" w:cs="Arial"/>
                <w:sz w:val="20"/>
                <w:szCs w:val="20"/>
              </w:rPr>
              <w:t>akon</w:t>
            </w:r>
            <w:r>
              <w:rPr>
                <w:rFonts w:ascii="Arial" w:eastAsia="Times New Roman" w:hAnsi="Arial" w:cs="Arial"/>
                <w:sz w:val="20"/>
                <w:szCs w:val="20"/>
              </w:rPr>
              <w:t xml:space="preserve"> o davčnem postopku – </w:t>
            </w:r>
            <w:r w:rsidRPr="00190F6D">
              <w:rPr>
                <w:rFonts w:ascii="Arial" w:eastAsia="Times New Roman" w:hAnsi="Arial" w:cs="Arial"/>
                <w:sz w:val="20"/>
                <w:szCs w:val="20"/>
              </w:rPr>
              <w:t>vrne</w:t>
            </w:r>
            <w:r>
              <w:rPr>
                <w:rFonts w:ascii="Arial" w:eastAsia="Times New Roman" w:hAnsi="Arial" w:cs="Arial"/>
                <w:sz w:val="20"/>
                <w:szCs w:val="20"/>
              </w:rPr>
              <w:t xml:space="preserve"> zavezancu (in ne plačniku davka)</w:t>
            </w:r>
            <w:r w:rsidRPr="00190F6D">
              <w:rPr>
                <w:rFonts w:ascii="Arial" w:eastAsia="Times New Roman" w:hAnsi="Arial" w:cs="Arial"/>
                <w:sz w:val="20"/>
                <w:szCs w:val="20"/>
              </w:rPr>
              <w:t xml:space="preserve">. </w:t>
            </w:r>
            <w:r>
              <w:rPr>
                <w:rFonts w:ascii="Arial" w:eastAsia="Times New Roman" w:hAnsi="Arial" w:cs="Arial"/>
                <w:sz w:val="20"/>
                <w:szCs w:val="20"/>
              </w:rPr>
              <w:t>Razlika se zavezancu vrne ne glede na to, ali je plačnik davka izračunano in odtegnjeno dohodnino oziroma akontacijo dohodnine tudi dejansko plačal. V primeru vračila razlike z</w:t>
            </w:r>
            <w:r w:rsidRPr="00190F6D">
              <w:rPr>
                <w:rFonts w:ascii="Arial" w:eastAsia="Times New Roman" w:hAnsi="Arial" w:cs="Arial"/>
                <w:sz w:val="20"/>
                <w:szCs w:val="20"/>
              </w:rPr>
              <w:t>avezancu ne pripadajo obresti.</w:t>
            </w:r>
          </w:p>
          <w:p w14:paraId="1D83046B" w14:textId="77777777" w:rsidR="002B7200" w:rsidRDefault="002B7200" w:rsidP="002B7200">
            <w:pPr>
              <w:spacing w:after="0" w:line="276" w:lineRule="auto"/>
              <w:contextualSpacing/>
              <w:jc w:val="both"/>
              <w:rPr>
                <w:rFonts w:ascii="Arial" w:eastAsia="Times New Roman" w:hAnsi="Arial" w:cs="Arial"/>
                <w:sz w:val="20"/>
                <w:szCs w:val="20"/>
              </w:rPr>
            </w:pPr>
          </w:p>
          <w:p w14:paraId="464D4A59" w14:textId="223E29B8" w:rsidR="002B7200" w:rsidRPr="004221A7" w:rsidRDefault="002B7200" w:rsidP="002B7200">
            <w:pPr>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S četrtim odstavkom se določa, da o</w:t>
            </w:r>
            <w:r w:rsidRPr="00190F6D">
              <w:rPr>
                <w:rFonts w:ascii="Arial" w:eastAsia="Times New Roman" w:hAnsi="Arial" w:cs="Arial"/>
                <w:sz w:val="20"/>
                <w:szCs w:val="20"/>
              </w:rPr>
              <w:t xml:space="preserve">dločba davčnega organa iz </w:t>
            </w:r>
            <w:r>
              <w:rPr>
                <w:rFonts w:ascii="Arial" w:eastAsia="Times New Roman" w:hAnsi="Arial" w:cs="Arial"/>
                <w:sz w:val="20"/>
                <w:szCs w:val="20"/>
              </w:rPr>
              <w:t xml:space="preserve">tretjega </w:t>
            </w:r>
            <w:r w:rsidRPr="00190F6D">
              <w:rPr>
                <w:rFonts w:ascii="Arial" w:eastAsia="Times New Roman" w:hAnsi="Arial" w:cs="Arial"/>
                <w:sz w:val="20"/>
                <w:szCs w:val="20"/>
              </w:rPr>
              <w:t xml:space="preserve">odstavka tega člena ne posega v obveznost plačnika davka, vzpostavljeno z obračunom davčnega odtegljaja, s katerim je bila izračunana in odtegnjena </w:t>
            </w:r>
            <w:r>
              <w:rPr>
                <w:rFonts w:ascii="Arial" w:eastAsia="Times New Roman" w:hAnsi="Arial" w:cs="Arial"/>
                <w:sz w:val="20"/>
                <w:szCs w:val="20"/>
              </w:rPr>
              <w:t xml:space="preserve">dohodnina oziroma </w:t>
            </w:r>
            <w:r w:rsidRPr="00190F6D">
              <w:rPr>
                <w:rFonts w:ascii="Arial" w:eastAsia="Times New Roman" w:hAnsi="Arial" w:cs="Arial"/>
                <w:sz w:val="20"/>
                <w:szCs w:val="20"/>
              </w:rPr>
              <w:t>akontacija dohodnine</w:t>
            </w:r>
            <w:r>
              <w:rPr>
                <w:rFonts w:ascii="Arial" w:eastAsia="Times New Roman" w:hAnsi="Arial" w:cs="Arial"/>
                <w:sz w:val="20"/>
                <w:szCs w:val="20"/>
              </w:rPr>
              <w:t>. Navedeno pomeni, da</w:t>
            </w:r>
            <w:r w:rsidRPr="004221A7">
              <w:rPr>
                <w:rFonts w:ascii="Arial" w:eastAsia="Times New Roman" w:hAnsi="Arial" w:cs="Arial"/>
                <w:sz w:val="20"/>
                <w:szCs w:val="20"/>
              </w:rPr>
              <w:t xml:space="preserve"> v </w:t>
            </w:r>
            <w:r w:rsidRPr="004221A7">
              <w:rPr>
                <w:rFonts w:ascii="Arial" w:eastAsia="Times New Roman" w:hAnsi="Arial" w:cs="Arial"/>
                <w:sz w:val="20"/>
                <w:szCs w:val="20"/>
              </w:rPr>
              <w:lastRenderedPageBreak/>
              <w:t xml:space="preserve">primeru, ko je bil davčni odtegljaj izračunan in odtegnjen, ne </w:t>
            </w:r>
            <w:r w:rsidR="008970AD">
              <w:rPr>
                <w:rFonts w:ascii="Arial" w:eastAsia="Times New Roman" w:hAnsi="Arial" w:cs="Arial"/>
                <w:sz w:val="20"/>
                <w:szCs w:val="20"/>
              </w:rPr>
              <w:t xml:space="preserve">pa </w:t>
            </w:r>
            <w:r w:rsidRPr="004221A7">
              <w:rPr>
                <w:rFonts w:ascii="Arial" w:eastAsia="Times New Roman" w:hAnsi="Arial" w:cs="Arial"/>
                <w:sz w:val="20"/>
                <w:szCs w:val="20"/>
              </w:rPr>
              <w:t xml:space="preserve">tudi plačan, </w:t>
            </w:r>
            <w:r>
              <w:rPr>
                <w:rFonts w:ascii="Arial" w:eastAsia="Times New Roman" w:hAnsi="Arial" w:cs="Arial"/>
                <w:sz w:val="20"/>
                <w:szCs w:val="20"/>
              </w:rPr>
              <w:t xml:space="preserve">davčni organ pa je na podlagi odločbe iz tretjega odstavka tega člena podatke o davčni obveznosti v obračunu davčnega odtegljaja uskladil s podatki v odločbi, ta uskladitev ne vpliva na </w:t>
            </w:r>
            <w:r w:rsidRPr="004221A7">
              <w:rPr>
                <w:rFonts w:ascii="Arial" w:eastAsia="Times New Roman" w:hAnsi="Arial" w:cs="Arial"/>
                <w:sz w:val="20"/>
                <w:szCs w:val="20"/>
              </w:rPr>
              <w:t>terjatev do plačnika davka</w:t>
            </w:r>
            <w:r>
              <w:rPr>
                <w:rFonts w:ascii="Arial" w:eastAsia="Times New Roman" w:hAnsi="Arial" w:cs="Arial"/>
                <w:sz w:val="20"/>
                <w:szCs w:val="20"/>
              </w:rPr>
              <w:t>, vzpostavljeno na podlagi obračuna davčnega odtegljaja.</w:t>
            </w:r>
          </w:p>
          <w:p w14:paraId="1E2A0B21" w14:textId="77777777" w:rsidR="002B7200" w:rsidRPr="004221A7" w:rsidRDefault="002B7200" w:rsidP="002B7200">
            <w:pPr>
              <w:spacing w:after="0" w:line="276" w:lineRule="auto"/>
              <w:contextualSpacing/>
              <w:jc w:val="both"/>
              <w:rPr>
                <w:rFonts w:ascii="Arial" w:eastAsia="Times New Roman" w:hAnsi="Arial" w:cs="Arial"/>
                <w:sz w:val="20"/>
                <w:szCs w:val="20"/>
              </w:rPr>
            </w:pPr>
          </w:p>
          <w:p w14:paraId="4DF9BFD0" w14:textId="3E30C3AE" w:rsidR="002B7200" w:rsidRPr="004221A7" w:rsidRDefault="002B7200" w:rsidP="002B7200">
            <w:pPr>
              <w:spacing w:after="0" w:line="276" w:lineRule="auto"/>
              <w:contextualSpacing/>
              <w:jc w:val="both"/>
              <w:rPr>
                <w:rFonts w:ascii="Arial" w:eastAsia="Times New Roman" w:hAnsi="Arial" w:cs="Arial"/>
                <w:sz w:val="20"/>
                <w:szCs w:val="20"/>
              </w:rPr>
            </w:pPr>
            <w:r w:rsidRPr="004221A7">
              <w:rPr>
                <w:rFonts w:ascii="Arial" w:eastAsia="Times New Roman" w:hAnsi="Arial" w:cs="Arial"/>
                <w:sz w:val="20"/>
                <w:szCs w:val="20"/>
              </w:rPr>
              <w:t xml:space="preserve">Zavezanec se lahko za davčno leto 2022 skladno z </w:t>
            </w:r>
            <w:r w:rsidR="00803336">
              <w:rPr>
                <w:rFonts w:ascii="Arial" w:eastAsia="Times New Roman" w:hAnsi="Arial" w:cs="Arial"/>
                <w:sz w:val="20"/>
                <w:szCs w:val="20"/>
              </w:rPr>
              <w:t>drugi</w:t>
            </w:r>
            <w:r w:rsidR="008A18CF">
              <w:rPr>
                <w:rFonts w:ascii="Arial" w:eastAsia="Times New Roman" w:hAnsi="Arial" w:cs="Arial"/>
                <w:sz w:val="20"/>
                <w:szCs w:val="20"/>
              </w:rPr>
              <w:t>m</w:t>
            </w:r>
            <w:r w:rsidR="00803336" w:rsidRPr="004221A7">
              <w:rPr>
                <w:rFonts w:ascii="Arial" w:eastAsia="Times New Roman" w:hAnsi="Arial" w:cs="Arial"/>
                <w:sz w:val="20"/>
                <w:szCs w:val="20"/>
              </w:rPr>
              <w:t xml:space="preserve"> </w:t>
            </w:r>
            <w:r w:rsidRPr="004221A7">
              <w:rPr>
                <w:rFonts w:ascii="Arial" w:eastAsia="Times New Roman" w:hAnsi="Arial" w:cs="Arial"/>
                <w:sz w:val="20"/>
                <w:szCs w:val="20"/>
              </w:rPr>
              <w:t>stavkom prvega odstavka 109.</w:t>
            </w:r>
            <w:r w:rsidR="008970AD">
              <w:rPr>
                <w:rFonts w:ascii="Arial" w:eastAsia="Times New Roman" w:hAnsi="Arial" w:cs="Arial"/>
                <w:sz w:val="20"/>
                <w:szCs w:val="20"/>
              </w:rPr>
              <w:t> </w:t>
            </w:r>
            <w:r w:rsidRPr="004221A7">
              <w:rPr>
                <w:rFonts w:ascii="Arial" w:eastAsia="Times New Roman" w:hAnsi="Arial" w:cs="Arial"/>
                <w:sz w:val="20"/>
                <w:szCs w:val="20"/>
              </w:rPr>
              <w:t>člena Zakona o dohodnini (Uradni list RS, št.</w:t>
            </w:r>
            <w:r w:rsidR="008970AD">
              <w:rPr>
                <w:rFonts w:ascii="Arial" w:eastAsia="Times New Roman" w:hAnsi="Arial" w:cs="Arial"/>
                <w:sz w:val="20"/>
                <w:szCs w:val="20"/>
              </w:rPr>
              <w:t> </w:t>
            </w:r>
            <w:r w:rsidRPr="004221A7">
              <w:rPr>
                <w:rFonts w:ascii="Arial" w:eastAsia="Times New Roman" w:hAnsi="Arial" w:cs="Arial"/>
                <w:sz w:val="20"/>
                <w:szCs w:val="20"/>
              </w:rPr>
              <w:t xml:space="preserve">13/11 – uradno prečiščeno besedilo, 9/11 – ZUKD-1, 9/12 – </w:t>
            </w:r>
            <w:proofErr w:type="spellStart"/>
            <w:r w:rsidRPr="004221A7">
              <w:rPr>
                <w:rFonts w:ascii="Arial" w:eastAsia="Times New Roman" w:hAnsi="Arial" w:cs="Arial"/>
                <w:sz w:val="20"/>
                <w:szCs w:val="20"/>
              </w:rPr>
              <w:t>odl</w:t>
            </w:r>
            <w:proofErr w:type="spellEnd"/>
            <w:r w:rsidRPr="004221A7">
              <w:rPr>
                <w:rFonts w:ascii="Arial" w:eastAsia="Times New Roman" w:hAnsi="Arial" w:cs="Arial"/>
                <w:sz w:val="20"/>
                <w:szCs w:val="20"/>
              </w:rPr>
              <w:t xml:space="preserve">. US, 24/12, 30/12, 40/12 – ZUJF, 75/12, 94/12, 96/13, 29/14 – </w:t>
            </w:r>
            <w:proofErr w:type="spellStart"/>
            <w:r w:rsidRPr="004221A7">
              <w:rPr>
                <w:rFonts w:ascii="Arial" w:eastAsia="Times New Roman" w:hAnsi="Arial" w:cs="Arial"/>
                <w:sz w:val="20"/>
                <w:szCs w:val="20"/>
              </w:rPr>
              <w:t>odl</w:t>
            </w:r>
            <w:proofErr w:type="spellEnd"/>
            <w:r w:rsidRPr="004221A7">
              <w:rPr>
                <w:rFonts w:ascii="Arial" w:eastAsia="Times New Roman" w:hAnsi="Arial" w:cs="Arial"/>
                <w:sz w:val="20"/>
                <w:szCs w:val="20"/>
              </w:rPr>
              <w:t>. US, 50/14, 23/15, 55/15, 63/16, 69/17, 21/19, 28/19, 66/19 in 39/22) – ki bo sicer z 8.</w:t>
            </w:r>
            <w:r w:rsidR="008970AD">
              <w:rPr>
                <w:rFonts w:ascii="Arial" w:eastAsia="Times New Roman" w:hAnsi="Arial" w:cs="Arial"/>
                <w:sz w:val="20"/>
                <w:szCs w:val="20"/>
              </w:rPr>
              <w:t> </w:t>
            </w:r>
            <w:r w:rsidRPr="004221A7">
              <w:rPr>
                <w:rFonts w:ascii="Arial" w:eastAsia="Times New Roman" w:hAnsi="Arial" w:cs="Arial"/>
                <w:sz w:val="20"/>
                <w:szCs w:val="20"/>
              </w:rPr>
              <w:t>členom tega zakona črtan, a se bo skladno z drugim odstavkom 21.</w:t>
            </w:r>
            <w:r w:rsidR="008970AD">
              <w:rPr>
                <w:rFonts w:ascii="Arial" w:eastAsia="Times New Roman" w:hAnsi="Arial" w:cs="Arial"/>
                <w:sz w:val="20"/>
                <w:szCs w:val="20"/>
              </w:rPr>
              <w:t> </w:t>
            </w:r>
            <w:r w:rsidRPr="004221A7">
              <w:rPr>
                <w:rFonts w:ascii="Arial" w:eastAsia="Times New Roman" w:hAnsi="Arial" w:cs="Arial"/>
                <w:sz w:val="20"/>
                <w:szCs w:val="20"/>
              </w:rPr>
              <w:t xml:space="preserve">člena tega zakona uporabljal za davčno leto 2022 – odloči, da se dohodki iz kapitala </w:t>
            </w:r>
            <w:r w:rsidR="008970AD">
              <w:rPr>
                <w:rFonts w:ascii="Arial" w:eastAsia="Times New Roman" w:hAnsi="Arial" w:cs="Arial"/>
                <w:sz w:val="20"/>
                <w:szCs w:val="20"/>
              </w:rPr>
              <w:t>in</w:t>
            </w:r>
            <w:r w:rsidRPr="004221A7">
              <w:rPr>
                <w:rFonts w:ascii="Arial" w:eastAsia="Times New Roman" w:hAnsi="Arial" w:cs="Arial"/>
                <w:sz w:val="20"/>
                <w:szCs w:val="20"/>
              </w:rPr>
              <w:t xml:space="preserve"> dohodki iz oddajanja v najem obdavčujejo sintetično, po progresivnih stopnjah. S </w:t>
            </w:r>
            <w:r>
              <w:rPr>
                <w:rFonts w:ascii="Arial" w:eastAsia="Times New Roman" w:hAnsi="Arial" w:cs="Arial"/>
                <w:sz w:val="20"/>
                <w:szCs w:val="20"/>
              </w:rPr>
              <w:t>petim</w:t>
            </w:r>
            <w:r w:rsidRPr="004221A7">
              <w:rPr>
                <w:rFonts w:ascii="Arial" w:eastAsia="Times New Roman" w:hAnsi="Arial" w:cs="Arial"/>
                <w:sz w:val="20"/>
                <w:szCs w:val="20"/>
              </w:rPr>
              <w:t xml:space="preserve"> odstavkom se določa, da se v primeru, ko se zavezanec odloči za tako sintetično obdavčitev, po progresivnih stopnjah, v letno davčno osnovo všteva tudi davčna osnova od dohodka, </w:t>
            </w:r>
            <w:bookmarkStart w:id="13" w:name="_Hlk112677059"/>
            <w:r w:rsidRPr="004221A7">
              <w:rPr>
                <w:rFonts w:ascii="Arial" w:eastAsia="Times New Roman" w:hAnsi="Arial" w:cs="Arial"/>
                <w:sz w:val="20"/>
                <w:szCs w:val="20"/>
              </w:rPr>
              <w:t xml:space="preserve">za katerega zavezanec uveljavi odločitev iz prvega odstavka tega člena z vlogo iz drugega odstavka tega člena, če davčni organ taki vlogi ugodi. </w:t>
            </w:r>
            <w:r>
              <w:rPr>
                <w:rFonts w:ascii="Arial" w:eastAsia="Times New Roman" w:hAnsi="Arial" w:cs="Arial"/>
                <w:sz w:val="20"/>
                <w:szCs w:val="20"/>
              </w:rPr>
              <w:t>V tem primeru se davek, izračunan v odločbi iz tretjega odstavka tega člena</w:t>
            </w:r>
            <w:r w:rsidR="00691579">
              <w:rPr>
                <w:rFonts w:ascii="Arial" w:eastAsia="Times New Roman" w:hAnsi="Arial" w:cs="Arial"/>
                <w:sz w:val="20"/>
                <w:szCs w:val="20"/>
              </w:rPr>
              <w:t>,</w:t>
            </w:r>
            <w:r>
              <w:rPr>
                <w:rFonts w:ascii="Arial" w:eastAsia="Times New Roman" w:hAnsi="Arial" w:cs="Arial"/>
                <w:sz w:val="20"/>
                <w:szCs w:val="20"/>
              </w:rPr>
              <w:t xml:space="preserve"> šteje za akontacijo dohodnine zavezanca od takega dohodka.</w:t>
            </w:r>
          </w:p>
          <w:bookmarkEnd w:id="13"/>
          <w:p w14:paraId="01406BB4" w14:textId="77777777" w:rsidR="002B7200" w:rsidRPr="004221A7" w:rsidRDefault="002B7200" w:rsidP="002B7200">
            <w:pPr>
              <w:spacing w:after="0" w:line="276" w:lineRule="auto"/>
              <w:contextualSpacing/>
              <w:jc w:val="both"/>
              <w:rPr>
                <w:rFonts w:ascii="Arial" w:eastAsia="Times New Roman" w:hAnsi="Arial" w:cs="Arial"/>
                <w:sz w:val="20"/>
                <w:szCs w:val="20"/>
                <w:lang w:eastAsia="sl-SI"/>
              </w:rPr>
            </w:pPr>
          </w:p>
          <w:p w14:paraId="1480D55F" w14:textId="79CD60B0" w:rsidR="002B7200" w:rsidRDefault="002B7200" w:rsidP="00F45022">
            <w:pPr>
              <w:spacing w:after="0" w:line="276" w:lineRule="auto"/>
              <w:contextualSpacing/>
              <w:jc w:val="both"/>
              <w:rPr>
                <w:rFonts w:ascii="Arial" w:eastAsia="Calibri" w:hAnsi="Arial" w:cs="Arial"/>
                <w:sz w:val="20"/>
                <w:szCs w:val="20"/>
              </w:rPr>
            </w:pPr>
            <w:r>
              <w:rPr>
                <w:rFonts w:ascii="Arial" w:eastAsia="Times New Roman" w:hAnsi="Arial" w:cs="Arial"/>
                <w:sz w:val="20"/>
                <w:szCs w:val="20"/>
              </w:rPr>
              <w:t xml:space="preserve">Skladno s prvim </w:t>
            </w:r>
            <w:r w:rsidRPr="004221A7">
              <w:rPr>
                <w:rFonts w:ascii="Arial" w:eastAsia="Times New Roman" w:hAnsi="Arial" w:cs="Arial"/>
                <w:sz w:val="20"/>
                <w:szCs w:val="20"/>
              </w:rPr>
              <w:t>odstavkom 21.</w:t>
            </w:r>
            <w:r w:rsidR="008970AD">
              <w:rPr>
                <w:rFonts w:ascii="Arial" w:eastAsia="Times New Roman" w:hAnsi="Arial" w:cs="Arial"/>
                <w:sz w:val="20"/>
                <w:szCs w:val="20"/>
              </w:rPr>
              <w:t> </w:t>
            </w:r>
            <w:r w:rsidRPr="004221A7">
              <w:rPr>
                <w:rFonts w:ascii="Arial" w:eastAsia="Times New Roman" w:hAnsi="Arial" w:cs="Arial"/>
                <w:sz w:val="20"/>
                <w:szCs w:val="20"/>
              </w:rPr>
              <w:t>člena tega zakona (končna določba) se nova 6</w:t>
            </w:r>
            <w:r w:rsidRPr="008D1EEB">
              <w:rPr>
                <w:rFonts w:ascii="Arial" w:eastAsia="Times New Roman" w:hAnsi="Arial" w:cs="Arial"/>
                <w:sz w:val="20"/>
                <w:szCs w:val="20"/>
              </w:rPr>
              <w:t>.</w:t>
            </w:r>
            <w:r w:rsidR="008970AD">
              <w:rPr>
                <w:rFonts w:ascii="Arial" w:eastAsia="Times New Roman" w:hAnsi="Arial" w:cs="Arial"/>
                <w:sz w:val="20"/>
                <w:szCs w:val="20"/>
              </w:rPr>
              <w:t> </w:t>
            </w:r>
            <w:r w:rsidRPr="008D1EEB">
              <w:rPr>
                <w:rFonts w:ascii="Arial" w:eastAsia="Times New Roman" w:hAnsi="Arial" w:cs="Arial"/>
                <w:sz w:val="20"/>
                <w:szCs w:val="20"/>
              </w:rPr>
              <w:t>točka četrtega odstavka 90.</w:t>
            </w:r>
            <w:r w:rsidR="008970AD">
              <w:rPr>
                <w:rFonts w:ascii="Arial" w:eastAsia="Times New Roman" w:hAnsi="Arial" w:cs="Arial"/>
                <w:sz w:val="20"/>
                <w:szCs w:val="20"/>
              </w:rPr>
              <w:t> </w:t>
            </w:r>
            <w:r w:rsidRPr="008D1EEB">
              <w:rPr>
                <w:rFonts w:ascii="Arial" w:eastAsia="Times New Roman" w:hAnsi="Arial" w:cs="Arial"/>
                <w:sz w:val="20"/>
                <w:szCs w:val="20"/>
              </w:rPr>
              <w:t xml:space="preserve">člena </w:t>
            </w:r>
            <w:r w:rsidR="00246D5E">
              <w:rPr>
                <w:rFonts w:ascii="Arial" w:eastAsia="Times New Roman" w:hAnsi="Arial" w:cs="Arial"/>
                <w:sz w:val="20"/>
                <w:szCs w:val="20"/>
              </w:rPr>
              <w:t>ZDoh-2</w:t>
            </w:r>
            <w:r w:rsidRPr="008D1EEB">
              <w:rPr>
                <w:rFonts w:ascii="Arial" w:eastAsia="Times New Roman" w:hAnsi="Arial" w:cs="Arial"/>
                <w:sz w:val="20"/>
                <w:szCs w:val="20"/>
              </w:rPr>
              <w:t xml:space="preserve"> uporablja za davčna leta, ki se začnejo od vključno 1. januarja 2023</w:t>
            </w:r>
            <w:r>
              <w:rPr>
                <w:rFonts w:ascii="Arial" w:eastAsia="Times New Roman" w:hAnsi="Arial" w:cs="Arial"/>
                <w:sz w:val="20"/>
                <w:szCs w:val="20"/>
              </w:rPr>
              <w:t>. Zaradi večje jasnosti se s</w:t>
            </w:r>
            <w:r w:rsidRPr="00ED13A5">
              <w:rPr>
                <w:rFonts w:ascii="Arial" w:eastAsia="Times New Roman" w:hAnsi="Arial" w:cs="Arial"/>
                <w:sz w:val="20"/>
                <w:szCs w:val="20"/>
              </w:rPr>
              <w:t xml:space="preserve"> </w:t>
            </w:r>
            <w:r>
              <w:rPr>
                <w:rFonts w:ascii="Arial" w:eastAsia="Times New Roman" w:hAnsi="Arial" w:cs="Arial"/>
                <w:sz w:val="20"/>
                <w:szCs w:val="20"/>
              </w:rPr>
              <w:t>šestim</w:t>
            </w:r>
            <w:r w:rsidRPr="00ED13A5">
              <w:rPr>
                <w:rFonts w:ascii="Arial" w:eastAsia="Times New Roman" w:hAnsi="Arial" w:cs="Arial"/>
                <w:sz w:val="20"/>
                <w:szCs w:val="20"/>
              </w:rPr>
              <w:t xml:space="preserve"> odstavkom tega člena </w:t>
            </w:r>
            <w:r>
              <w:rPr>
                <w:rFonts w:ascii="Arial" w:eastAsia="Times New Roman" w:hAnsi="Arial" w:cs="Arial"/>
                <w:sz w:val="20"/>
                <w:szCs w:val="20"/>
              </w:rPr>
              <w:t xml:space="preserve">posebej </w:t>
            </w:r>
            <w:r w:rsidRPr="00ED13A5">
              <w:rPr>
                <w:rFonts w:ascii="Arial" w:eastAsia="Times New Roman" w:hAnsi="Arial" w:cs="Arial"/>
                <w:sz w:val="20"/>
                <w:szCs w:val="20"/>
              </w:rPr>
              <w:t xml:space="preserve">določa, da se </w:t>
            </w:r>
            <w:r>
              <w:rPr>
                <w:rFonts w:ascii="Arial" w:eastAsia="Times New Roman" w:hAnsi="Arial" w:cs="Arial"/>
                <w:sz w:val="20"/>
                <w:szCs w:val="20"/>
              </w:rPr>
              <w:t xml:space="preserve">nova </w:t>
            </w:r>
            <w:r w:rsidRPr="00ED13A5">
              <w:rPr>
                <w:rFonts w:ascii="Arial" w:eastAsia="Times New Roman" w:hAnsi="Arial" w:cs="Arial"/>
                <w:sz w:val="20"/>
                <w:szCs w:val="20"/>
              </w:rPr>
              <w:t>6. točka četrtega odstavka 90.</w:t>
            </w:r>
            <w:r>
              <w:rPr>
                <w:rFonts w:ascii="Arial" w:eastAsia="Times New Roman" w:hAnsi="Arial" w:cs="Arial"/>
                <w:sz w:val="20"/>
                <w:szCs w:val="20"/>
              </w:rPr>
              <w:t> </w:t>
            </w:r>
            <w:r w:rsidRPr="00ED13A5">
              <w:rPr>
                <w:rFonts w:ascii="Arial" w:eastAsia="Times New Roman" w:hAnsi="Arial" w:cs="Arial"/>
                <w:sz w:val="20"/>
                <w:szCs w:val="20"/>
              </w:rPr>
              <w:t xml:space="preserve">člena </w:t>
            </w:r>
            <w:r w:rsidR="00246D5E">
              <w:rPr>
                <w:rFonts w:ascii="Arial" w:eastAsia="Times New Roman" w:hAnsi="Arial" w:cs="Arial"/>
                <w:sz w:val="20"/>
                <w:szCs w:val="20"/>
              </w:rPr>
              <w:t xml:space="preserve">ZDoh-2 </w:t>
            </w:r>
            <w:r w:rsidRPr="00ED13A5">
              <w:rPr>
                <w:rFonts w:ascii="Arial" w:eastAsia="Times New Roman" w:hAnsi="Arial" w:cs="Arial"/>
                <w:sz w:val="20"/>
                <w:szCs w:val="20"/>
              </w:rPr>
              <w:t xml:space="preserve">ne uporablja za obročna oziroma odložena izplačila vrednosti delnic ali deležev, </w:t>
            </w:r>
            <w:r>
              <w:rPr>
                <w:rFonts w:ascii="Arial" w:eastAsia="Times New Roman" w:hAnsi="Arial" w:cs="Arial"/>
                <w:sz w:val="20"/>
                <w:szCs w:val="20"/>
              </w:rPr>
              <w:t xml:space="preserve">kadar so bile te delnice ali deleži </w:t>
            </w:r>
            <w:r w:rsidRPr="00ED13A5">
              <w:rPr>
                <w:rFonts w:ascii="Arial" w:eastAsia="Times New Roman" w:hAnsi="Arial" w:cs="Arial"/>
                <w:sz w:val="20"/>
                <w:szCs w:val="20"/>
              </w:rPr>
              <w:t>odsvojeni v okviru pridobivanja lastnih delnic oziroma deležev družbe pred letom 2020 ali v letu 2022. Tovrstni dohodki so se v teh obdobjih na splošno obravnavali po poglavju III.6.3.</w:t>
            </w:r>
            <w:r w:rsidR="008970AD">
              <w:rPr>
                <w:rFonts w:ascii="Arial" w:eastAsia="Times New Roman" w:hAnsi="Arial" w:cs="Arial"/>
                <w:sz w:val="20"/>
                <w:szCs w:val="20"/>
              </w:rPr>
              <w:t> </w:t>
            </w:r>
            <w:r w:rsidRPr="00ED13A5">
              <w:rPr>
                <w:rFonts w:ascii="Arial" w:eastAsia="Times New Roman" w:hAnsi="Arial" w:cs="Arial"/>
                <w:sz w:val="20"/>
                <w:szCs w:val="20"/>
              </w:rPr>
              <w:t>Dobiček iz kapitala</w:t>
            </w:r>
            <w:r>
              <w:rPr>
                <w:rFonts w:ascii="Arial" w:eastAsia="Times New Roman" w:hAnsi="Arial" w:cs="Arial"/>
                <w:sz w:val="20"/>
                <w:szCs w:val="20"/>
              </w:rPr>
              <w:t>, pri čemer se za dobiček iz kapitala šteje, da je dosežen v času odsvojitve kapitala, ne glede na to</w:t>
            </w:r>
            <w:r w:rsidR="008970AD">
              <w:rPr>
                <w:rFonts w:ascii="Arial" w:eastAsia="Times New Roman" w:hAnsi="Arial" w:cs="Arial"/>
                <w:sz w:val="20"/>
                <w:szCs w:val="20"/>
              </w:rPr>
              <w:t>,</w:t>
            </w:r>
            <w:r>
              <w:rPr>
                <w:rFonts w:ascii="Arial" w:eastAsia="Times New Roman" w:hAnsi="Arial" w:cs="Arial"/>
                <w:sz w:val="20"/>
                <w:szCs w:val="20"/>
              </w:rPr>
              <w:t xml:space="preserve"> kdaj je prejeto izplačilo</w:t>
            </w:r>
            <w:r w:rsidRPr="00ED13A5">
              <w:rPr>
                <w:rFonts w:ascii="Arial" w:eastAsia="Times New Roman" w:hAnsi="Arial" w:cs="Arial"/>
                <w:sz w:val="20"/>
                <w:szCs w:val="20"/>
              </w:rPr>
              <w:t xml:space="preserve">. Iz </w:t>
            </w:r>
            <w:r>
              <w:rPr>
                <w:rFonts w:ascii="Arial" w:eastAsia="Times New Roman" w:hAnsi="Arial" w:cs="Arial"/>
                <w:sz w:val="20"/>
                <w:szCs w:val="20"/>
              </w:rPr>
              <w:t>šestega</w:t>
            </w:r>
            <w:r w:rsidRPr="00ED13A5">
              <w:rPr>
                <w:rFonts w:ascii="Arial" w:eastAsia="Times New Roman" w:hAnsi="Arial" w:cs="Arial"/>
                <w:sz w:val="20"/>
                <w:szCs w:val="20"/>
              </w:rPr>
              <w:t xml:space="preserve"> odstavka </w:t>
            </w:r>
            <w:r>
              <w:rPr>
                <w:rFonts w:ascii="Arial" w:eastAsia="Times New Roman" w:hAnsi="Arial" w:cs="Arial"/>
                <w:sz w:val="20"/>
                <w:szCs w:val="20"/>
              </w:rPr>
              <w:t xml:space="preserve">tega člena </w:t>
            </w:r>
            <w:r w:rsidRPr="00ED13A5">
              <w:rPr>
                <w:rFonts w:ascii="Arial" w:eastAsia="Times New Roman" w:hAnsi="Arial" w:cs="Arial"/>
                <w:sz w:val="20"/>
                <w:szCs w:val="20"/>
              </w:rPr>
              <w:t xml:space="preserve">je tudi razvidno, da se </w:t>
            </w:r>
            <w:r>
              <w:rPr>
                <w:rFonts w:ascii="Arial" w:eastAsia="Times New Roman" w:hAnsi="Arial" w:cs="Arial"/>
                <w:sz w:val="20"/>
                <w:szCs w:val="20"/>
              </w:rPr>
              <w:t xml:space="preserve">nova </w:t>
            </w:r>
            <w:r w:rsidRPr="00ED13A5">
              <w:rPr>
                <w:rFonts w:ascii="Arial" w:eastAsia="Times New Roman" w:hAnsi="Arial" w:cs="Arial"/>
                <w:sz w:val="20"/>
                <w:szCs w:val="20"/>
              </w:rPr>
              <w:t>6.</w:t>
            </w:r>
            <w:r>
              <w:rPr>
                <w:rFonts w:ascii="Arial" w:eastAsia="Times New Roman" w:hAnsi="Arial" w:cs="Arial"/>
                <w:sz w:val="20"/>
                <w:szCs w:val="20"/>
              </w:rPr>
              <w:t> </w:t>
            </w:r>
            <w:r w:rsidRPr="00ED13A5">
              <w:rPr>
                <w:rFonts w:ascii="Arial" w:eastAsia="Times New Roman" w:hAnsi="Arial" w:cs="Arial"/>
                <w:sz w:val="20"/>
                <w:szCs w:val="20"/>
              </w:rPr>
              <w:t>točka četrtega odstavka 90.</w:t>
            </w:r>
            <w:r w:rsidR="008970AD">
              <w:rPr>
                <w:rFonts w:ascii="Arial" w:eastAsia="Times New Roman" w:hAnsi="Arial" w:cs="Arial"/>
                <w:sz w:val="20"/>
                <w:szCs w:val="20"/>
              </w:rPr>
              <w:t> </w:t>
            </w:r>
            <w:r w:rsidRPr="00ED13A5">
              <w:rPr>
                <w:rFonts w:ascii="Arial" w:eastAsia="Times New Roman" w:hAnsi="Arial" w:cs="Arial"/>
                <w:sz w:val="20"/>
                <w:szCs w:val="20"/>
              </w:rPr>
              <w:t xml:space="preserve">člena </w:t>
            </w:r>
            <w:r w:rsidR="00246D5E">
              <w:rPr>
                <w:rFonts w:ascii="Arial" w:eastAsia="Times New Roman" w:hAnsi="Arial" w:cs="Arial"/>
                <w:sz w:val="20"/>
                <w:szCs w:val="20"/>
              </w:rPr>
              <w:t>ZDoh-2</w:t>
            </w:r>
            <w:r w:rsidRPr="00ED13A5">
              <w:rPr>
                <w:rFonts w:ascii="Arial" w:eastAsia="Times New Roman" w:hAnsi="Arial" w:cs="Arial"/>
                <w:sz w:val="20"/>
                <w:szCs w:val="20"/>
              </w:rPr>
              <w:t xml:space="preserve"> uporablja ne samo za obročna oziroma odložena izplačila vrednosti delnic ali deležev, odsvojenih v okviru pridobivanja lastnih delnic oziroma deležev družbe po letu 2022, temveč tudi za obročna oziroma odložena izplačila vrednosti delnic ali deležev, tako odsvojenih v letih 2020 in 2021</w:t>
            </w:r>
            <w:r w:rsidRPr="009217E8">
              <w:rPr>
                <w:rFonts w:ascii="Arial" w:eastAsia="Times New Roman" w:hAnsi="Arial" w:cs="Arial"/>
                <w:sz w:val="20"/>
                <w:szCs w:val="20"/>
              </w:rPr>
              <w:t>, kadar so ta izplačila opravljena po 31.</w:t>
            </w:r>
            <w:r>
              <w:rPr>
                <w:rFonts w:ascii="Arial" w:eastAsia="Times New Roman" w:hAnsi="Arial" w:cs="Arial"/>
                <w:sz w:val="20"/>
                <w:szCs w:val="20"/>
              </w:rPr>
              <w:t> </w:t>
            </w:r>
            <w:r w:rsidRPr="009217E8">
              <w:rPr>
                <w:rFonts w:ascii="Arial" w:eastAsia="Times New Roman" w:hAnsi="Arial" w:cs="Arial"/>
                <w:sz w:val="20"/>
                <w:szCs w:val="20"/>
              </w:rPr>
              <w:t>decembru 2022 (op. tovrstni dohodki se v letih 2020 in 2021 niso obravnavali</w:t>
            </w:r>
            <w:r w:rsidRPr="009217E8">
              <w:t xml:space="preserve"> </w:t>
            </w:r>
            <w:r w:rsidRPr="009217E8">
              <w:rPr>
                <w:rFonts w:ascii="Arial" w:eastAsia="Times New Roman" w:hAnsi="Arial" w:cs="Arial"/>
                <w:sz w:val="20"/>
                <w:szCs w:val="20"/>
              </w:rPr>
              <w:t>po poglavju III.6.3</w:t>
            </w:r>
            <w:r w:rsidR="008970AD">
              <w:rPr>
                <w:rFonts w:ascii="Arial" w:eastAsia="Times New Roman" w:hAnsi="Arial" w:cs="Arial"/>
                <w:sz w:val="20"/>
                <w:szCs w:val="20"/>
              </w:rPr>
              <w:t> </w:t>
            </w:r>
            <w:r>
              <w:rPr>
                <w:rFonts w:ascii="Arial" w:eastAsia="Times New Roman" w:hAnsi="Arial" w:cs="Arial"/>
                <w:sz w:val="20"/>
                <w:szCs w:val="20"/>
              </w:rPr>
              <w:t>Dobiček iz kapitala in se je zanje štelo, da so doseženi, ko so prejeti</w:t>
            </w:r>
            <w:r w:rsidRPr="009217E8">
              <w:rPr>
                <w:rFonts w:ascii="Arial" w:eastAsia="Times New Roman" w:hAnsi="Arial" w:cs="Arial"/>
                <w:sz w:val="20"/>
                <w:szCs w:val="20"/>
              </w:rPr>
              <w:t>)</w:t>
            </w:r>
            <w:r w:rsidRPr="00ED13A5">
              <w:rPr>
                <w:rFonts w:ascii="Arial" w:eastAsia="Times New Roman" w:hAnsi="Arial" w:cs="Arial"/>
                <w:sz w:val="20"/>
                <w:szCs w:val="20"/>
              </w:rPr>
              <w:t>.</w:t>
            </w:r>
          </w:p>
          <w:p w14:paraId="7E137DA3" w14:textId="4CC7D9A3" w:rsidR="00F45022" w:rsidRDefault="00F45022" w:rsidP="004F2DCB">
            <w:pPr>
              <w:spacing w:after="0" w:line="276" w:lineRule="auto"/>
              <w:contextualSpacing/>
              <w:jc w:val="both"/>
              <w:rPr>
                <w:rFonts w:ascii="Arial" w:eastAsia="Calibri" w:hAnsi="Arial" w:cs="Arial"/>
                <w:sz w:val="20"/>
                <w:szCs w:val="20"/>
              </w:rPr>
            </w:pPr>
          </w:p>
          <w:p w14:paraId="0B6B1FA3" w14:textId="6D85141E" w:rsidR="00303E2C" w:rsidRPr="00303E2C" w:rsidRDefault="00303E2C" w:rsidP="00076F4A">
            <w:pPr>
              <w:pStyle w:val="Odstavekseznama"/>
              <w:numPr>
                <w:ilvl w:val="0"/>
                <w:numId w:val="28"/>
              </w:numPr>
              <w:spacing w:line="276" w:lineRule="auto"/>
              <w:contextualSpacing/>
              <w:jc w:val="both"/>
              <w:rPr>
                <w:rFonts w:ascii="Arial" w:hAnsi="Arial" w:cs="Arial"/>
                <w:b/>
                <w:bCs/>
                <w:sz w:val="20"/>
                <w:szCs w:val="20"/>
              </w:rPr>
            </w:pPr>
          </w:p>
          <w:p w14:paraId="72E1DEAE" w14:textId="36BAABDF" w:rsidR="00E33549" w:rsidRDefault="00303E2C" w:rsidP="004F2DCB">
            <w:pPr>
              <w:spacing w:after="0" w:line="276" w:lineRule="auto"/>
              <w:contextualSpacing/>
              <w:jc w:val="both"/>
              <w:rPr>
                <w:rFonts w:ascii="Arial" w:hAnsi="Arial" w:cs="Arial"/>
                <w:sz w:val="20"/>
                <w:szCs w:val="20"/>
              </w:rPr>
            </w:pPr>
            <w:r>
              <w:rPr>
                <w:rFonts w:ascii="Arial" w:hAnsi="Arial" w:cs="Arial"/>
                <w:sz w:val="20"/>
                <w:szCs w:val="20"/>
              </w:rPr>
              <w:t xml:space="preserve">Prehodna določba ureja </w:t>
            </w:r>
            <w:r w:rsidRPr="002F364D">
              <w:rPr>
                <w:rFonts w:ascii="Arial" w:hAnsi="Arial" w:cs="Arial"/>
                <w:sz w:val="20"/>
                <w:szCs w:val="20"/>
              </w:rPr>
              <w:t>spremembe Zakona o spremembah in dopolnitvah</w:t>
            </w:r>
            <w:r w:rsidRPr="00210CFA">
              <w:rPr>
                <w:rFonts w:ascii="Arial" w:hAnsi="Arial" w:cs="Arial"/>
                <w:sz w:val="20"/>
                <w:szCs w:val="20"/>
              </w:rPr>
              <w:t xml:space="preserve"> Zakona o dohodnini</w:t>
            </w:r>
            <w:r>
              <w:rPr>
                <w:rFonts w:ascii="Arial" w:hAnsi="Arial" w:cs="Arial"/>
                <w:sz w:val="20"/>
                <w:szCs w:val="20"/>
              </w:rPr>
              <w:t xml:space="preserve"> (Uradni list RS, št.</w:t>
            </w:r>
            <w:r w:rsidR="008970AD">
              <w:rPr>
                <w:rFonts w:ascii="Arial" w:hAnsi="Arial" w:cs="Arial"/>
                <w:sz w:val="20"/>
                <w:szCs w:val="20"/>
              </w:rPr>
              <w:t> </w:t>
            </w:r>
            <w:r>
              <w:rPr>
                <w:rFonts w:ascii="Arial" w:hAnsi="Arial" w:cs="Arial"/>
                <w:sz w:val="20"/>
                <w:szCs w:val="20"/>
              </w:rPr>
              <w:t>39/22</w:t>
            </w:r>
            <w:r w:rsidR="00E33549">
              <w:rPr>
                <w:rFonts w:ascii="Arial" w:hAnsi="Arial" w:cs="Arial"/>
                <w:sz w:val="20"/>
                <w:szCs w:val="20"/>
              </w:rPr>
              <w:t>; v nadaljnjem besedilu: ZDoh-2Z</w:t>
            </w:r>
            <w:r>
              <w:rPr>
                <w:rFonts w:ascii="Arial" w:hAnsi="Arial" w:cs="Arial"/>
                <w:sz w:val="20"/>
                <w:szCs w:val="20"/>
              </w:rPr>
              <w:t>)</w:t>
            </w:r>
            <w:r w:rsidR="00E33549">
              <w:rPr>
                <w:rFonts w:ascii="Arial" w:hAnsi="Arial" w:cs="Arial"/>
                <w:sz w:val="20"/>
                <w:szCs w:val="20"/>
              </w:rPr>
              <w:t xml:space="preserve"> v delu, ki določa </w:t>
            </w:r>
            <w:r w:rsidR="00E33549" w:rsidRPr="00E33549">
              <w:rPr>
                <w:rFonts w:ascii="Arial" w:hAnsi="Arial" w:cs="Arial"/>
                <w:sz w:val="20"/>
                <w:szCs w:val="20"/>
              </w:rPr>
              <w:t>postopno dvigovanje splošne olajšave</w:t>
            </w:r>
            <w:r w:rsidR="00E33549">
              <w:rPr>
                <w:rFonts w:ascii="Arial" w:hAnsi="Arial" w:cs="Arial"/>
                <w:sz w:val="20"/>
                <w:szCs w:val="20"/>
              </w:rPr>
              <w:t xml:space="preserve"> iz prvega odstavka 111.</w:t>
            </w:r>
            <w:r w:rsidR="008970AD">
              <w:rPr>
                <w:rFonts w:ascii="Arial" w:hAnsi="Arial" w:cs="Arial"/>
                <w:sz w:val="20"/>
                <w:szCs w:val="20"/>
              </w:rPr>
              <w:t> </w:t>
            </w:r>
            <w:r w:rsidR="00E33549">
              <w:rPr>
                <w:rFonts w:ascii="Arial" w:hAnsi="Arial" w:cs="Arial"/>
                <w:sz w:val="20"/>
                <w:szCs w:val="20"/>
              </w:rPr>
              <w:t>člena ZDoh-2. Ker se s tem zakonom prvi odstavek 111.</w:t>
            </w:r>
            <w:r w:rsidR="008970AD">
              <w:rPr>
                <w:rFonts w:ascii="Arial" w:hAnsi="Arial" w:cs="Arial"/>
                <w:sz w:val="20"/>
                <w:szCs w:val="20"/>
              </w:rPr>
              <w:t> </w:t>
            </w:r>
            <w:r w:rsidR="00E33549">
              <w:rPr>
                <w:rFonts w:ascii="Arial" w:hAnsi="Arial" w:cs="Arial"/>
                <w:sz w:val="20"/>
                <w:szCs w:val="20"/>
              </w:rPr>
              <w:t>člena ZDoh-2 spreminja na način, da se znesek splošn</w:t>
            </w:r>
            <w:r w:rsidR="00C96B1B">
              <w:rPr>
                <w:rFonts w:ascii="Arial" w:hAnsi="Arial" w:cs="Arial"/>
                <w:sz w:val="20"/>
                <w:szCs w:val="20"/>
              </w:rPr>
              <w:t>e</w:t>
            </w:r>
            <w:r w:rsidR="00E33549">
              <w:rPr>
                <w:rFonts w:ascii="Arial" w:hAnsi="Arial" w:cs="Arial"/>
                <w:sz w:val="20"/>
                <w:szCs w:val="20"/>
              </w:rPr>
              <w:t xml:space="preserve"> olajšave znižuje na višino </w:t>
            </w:r>
            <w:r w:rsidR="00ED3079">
              <w:rPr>
                <w:rFonts w:ascii="Arial" w:hAnsi="Arial" w:cs="Arial"/>
                <w:sz w:val="20"/>
                <w:szCs w:val="20"/>
              </w:rPr>
              <w:t>5</w:t>
            </w:r>
            <w:r w:rsidR="00E33549">
              <w:rPr>
                <w:rFonts w:ascii="Arial" w:hAnsi="Arial" w:cs="Arial"/>
                <w:sz w:val="20"/>
                <w:szCs w:val="20"/>
              </w:rPr>
              <w:t>.</w:t>
            </w:r>
            <w:r w:rsidR="00ED3079">
              <w:rPr>
                <w:rFonts w:ascii="Arial" w:hAnsi="Arial" w:cs="Arial"/>
                <w:sz w:val="20"/>
                <w:szCs w:val="20"/>
              </w:rPr>
              <w:t>0</w:t>
            </w:r>
            <w:r w:rsidR="00E33549">
              <w:rPr>
                <w:rFonts w:ascii="Arial" w:hAnsi="Arial" w:cs="Arial"/>
                <w:sz w:val="20"/>
                <w:szCs w:val="20"/>
              </w:rPr>
              <w:t>00</w:t>
            </w:r>
            <w:r w:rsidR="008970AD">
              <w:rPr>
                <w:rFonts w:ascii="Arial" w:hAnsi="Arial" w:cs="Arial"/>
                <w:sz w:val="20"/>
                <w:szCs w:val="20"/>
              </w:rPr>
              <w:t> </w:t>
            </w:r>
            <w:r w:rsidR="00E33549">
              <w:rPr>
                <w:rFonts w:ascii="Arial" w:hAnsi="Arial" w:cs="Arial"/>
                <w:sz w:val="20"/>
                <w:szCs w:val="20"/>
              </w:rPr>
              <w:t>EUR, je treba črtati:</w:t>
            </w:r>
          </w:p>
          <w:p w14:paraId="4C01B72C" w14:textId="35CCA06A" w:rsidR="00303E2C" w:rsidRPr="00E33549" w:rsidRDefault="00E33549" w:rsidP="00076F4A">
            <w:pPr>
              <w:pStyle w:val="Odstavekseznama"/>
              <w:numPr>
                <w:ilvl w:val="0"/>
                <w:numId w:val="22"/>
              </w:numPr>
              <w:spacing w:line="276" w:lineRule="auto"/>
              <w:contextualSpacing/>
              <w:jc w:val="both"/>
              <w:rPr>
                <w:rFonts w:ascii="Arial" w:hAnsi="Arial" w:cs="Arial"/>
                <w:sz w:val="20"/>
                <w:szCs w:val="20"/>
              </w:rPr>
            </w:pPr>
            <w:r w:rsidRPr="00E33549">
              <w:rPr>
                <w:rFonts w:ascii="Arial" w:hAnsi="Arial" w:cs="Arial"/>
                <w:sz w:val="20"/>
                <w:szCs w:val="20"/>
              </w:rPr>
              <w:t>besedilo 28.</w:t>
            </w:r>
            <w:r w:rsidR="008970AD">
              <w:rPr>
                <w:rFonts w:ascii="Arial" w:hAnsi="Arial" w:cs="Arial"/>
                <w:sz w:val="20"/>
                <w:szCs w:val="20"/>
              </w:rPr>
              <w:t> </w:t>
            </w:r>
            <w:r w:rsidRPr="00E33549">
              <w:rPr>
                <w:rFonts w:ascii="Arial" w:hAnsi="Arial" w:cs="Arial"/>
                <w:sz w:val="20"/>
                <w:szCs w:val="20"/>
              </w:rPr>
              <w:t>člena ZDoh-2Z, ki določa postopno dvigovanje splošne olajšave na višino 7.500</w:t>
            </w:r>
            <w:r w:rsidR="008970AD">
              <w:rPr>
                <w:rFonts w:ascii="Arial" w:hAnsi="Arial" w:cs="Arial"/>
                <w:sz w:val="20"/>
                <w:szCs w:val="20"/>
              </w:rPr>
              <w:t> </w:t>
            </w:r>
            <w:r w:rsidRPr="00E33549">
              <w:rPr>
                <w:rFonts w:ascii="Arial" w:hAnsi="Arial" w:cs="Arial"/>
                <w:sz w:val="20"/>
                <w:szCs w:val="20"/>
              </w:rPr>
              <w:t>EUR</w:t>
            </w:r>
            <w:r w:rsidR="008970AD">
              <w:rPr>
                <w:rFonts w:ascii="Arial" w:hAnsi="Arial" w:cs="Arial"/>
                <w:sz w:val="20"/>
                <w:szCs w:val="20"/>
              </w:rPr>
              <w:t>,</w:t>
            </w:r>
            <w:r w:rsidRPr="00E33549">
              <w:rPr>
                <w:rFonts w:ascii="Arial" w:hAnsi="Arial" w:cs="Arial"/>
                <w:sz w:val="20"/>
                <w:szCs w:val="20"/>
              </w:rPr>
              <w:t xml:space="preserve"> in</w:t>
            </w:r>
          </w:p>
          <w:p w14:paraId="02AAD96F" w14:textId="5DC3198D" w:rsidR="00E33549" w:rsidRDefault="00E33549" w:rsidP="00076F4A">
            <w:pPr>
              <w:pStyle w:val="Odstavekseznama"/>
              <w:numPr>
                <w:ilvl w:val="0"/>
                <w:numId w:val="22"/>
              </w:numPr>
              <w:spacing w:line="276" w:lineRule="auto"/>
              <w:contextualSpacing/>
              <w:jc w:val="both"/>
              <w:rPr>
                <w:rFonts w:ascii="Arial" w:hAnsi="Arial" w:cs="Arial"/>
                <w:sz w:val="20"/>
                <w:szCs w:val="20"/>
              </w:rPr>
            </w:pPr>
            <w:r w:rsidRPr="00E33549">
              <w:rPr>
                <w:rFonts w:ascii="Arial" w:hAnsi="Arial" w:cs="Arial"/>
                <w:sz w:val="20"/>
                <w:szCs w:val="20"/>
              </w:rPr>
              <w:t>drugi odstavek 29.</w:t>
            </w:r>
            <w:r w:rsidR="008970AD">
              <w:rPr>
                <w:rFonts w:ascii="Arial" w:hAnsi="Arial" w:cs="Arial"/>
                <w:sz w:val="20"/>
                <w:szCs w:val="20"/>
              </w:rPr>
              <w:t> </w:t>
            </w:r>
            <w:r w:rsidRPr="00E33549">
              <w:rPr>
                <w:rFonts w:ascii="Arial" w:hAnsi="Arial" w:cs="Arial"/>
                <w:sz w:val="20"/>
                <w:szCs w:val="20"/>
              </w:rPr>
              <w:t>člena ZDoh-2, ki določa, da se usklajevanje splošne olajšave iz prvega odstavka 111.</w:t>
            </w:r>
            <w:r w:rsidR="008970AD">
              <w:rPr>
                <w:rFonts w:ascii="Arial" w:hAnsi="Arial" w:cs="Arial"/>
                <w:sz w:val="20"/>
                <w:szCs w:val="20"/>
              </w:rPr>
              <w:t> </w:t>
            </w:r>
            <w:r w:rsidRPr="00E33549">
              <w:rPr>
                <w:rFonts w:ascii="Arial" w:hAnsi="Arial" w:cs="Arial"/>
                <w:sz w:val="20"/>
                <w:szCs w:val="20"/>
              </w:rPr>
              <w:t>člena ZDoh-2 opravi za davčno leto, ki sledi davčnemu letu, v katerem se v skladu z 28.</w:t>
            </w:r>
            <w:r w:rsidR="008970AD">
              <w:rPr>
                <w:rFonts w:ascii="Arial" w:hAnsi="Arial" w:cs="Arial"/>
                <w:sz w:val="20"/>
                <w:szCs w:val="20"/>
              </w:rPr>
              <w:t> </w:t>
            </w:r>
            <w:r w:rsidRPr="00E33549">
              <w:rPr>
                <w:rFonts w:ascii="Arial" w:hAnsi="Arial" w:cs="Arial"/>
                <w:sz w:val="20"/>
                <w:szCs w:val="20"/>
              </w:rPr>
              <w:t>členom ZDoh-2Z začne uporabljati splošna olajšava, določena v prvem odstavku 111.</w:t>
            </w:r>
            <w:r w:rsidR="008970AD">
              <w:rPr>
                <w:rFonts w:ascii="Arial" w:hAnsi="Arial" w:cs="Arial"/>
                <w:sz w:val="20"/>
                <w:szCs w:val="20"/>
              </w:rPr>
              <w:t> </w:t>
            </w:r>
            <w:r w:rsidRPr="00E33549">
              <w:rPr>
                <w:rFonts w:ascii="Arial" w:hAnsi="Arial" w:cs="Arial"/>
                <w:sz w:val="20"/>
                <w:szCs w:val="20"/>
              </w:rPr>
              <w:t xml:space="preserve">člena </w:t>
            </w:r>
            <w:r w:rsidR="00246D5E">
              <w:rPr>
                <w:rFonts w:ascii="Arial" w:hAnsi="Arial" w:cs="Arial"/>
                <w:sz w:val="20"/>
                <w:szCs w:val="20"/>
              </w:rPr>
              <w:t>ZDoh-2</w:t>
            </w:r>
            <w:r w:rsidRPr="00E33549">
              <w:rPr>
                <w:rFonts w:ascii="Arial" w:hAnsi="Arial" w:cs="Arial"/>
                <w:sz w:val="20"/>
                <w:szCs w:val="20"/>
              </w:rPr>
              <w:t>.</w:t>
            </w:r>
          </w:p>
          <w:p w14:paraId="3BABFBB7" w14:textId="3CA5931B" w:rsidR="00FF0F9E" w:rsidRDefault="00FF0F9E" w:rsidP="00E858D1">
            <w:pPr>
              <w:spacing w:after="0" w:line="276" w:lineRule="auto"/>
              <w:contextualSpacing/>
              <w:jc w:val="both"/>
              <w:rPr>
                <w:rFonts w:ascii="Arial" w:hAnsi="Arial" w:cs="Arial"/>
                <w:sz w:val="20"/>
                <w:szCs w:val="20"/>
              </w:rPr>
            </w:pPr>
          </w:p>
          <w:p w14:paraId="37094288" w14:textId="77777777" w:rsidR="00FF0F9E" w:rsidRPr="00B90497" w:rsidRDefault="00FF0F9E" w:rsidP="00B90497">
            <w:pPr>
              <w:pStyle w:val="Odstavekseznama"/>
              <w:numPr>
                <w:ilvl w:val="0"/>
                <w:numId w:val="28"/>
              </w:numPr>
              <w:spacing w:line="276" w:lineRule="auto"/>
              <w:contextualSpacing/>
              <w:jc w:val="both"/>
              <w:rPr>
                <w:rFonts w:ascii="Arial" w:hAnsi="Arial" w:cs="Arial"/>
                <w:sz w:val="20"/>
                <w:szCs w:val="20"/>
              </w:rPr>
            </w:pPr>
          </w:p>
          <w:p w14:paraId="1637C687" w14:textId="248C9335" w:rsidR="00E33549" w:rsidRPr="00C87E87" w:rsidRDefault="00503581" w:rsidP="004F2DCB">
            <w:pPr>
              <w:spacing w:after="0" w:line="276" w:lineRule="auto"/>
              <w:contextualSpacing/>
              <w:jc w:val="both"/>
              <w:rPr>
                <w:rFonts w:ascii="Arial" w:hAnsi="Arial" w:cs="Arial"/>
                <w:sz w:val="20"/>
                <w:szCs w:val="20"/>
                <w:lang w:val="x-none"/>
              </w:rPr>
            </w:pPr>
            <w:r w:rsidRPr="00503581">
              <w:rPr>
                <w:rFonts w:ascii="Arial" w:eastAsia="Calibri" w:hAnsi="Arial" w:cs="Arial"/>
                <w:sz w:val="20"/>
                <w:szCs w:val="20"/>
              </w:rPr>
              <w:t>Prehodna določba je potrebna zaradi načina izplačevanja podpor kmetijske politike, ki se praviloma izplačujejo v določenem časovnem zamiku glede na vložene vloge ozi</w:t>
            </w:r>
            <w:r w:rsidRPr="00AA76B8">
              <w:rPr>
                <w:rFonts w:ascii="Arial" w:eastAsia="Calibri" w:hAnsi="Arial" w:cs="Arial"/>
                <w:sz w:val="20"/>
                <w:szCs w:val="20"/>
              </w:rPr>
              <w:t>r</w:t>
            </w:r>
            <w:r w:rsidRPr="00503581">
              <w:rPr>
                <w:rFonts w:ascii="Arial" w:eastAsia="Calibri" w:hAnsi="Arial" w:cs="Arial"/>
                <w:sz w:val="20"/>
                <w:szCs w:val="20"/>
              </w:rPr>
              <w:t xml:space="preserve">oma se za nekatere ukrepe izplačujejo tudi v večletnih obrokih. </w:t>
            </w:r>
            <w:r w:rsidR="00D9718A">
              <w:rPr>
                <w:rFonts w:ascii="Arial" w:eastAsia="Calibri" w:hAnsi="Arial" w:cs="Arial"/>
                <w:sz w:val="20"/>
                <w:szCs w:val="20"/>
              </w:rPr>
              <w:t xml:space="preserve">Pričakuje se, da se bodo podpore na pravnih podlagah, ki so za ukrepe kmetijske politike veljale do leta 2023, izplačevale tudi še v novem programskem obdobju. </w:t>
            </w:r>
            <w:r w:rsidRPr="00503581">
              <w:rPr>
                <w:rFonts w:ascii="Arial" w:eastAsia="Calibri" w:hAnsi="Arial" w:cs="Arial"/>
                <w:sz w:val="20"/>
                <w:szCs w:val="20"/>
              </w:rPr>
              <w:t>Zato je treba urediti prehodno določbo, ki bo zadržala možnost uporabe določb  26.</w:t>
            </w:r>
            <w:r w:rsidR="0029742B">
              <w:rPr>
                <w:rFonts w:ascii="Arial" w:eastAsia="Calibri" w:hAnsi="Arial" w:cs="Arial"/>
                <w:sz w:val="20"/>
                <w:szCs w:val="20"/>
              </w:rPr>
              <w:t> </w:t>
            </w:r>
            <w:r w:rsidRPr="00503581">
              <w:rPr>
                <w:rFonts w:ascii="Arial" w:eastAsia="Calibri" w:hAnsi="Arial" w:cs="Arial"/>
                <w:sz w:val="20"/>
                <w:szCs w:val="20"/>
              </w:rPr>
              <w:t xml:space="preserve">člena </w:t>
            </w:r>
            <w:r w:rsidR="00246D5E">
              <w:rPr>
                <w:rFonts w:ascii="Arial" w:eastAsia="Calibri" w:hAnsi="Arial" w:cs="Arial"/>
                <w:sz w:val="20"/>
                <w:szCs w:val="20"/>
              </w:rPr>
              <w:t>ZDoh-2</w:t>
            </w:r>
            <w:r w:rsidRPr="00503581">
              <w:rPr>
                <w:rFonts w:ascii="Arial" w:eastAsia="Calibri" w:hAnsi="Arial" w:cs="Arial"/>
                <w:sz w:val="20"/>
                <w:szCs w:val="20"/>
              </w:rPr>
              <w:t xml:space="preserve">, ki je veljal pred uveljavitvijo te novele </w:t>
            </w:r>
            <w:r w:rsidR="0029742B">
              <w:rPr>
                <w:rFonts w:ascii="Arial" w:eastAsia="Calibri" w:hAnsi="Arial" w:cs="Arial"/>
                <w:sz w:val="20"/>
                <w:szCs w:val="20"/>
              </w:rPr>
              <w:t>ter</w:t>
            </w:r>
            <w:r w:rsidRPr="00503581">
              <w:rPr>
                <w:rFonts w:ascii="Arial" w:eastAsia="Calibri" w:hAnsi="Arial" w:cs="Arial"/>
                <w:sz w:val="20"/>
                <w:szCs w:val="20"/>
              </w:rPr>
              <w:t xml:space="preserve"> bo omogočal enotni način obdavčitev vseh drugih dohodkov, </w:t>
            </w:r>
            <w:r w:rsidRPr="00503581">
              <w:rPr>
                <w:rFonts w:ascii="Arial" w:eastAsia="Calibri" w:hAnsi="Arial" w:cs="Arial"/>
                <w:sz w:val="20"/>
                <w:szCs w:val="20"/>
              </w:rPr>
              <w:lastRenderedPageBreak/>
              <w:t>izplačanih na do leta 2023 veljavnih pravnih podlagah</w:t>
            </w:r>
            <w:r w:rsidR="00246D5E">
              <w:rPr>
                <w:rFonts w:ascii="Arial" w:eastAsia="Calibri" w:hAnsi="Arial" w:cs="Arial"/>
                <w:sz w:val="20"/>
                <w:szCs w:val="20"/>
              </w:rPr>
              <w:t>,</w:t>
            </w:r>
            <w:r w:rsidRPr="00503581">
              <w:rPr>
                <w:rFonts w:ascii="Arial" w:eastAsia="Calibri" w:hAnsi="Arial" w:cs="Arial"/>
                <w:sz w:val="20"/>
                <w:szCs w:val="20"/>
              </w:rPr>
              <w:t xml:space="preserve"> in sicer </w:t>
            </w:r>
            <w:r w:rsidRPr="00B90497">
              <w:rPr>
                <w:rFonts w:ascii="Arial" w:hAnsi="Arial" w:cs="Arial"/>
                <w:sz w:val="20"/>
                <w:szCs w:val="20"/>
                <w:lang w:val="x-none"/>
              </w:rPr>
              <w:t>Uredb</w:t>
            </w:r>
            <w:r w:rsidRPr="00B90497">
              <w:rPr>
                <w:rFonts w:ascii="Arial" w:hAnsi="Arial" w:cs="Arial"/>
                <w:sz w:val="20"/>
                <w:szCs w:val="20"/>
              </w:rPr>
              <w:t>i</w:t>
            </w:r>
            <w:r w:rsidRPr="00B90497">
              <w:rPr>
                <w:rFonts w:ascii="Arial" w:hAnsi="Arial" w:cs="Arial"/>
                <w:sz w:val="20"/>
                <w:szCs w:val="20"/>
                <w:lang w:val="x-none"/>
              </w:rPr>
              <w:t xml:space="preserve"> (EU) št. 1305/2013 Evropskega parlamenta in Sveta z dne 17. decembra 2013 o podpori za razvoj podeželja iz Evropskega kmetijskega sklada za razvoj podeželja (EKSRP) in razveljavitvi Uredbe Sveta (ES) št. 1698/2005 (UL L 347, 20. 12. 2013, str.</w:t>
            </w:r>
            <w:r w:rsidR="0029742B">
              <w:rPr>
                <w:rFonts w:ascii="Arial" w:hAnsi="Arial" w:cs="Arial"/>
                <w:sz w:val="20"/>
                <w:szCs w:val="20"/>
              </w:rPr>
              <w:t> </w:t>
            </w:r>
            <w:r w:rsidRPr="00B90497">
              <w:rPr>
                <w:rFonts w:ascii="Arial" w:hAnsi="Arial" w:cs="Arial"/>
                <w:sz w:val="20"/>
                <w:szCs w:val="20"/>
                <w:lang w:val="x-none"/>
              </w:rPr>
              <w:t>487)</w:t>
            </w:r>
            <w:r w:rsidRPr="00B90497">
              <w:rPr>
                <w:rFonts w:ascii="Arial" w:hAnsi="Arial" w:cs="Arial"/>
                <w:sz w:val="20"/>
                <w:szCs w:val="20"/>
              </w:rPr>
              <w:t xml:space="preserve"> in </w:t>
            </w:r>
            <w:r w:rsidRPr="00B90497">
              <w:rPr>
                <w:rFonts w:ascii="Arial" w:hAnsi="Arial" w:cs="Arial"/>
                <w:sz w:val="20"/>
                <w:szCs w:val="20"/>
                <w:lang w:val="x-none"/>
              </w:rPr>
              <w:t>Uredb</w:t>
            </w:r>
            <w:r w:rsidRPr="00B90497">
              <w:rPr>
                <w:rFonts w:ascii="Arial" w:hAnsi="Arial" w:cs="Arial"/>
                <w:sz w:val="20"/>
                <w:szCs w:val="20"/>
              </w:rPr>
              <w:t>i</w:t>
            </w:r>
            <w:r w:rsidRPr="00B90497">
              <w:rPr>
                <w:rFonts w:ascii="Arial" w:hAnsi="Arial" w:cs="Arial"/>
                <w:sz w:val="20"/>
                <w:szCs w:val="20"/>
                <w:lang w:val="x-none"/>
              </w:rPr>
              <w:t xml:space="preserve"> (EU) št. 1307/2013 Evropskega parlamenta in Sveta z dne 17. december 2013 o pravilih za neposredna plačila kmetom na podlagi shem podpore v okviru skupne kmetijske politike ter razveljavitvi Uredbe Sveta (ES) št. 637/2008 in Uredbe Sveta (ES) št. 73/2009 (UL L št. 347 z dne 20. 12. 2013, str. 608), zadnjič spremenjen</w:t>
            </w:r>
            <w:r w:rsidR="00246D5E">
              <w:rPr>
                <w:rFonts w:ascii="Arial" w:hAnsi="Arial" w:cs="Arial"/>
                <w:sz w:val="20"/>
                <w:szCs w:val="20"/>
              </w:rPr>
              <w:t>i</w:t>
            </w:r>
            <w:r w:rsidRPr="00B90497">
              <w:rPr>
                <w:rFonts w:ascii="Arial" w:hAnsi="Arial" w:cs="Arial"/>
                <w:sz w:val="20"/>
                <w:szCs w:val="20"/>
                <w:lang w:val="x-none"/>
              </w:rPr>
              <w:t xml:space="preserve"> z Delegirano uredbo Komisije (EU) št. 1001/2014 z dne 18. julija 2014 o spremembi Priloge X k Uredbi (EU) št. 1307/2013 Evropskega parlamenta in Sveta o pravilih za neposredna plačila kmetom na podlagi shem podpore v okviru skupne kmetijske politike (UL L št. 281 z dne 25. 9. 2014, str.</w:t>
            </w:r>
            <w:r w:rsidR="0029742B">
              <w:rPr>
                <w:rFonts w:ascii="Arial" w:hAnsi="Arial" w:cs="Arial"/>
                <w:sz w:val="20"/>
                <w:szCs w:val="20"/>
              </w:rPr>
              <w:t> </w:t>
            </w:r>
            <w:r w:rsidRPr="00B90497">
              <w:rPr>
                <w:rFonts w:ascii="Arial" w:hAnsi="Arial" w:cs="Arial"/>
                <w:sz w:val="20"/>
                <w:szCs w:val="20"/>
                <w:lang w:val="x-none"/>
              </w:rPr>
              <w:t>1)</w:t>
            </w:r>
            <w:r w:rsidRPr="00B90497">
              <w:rPr>
                <w:rFonts w:ascii="Arial" w:hAnsi="Arial" w:cs="Arial"/>
                <w:sz w:val="20"/>
                <w:szCs w:val="20"/>
              </w:rPr>
              <w:t>.</w:t>
            </w:r>
            <w:r w:rsidR="00D9718A">
              <w:rPr>
                <w:rFonts w:ascii="Arial" w:hAnsi="Arial" w:cs="Arial"/>
                <w:sz w:val="20"/>
                <w:szCs w:val="20"/>
              </w:rPr>
              <w:t xml:space="preserve"> Določbi se ne določa skrajnega roka veljavnosti, saj je treba za vsa morebitna kasnejša izplačevanja podpor na podlagi prejšnjih pravnih podlag omogočiti ne le primerljivo davčno obravnavo pač pa tudi vse primerljive institute pravnega varstva zavezancev. Določba ima torej </w:t>
            </w:r>
            <w:r w:rsidR="00B9707C">
              <w:rPr>
                <w:rFonts w:ascii="Arial" w:hAnsi="Arial" w:cs="Arial"/>
                <w:sz w:val="20"/>
                <w:szCs w:val="20"/>
              </w:rPr>
              <w:t>neomejeno veljavnost, bo pa vsebinsko izčrpana, ko se bodo prenehale izplačevati podpore po uredbi (EU) št.</w:t>
            </w:r>
            <w:r w:rsidR="00F65DFD">
              <w:rPr>
                <w:rFonts w:ascii="Arial" w:hAnsi="Arial" w:cs="Arial"/>
                <w:sz w:val="20"/>
                <w:szCs w:val="20"/>
              </w:rPr>
              <w:t> </w:t>
            </w:r>
            <w:r w:rsidR="00B9707C">
              <w:rPr>
                <w:rFonts w:ascii="Arial" w:hAnsi="Arial" w:cs="Arial"/>
                <w:sz w:val="20"/>
                <w:szCs w:val="20"/>
              </w:rPr>
              <w:t xml:space="preserve">1305/2013 in Uredbi (EU) </w:t>
            </w:r>
            <w:r w:rsidR="00F65DFD">
              <w:rPr>
                <w:rFonts w:ascii="Arial" w:hAnsi="Arial" w:cs="Arial"/>
                <w:sz w:val="20"/>
                <w:szCs w:val="20"/>
              </w:rPr>
              <w:t xml:space="preserve">št. </w:t>
            </w:r>
            <w:r w:rsidR="00B9707C">
              <w:rPr>
                <w:rFonts w:ascii="Arial" w:hAnsi="Arial" w:cs="Arial"/>
                <w:sz w:val="20"/>
                <w:szCs w:val="20"/>
              </w:rPr>
              <w:t>13</w:t>
            </w:r>
            <w:r w:rsidR="008A5B19">
              <w:rPr>
                <w:rFonts w:ascii="Arial" w:hAnsi="Arial" w:cs="Arial"/>
                <w:sz w:val="20"/>
                <w:szCs w:val="20"/>
              </w:rPr>
              <w:t>0</w:t>
            </w:r>
            <w:r w:rsidR="00B9707C">
              <w:rPr>
                <w:rFonts w:ascii="Arial" w:hAnsi="Arial" w:cs="Arial"/>
                <w:sz w:val="20"/>
                <w:szCs w:val="20"/>
              </w:rPr>
              <w:t xml:space="preserve">7/2013 in bodo tudi dokončani vsi morebitni </w:t>
            </w:r>
            <w:r w:rsidR="00F65922">
              <w:rPr>
                <w:rFonts w:ascii="Arial" w:hAnsi="Arial" w:cs="Arial"/>
                <w:sz w:val="20"/>
                <w:szCs w:val="20"/>
              </w:rPr>
              <w:t>postopki</w:t>
            </w:r>
            <w:r w:rsidR="00D8053C">
              <w:rPr>
                <w:rFonts w:ascii="Arial" w:hAnsi="Arial" w:cs="Arial"/>
                <w:sz w:val="20"/>
                <w:szCs w:val="20"/>
              </w:rPr>
              <w:t xml:space="preserve"> s pravnimi sredstvi</w:t>
            </w:r>
            <w:r w:rsidR="009B699F">
              <w:rPr>
                <w:rFonts w:ascii="Arial" w:hAnsi="Arial" w:cs="Arial"/>
                <w:sz w:val="20"/>
                <w:szCs w:val="20"/>
              </w:rPr>
              <w:t>, vezani na izplačilo</w:t>
            </w:r>
            <w:r w:rsidR="00D8053C">
              <w:rPr>
                <w:rFonts w:ascii="Arial" w:hAnsi="Arial" w:cs="Arial"/>
                <w:sz w:val="20"/>
                <w:szCs w:val="20"/>
              </w:rPr>
              <w:t xml:space="preserve"> teh podpor</w:t>
            </w:r>
            <w:r w:rsidR="009B699F">
              <w:rPr>
                <w:rFonts w:ascii="Arial" w:hAnsi="Arial" w:cs="Arial"/>
                <w:sz w:val="20"/>
                <w:szCs w:val="20"/>
              </w:rPr>
              <w:t xml:space="preserve">. </w:t>
            </w:r>
            <w:r w:rsidR="00B9707C">
              <w:rPr>
                <w:rFonts w:ascii="Arial" w:hAnsi="Arial" w:cs="Arial"/>
                <w:sz w:val="20"/>
                <w:szCs w:val="20"/>
              </w:rPr>
              <w:t xml:space="preserve">    </w:t>
            </w:r>
            <w:r w:rsidR="00D9718A">
              <w:rPr>
                <w:rFonts w:ascii="Arial" w:hAnsi="Arial" w:cs="Arial"/>
                <w:sz w:val="20"/>
                <w:szCs w:val="20"/>
              </w:rPr>
              <w:t xml:space="preserve">   </w:t>
            </w:r>
          </w:p>
          <w:p w14:paraId="02021403" w14:textId="77777777" w:rsidR="00503581" w:rsidRDefault="00503581" w:rsidP="004F2DCB">
            <w:pPr>
              <w:spacing w:after="0" w:line="276" w:lineRule="auto"/>
              <w:contextualSpacing/>
              <w:jc w:val="both"/>
              <w:rPr>
                <w:rFonts w:ascii="Arial" w:eastAsia="Calibri" w:hAnsi="Arial" w:cs="Arial"/>
                <w:sz w:val="20"/>
                <w:szCs w:val="20"/>
              </w:rPr>
            </w:pPr>
          </w:p>
          <w:p w14:paraId="6BBB652A" w14:textId="0F24EB9B" w:rsidR="00C87E87" w:rsidRPr="00C87E87" w:rsidRDefault="00C87E87" w:rsidP="00C87E87">
            <w:pPr>
              <w:pStyle w:val="Odstavekseznama"/>
              <w:numPr>
                <w:ilvl w:val="0"/>
                <w:numId w:val="28"/>
              </w:numPr>
              <w:spacing w:line="276" w:lineRule="auto"/>
              <w:contextualSpacing/>
              <w:jc w:val="both"/>
              <w:rPr>
                <w:rFonts w:ascii="Arial" w:eastAsia="Calibri" w:hAnsi="Arial" w:cs="Arial"/>
                <w:sz w:val="20"/>
                <w:szCs w:val="20"/>
              </w:rPr>
            </w:pPr>
          </w:p>
          <w:p w14:paraId="64F292B6" w14:textId="77777777" w:rsidR="00C87E87" w:rsidRDefault="00C87E87" w:rsidP="00C87E87">
            <w:pPr>
              <w:spacing w:after="0" w:line="276" w:lineRule="auto"/>
              <w:contextualSpacing/>
              <w:jc w:val="both"/>
              <w:rPr>
                <w:rFonts w:ascii="Arial" w:hAnsi="Arial" w:cs="Arial"/>
                <w:sz w:val="20"/>
                <w:szCs w:val="20"/>
              </w:rPr>
            </w:pPr>
            <w:r>
              <w:rPr>
                <w:rFonts w:ascii="Arial" w:hAnsi="Arial" w:cs="Arial"/>
                <w:sz w:val="20"/>
                <w:szCs w:val="20"/>
              </w:rPr>
              <w:t xml:space="preserve">S prehodno določbo se določa prenehanje uporabe drugih zakonov v delu, ki se nanaša na vsebino </w:t>
            </w:r>
            <w:r w:rsidRPr="002F364D">
              <w:rPr>
                <w:rFonts w:ascii="Arial" w:hAnsi="Arial" w:cs="Arial"/>
                <w:sz w:val="20"/>
                <w:szCs w:val="20"/>
              </w:rPr>
              <w:t>namenit</w:t>
            </w:r>
            <w:r>
              <w:rPr>
                <w:rFonts w:ascii="Arial" w:hAnsi="Arial" w:cs="Arial"/>
                <w:sz w:val="20"/>
                <w:szCs w:val="20"/>
              </w:rPr>
              <w:t>ve</w:t>
            </w:r>
            <w:r w:rsidRPr="002F364D">
              <w:rPr>
                <w:rFonts w:ascii="Arial" w:hAnsi="Arial" w:cs="Arial"/>
                <w:sz w:val="20"/>
                <w:szCs w:val="20"/>
              </w:rPr>
              <w:t xml:space="preserve"> dela dohodnine za donacije</w:t>
            </w:r>
            <w:r>
              <w:rPr>
                <w:rFonts w:ascii="Arial" w:hAnsi="Arial" w:cs="Arial"/>
                <w:sz w:val="20"/>
                <w:szCs w:val="20"/>
              </w:rPr>
              <w:t>, in sicer:</w:t>
            </w:r>
          </w:p>
          <w:p w14:paraId="48F33199" w14:textId="2E9259A7" w:rsidR="00C87E87" w:rsidRDefault="00C87E87" w:rsidP="00C87E87">
            <w:pPr>
              <w:pStyle w:val="Odstavekseznama"/>
              <w:numPr>
                <w:ilvl w:val="0"/>
                <w:numId w:val="39"/>
              </w:numPr>
              <w:spacing w:line="276" w:lineRule="auto"/>
              <w:ind w:left="747"/>
              <w:contextualSpacing/>
              <w:jc w:val="both"/>
              <w:rPr>
                <w:rFonts w:ascii="Arial" w:hAnsi="Arial" w:cs="Arial"/>
                <w:sz w:val="20"/>
                <w:szCs w:val="20"/>
              </w:rPr>
            </w:pPr>
            <w:r w:rsidRPr="00E33549">
              <w:rPr>
                <w:rFonts w:ascii="Arial" w:hAnsi="Arial" w:cs="Arial"/>
                <w:sz w:val="20"/>
                <w:szCs w:val="20"/>
              </w:rPr>
              <w:t>drugega odstavka 135.</w:t>
            </w:r>
            <w:r>
              <w:rPr>
                <w:rFonts w:ascii="Arial" w:hAnsi="Arial" w:cs="Arial"/>
                <w:sz w:val="20"/>
                <w:szCs w:val="20"/>
              </w:rPr>
              <w:t> </w:t>
            </w:r>
            <w:r w:rsidRPr="00E33549">
              <w:rPr>
                <w:rFonts w:ascii="Arial" w:hAnsi="Arial" w:cs="Arial"/>
                <w:sz w:val="20"/>
                <w:szCs w:val="20"/>
              </w:rPr>
              <w:t>člena ZOFVI in</w:t>
            </w:r>
          </w:p>
          <w:p w14:paraId="34C2A07C" w14:textId="03DE7CBB" w:rsidR="00C87E87" w:rsidRPr="00E33549" w:rsidRDefault="00C87E87" w:rsidP="00C87E87">
            <w:pPr>
              <w:pStyle w:val="Odstavekseznama"/>
              <w:numPr>
                <w:ilvl w:val="0"/>
                <w:numId w:val="39"/>
              </w:numPr>
              <w:spacing w:line="276" w:lineRule="auto"/>
              <w:ind w:left="747"/>
              <w:contextualSpacing/>
              <w:jc w:val="both"/>
              <w:rPr>
                <w:rFonts w:ascii="Arial" w:hAnsi="Arial" w:cs="Arial"/>
                <w:sz w:val="20"/>
                <w:szCs w:val="20"/>
              </w:rPr>
            </w:pPr>
            <w:r w:rsidRPr="00E33549">
              <w:rPr>
                <w:rFonts w:ascii="Arial" w:hAnsi="Arial" w:cs="Arial"/>
                <w:sz w:val="20"/>
                <w:szCs w:val="20"/>
              </w:rPr>
              <w:t>prvega odstavka 60.</w:t>
            </w:r>
            <w:r>
              <w:rPr>
                <w:rFonts w:ascii="Arial" w:hAnsi="Arial" w:cs="Arial"/>
                <w:sz w:val="20"/>
                <w:szCs w:val="20"/>
              </w:rPr>
              <w:t> </w:t>
            </w:r>
            <w:r w:rsidRPr="00E33549">
              <w:rPr>
                <w:rFonts w:ascii="Arial" w:hAnsi="Arial" w:cs="Arial"/>
                <w:sz w:val="20"/>
                <w:szCs w:val="20"/>
              </w:rPr>
              <w:t>člena ZIUPOPDVE.</w:t>
            </w:r>
          </w:p>
          <w:p w14:paraId="521C6BBA" w14:textId="4D390FA5" w:rsidR="00422C36" w:rsidRDefault="00422C36" w:rsidP="00422C36">
            <w:pPr>
              <w:spacing w:line="276" w:lineRule="auto"/>
              <w:contextualSpacing/>
              <w:jc w:val="both"/>
              <w:rPr>
                <w:rFonts w:ascii="Arial" w:hAnsi="Arial" w:cs="Arial"/>
                <w:sz w:val="20"/>
                <w:szCs w:val="20"/>
              </w:rPr>
            </w:pPr>
          </w:p>
          <w:p w14:paraId="211A10E6" w14:textId="6BE5A706" w:rsidR="00422C36" w:rsidRPr="00386394" w:rsidRDefault="00422C36" w:rsidP="00386394">
            <w:pPr>
              <w:spacing w:line="276" w:lineRule="auto"/>
              <w:contextualSpacing/>
              <w:jc w:val="both"/>
              <w:rPr>
                <w:rFonts w:ascii="Arial" w:hAnsi="Arial" w:cs="Arial"/>
                <w:sz w:val="20"/>
                <w:szCs w:val="20"/>
              </w:rPr>
            </w:pPr>
            <w:bookmarkStart w:id="14" w:name="_Hlk114227087"/>
            <w:r>
              <w:rPr>
                <w:rFonts w:ascii="Arial" w:hAnsi="Arial" w:cs="Arial"/>
                <w:sz w:val="20"/>
                <w:szCs w:val="20"/>
              </w:rPr>
              <w:t xml:space="preserve">Navedene določbe se prenehajo </w:t>
            </w:r>
            <w:r w:rsidRPr="00422C36">
              <w:rPr>
                <w:rFonts w:ascii="Arial" w:hAnsi="Arial" w:cs="Arial"/>
                <w:sz w:val="20"/>
                <w:szCs w:val="20"/>
              </w:rPr>
              <w:t>uporablja</w:t>
            </w:r>
            <w:r>
              <w:rPr>
                <w:rFonts w:ascii="Arial" w:hAnsi="Arial" w:cs="Arial"/>
                <w:sz w:val="20"/>
                <w:szCs w:val="20"/>
              </w:rPr>
              <w:t>ti</w:t>
            </w:r>
            <w:r w:rsidRPr="00422C36">
              <w:rPr>
                <w:rFonts w:ascii="Arial" w:hAnsi="Arial" w:cs="Arial"/>
                <w:sz w:val="20"/>
                <w:szCs w:val="20"/>
              </w:rPr>
              <w:t xml:space="preserve"> </w:t>
            </w:r>
            <w:r>
              <w:rPr>
                <w:rFonts w:ascii="Arial" w:hAnsi="Arial" w:cs="Arial"/>
                <w:sz w:val="20"/>
                <w:szCs w:val="20"/>
              </w:rPr>
              <w:t xml:space="preserve">z davčnim letom 2023. </w:t>
            </w:r>
          </w:p>
          <w:bookmarkEnd w:id="14"/>
          <w:p w14:paraId="29939016" w14:textId="77777777" w:rsidR="00C87E87" w:rsidRPr="00833C5D" w:rsidRDefault="00C87E87" w:rsidP="00833C5D">
            <w:pPr>
              <w:shd w:val="clear" w:color="auto" w:fill="FFFFFF" w:themeFill="background1"/>
              <w:spacing w:after="0" w:line="276" w:lineRule="auto"/>
              <w:jc w:val="both"/>
              <w:rPr>
                <w:rFonts w:ascii="Arial" w:hAnsi="Arial" w:cs="Arial"/>
                <w:sz w:val="20"/>
                <w:szCs w:val="20"/>
              </w:rPr>
            </w:pPr>
          </w:p>
          <w:p w14:paraId="1D0B6A12" w14:textId="5B94CA5A" w:rsidR="00C87E87" w:rsidRPr="00C86DCA" w:rsidRDefault="00C87E87" w:rsidP="00833C5D">
            <w:pPr>
              <w:shd w:val="clear" w:color="auto" w:fill="FFFFFF" w:themeFill="background1"/>
              <w:spacing w:after="0" w:line="276" w:lineRule="auto"/>
              <w:jc w:val="both"/>
              <w:rPr>
                <w:rFonts w:ascii="Arial" w:eastAsia="Times New Roman" w:hAnsi="Arial" w:cs="Arial"/>
                <w:sz w:val="20"/>
                <w:szCs w:val="20"/>
                <w:lang w:eastAsia="sl-SI"/>
              </w:rPr>
            </w:pPr>
            <w:r>
              <w:rPr>
                <w:rFonts w:ascii="Arial" w:hAnsi="Arial" w:cs="Arial"/>
                <w:sz w:val="20"/>
                <w:szCs w:val="20"/>
                <w:shd w:val="clear" w:color="auto" w:fill="FFFFFF"/>
              </w:rPr>
              <w:t xml:space="preserve">Drugi odstavek 135. člena </w:t>
            </w:r>
            <w:r w:rsidRPr="00621DB6">
              <w:rPr>
                <w:rFonts w:ascii="Arial" w:hAnsi="Arial" w:cs="Arial"/>
                <w:sz w:val="20"/>
                <w:szCs w:val="20"/>
                <w:shd w:val="clear" w:color="auto" w:fill="FFFFFF"/>
              </w:rPr>
              <w:t>ZOFVI</w:t>
            </w:r>
            <w:r w:rsidRPr="00621DB6">
              <w:rPr>
                <w:rFonts w:ascii="Arial" w:eastAsia="Times New Roman" w:hAnsi="Arial" w:cs="Arial"/>
                <w:sz w:val="20"/>
                <w:szCs w:val="20"/>
                <w:lang w:eastAsia="sl-SI"/>
              </w:rPr>
              <w:t xml:space="preserve"> določa šolsk</w:t>
            </w:r>
            <w:r>
              <w:rPr>
                <w:rFonts w:ascii="Arial" w:eastAsia="Times New Roman" w:hAnsi="Arial" w:cs="Arial"/>
                <w:sz w:val="20"/>
                <w:szCs w:val="20"/>
                <w:lang w:eastAsia="sl-SI"/>
              </w:rPr>
              <w:t>e</w:t>
            </w:r>
            <w:r w:rsidRPr="00621DB6">
              <w:rPr>
                <w:rFonts w:ascii="Arial" w:eastAsia="Times New Roman" w:hAnsi="Arial" w:cs="Arial"/>
                <w:sz w:val="20"/>
                <w:szCs w:val="20"/>
                <w:lang w:eastAsia="sl-SI"/>
              </w:rPr>
              <w:t xml:space="preserve"> sklade in sklade vrtcev kot upravičence do donacij iz namenitve dela dohodnine</w:t>
            </w:r>
            <w:r>
              <w:rPr>
                <w:rFonts w:ascii="Arial" w:eastAsia="Times New Roman" w:hAnsi="Arial" w:cs="Arial"/>
                <w:sz w:val="20"/>
                <w:szCs w:val="20"/>
                <w:lang w:eastAsia="sl-SI"/>
              </w:rPr>
              <w:t>, najvišji delež tem skladom namenjene dohodnine, pogoje za uvrstitev teh</w:t>
            </w:r>
            <w:r w:rsidRPr="00621DB6">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na </w:t>
            </w:r>
            <w:r w:rsidRPr="00621DB6">
              <w:rPr>
                <w:rFonts w:ascii="Arial" w:eastAsia="Times New Roman" w:hAnsi="Arial" w:cs="Arial"/>
                <w:sz w:val="20"/>
                <w:szCs w:val="20"/>
                <w:lang w:eastAsia="sl-SI"/>
              </w:rPr>
              <w:t xml:space="preserve">seznam upravičencev do donacij </w:t>
            </w:r>
            <w:r>
              <w:rPr>
                <w:rFonts w:ascii="Arial" w:eastAsia="Times New Roman" w:hAnsi="Arial" w:cs="Arial"/>
                <w:sz w:val="20"/>
                <w:szCs w:val="20"/>
                <w:lang w:eastAsia="sl-SI"/>
              </w:rPr>
              <w:t xml:space="preserve">ter kdo zagotovi ustrezne podatke za pripravo seznama upravičencev. Po predlogu sprememb 142. člena ZDoh-2 se ta vsebina vnaša v ZDoh-2, ki sistemsko ureja institut namenitve dela dohodnine za donacije, zato ni več potrebe, da bi se določila ZOFVI, </w:t>
            </w:r>
            <w:r w:rsidRPr="002F364D">
              <w:rPr>
                <w:rFonts w:ascii="Arial" w:hAnsi="Arial" w:cs="Arial"/>
                <w:sz w:val="20"/>
                <w:szCs w:val="20"/>
              </w:rPr>
              <w:t>v delu, ki se nanašajo na namenitev dela dohodnine za donacije</w:t>
            </w:r>
            <w:r>
              <w:rPr>
                <w:rFonts w:ascii="Arial" w:hAnsi="Arial" w:cs="Arial"/>
                <w:sz w:val="20"/>
                <w:szCs w:val="20"/>
              </w:rPr>
              <w:t>, še naprej uporabljala.</w:t>
            </w:r>
          </w:p>
          <w:p w14:paraId="59F0F25B" w14:textId="77777777" w:rsidR="00C87E87" w:rsidRDefault="00C87E87" w:rsidP="00833C5D">
            <w:pPr>
              <w:shd w:val="clear" w:color="auto" w:fill="FFFFFF" w:themeFill="background1"/>
              <w:spacing w:after="0" w:line="276" w:lineRule="auto"/>
              <w:jc w:val="both"/>
              <w:rPr>
                <w:rFonts w:ascii="Arial" w:eastAsia="Times New Roman" w:hAnsi="Arial" w:cs="Arial"/>
                <w:sz w:val="20"/>
                <w:szCs w:val="20"/>
                <w:lang w:eastAsia="sl-SI"/>
              </w:rPr>
            </w:pPr>
          </w:p>
          <w:p w14:paraId="166F49CA" w14:textId="4CBB2EA6" w:rsidR="00C87E87" w:rsidRPr="00C86DCA" w:rsidRDefault="00C87E87" w:rsidP="00833C5D">
            <w:pPr>
              <w:shd w:val="clear" w:color="auto" w:fill="FFFFFF" w:themeFill="background1"/>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Prvi odstavek 60. člena ZIUPOPDVE določa najvišji </w:t>
            </w:r>
            <w:r w:rsidRPr="00621DB6">
              <w:rPr>
                <w:rFonts w:ascii="Arial" w:hAnsi="Arial" w:cs="Arial"/>
                <w:sz w:val="20"/>
                <w:szCs w:val="20"/>
                <w:shd w:val="clear" w:color="auto" w:fill="FFFFFF"/>
              </w:rPr>
              <w:t>delež dohodnine, ki jo lahko rezident, ne glede na določila zakona, ki ureja dohodnino, nameni upravičencem do donacij</w:t>
            </w:r>
            <w:r>
              <w:rPr>
                <w:rFonts w:ascii="Arial" w:hAnsi="Arial" w:cs="Arial"/>
                <w:sz w:val="20"/>
                <w:szCs w:val="20"/>
                <w:shd w:val="clear" w:color="auto" w:fill="FFFFFF"/>
              </w:rPr>
              <w:t xml:space="preserve"> in sicer v višini 1 % odmerjene dohodnine</w:t>
            </w:r>
            <w:bookmarkStart w:id="15" w:name="_Hlk108015660"/>
            <w:r>
              <w:rPr>
                <w:rFonts w:ascii="Arial" w:hAnsi="Arial" w:cs="Arial"/>
                <w:sz w:val="20"/>
                <w:szCs w:val="20"/>
                <w:shd w:val="clear" w:color="auto" w:fill="FFFFFF"/>
              </w:rPr>
              <w:t xml:space="preserve">, zato se predlaga, da se </w:t>
            </w:r>
            <w:bookmarkEnd w:id="15"/>
            <w:r>
              <w:rPr>
                <w:rFonts w:ascii="Arial" w:hAnsi="Arial" w:cs="Arial"/>
                <w:sz w:val="20"/>
                <w:szCs w:val="20"/>
                <w:shd w:val="clear" w:color="auto" w:fill="FFFFFF"/>
              </w:rPr>
              <w:t>preneha uporabljati.</w:t>
            </w:r>
            <w:r w:rsidRPr="00621DB6">
              <w:rPr>
                <w:rFonts w:ascii="Arial" w:hAnsi="Arial" w:cs="Arial"/>
                <w:sz w:val="20"/>
                <w:szCs w:val="20"/>
                <w:shd w:val="clear" w:color="auto" w:fill="FFFFFF"/>
              </w:rPr>
              <w:t xml:space="preserve"> </w:t>
            </w:r>
            <w:r>
              <w:rPr>
                <w:rFonts w:ascii="Arial" w:eastAsia="Times New Roman" w:hAnsi="Arial" w:cs="Arial"/>
                <w:sz w:val="20"/>
                <w:szCs w:val="20"/>
                <w:lang w:eastAsia="sl-SI"/>
              </w:rPr>
              <w:t xml:space="preserve">Po predlogu sprememb 142. člena ZDoh-2 se ta vsebina vnaša v ZDoh-2, ki sistemsko ureja institut namenitve dela dohodnine za donacije, zato ni več potrebe, da bi se določila ZIUPOPDVE, </w:t>
            </w:r>
            <w:r w:rsidRPr="002F364D">
              <w:rPr>
                <w:rFonts w:ascii="Arial" w:hAnsi="Arial" w:cs="Arial"/>
                <w:sz w:val="20"/>
                <w:szCs w:val="20"/>
              </w:rPr>
              <w:t xml:space="preserve">v delu, ki se nanašajo na </w:t>
            </w:r>
            <w:r>
              <w:rPr>
                <w:rFonts w:ascii="Arial" w:hAnsi="Arial" w:cs="Arial"/>
                <w:sz w:val="20"/>
                <w:szCs w:val="20"/>
              </w:rPr>
              <w:t>to vsebino, še naprej uporabljale.</w:t>
            </w:r>
          </w:p>
          <w:p w14:paraId="0F89A44F" w14:textId="77777777" w:rsidR="00C87E87" w:rsidRDefault="00C87E87" w:rsidP="004F2DCB">
            <w:pPr>
              <w:spacing w:after="0" w:line="276" w:lineRule="auto"/>
              <w:contextualSpacing/>
              <w:jc w:val="both"/>
              <w:rPr>
                <w:rFonts w:ascii="Arial" w:eastAsia="Calibri" w:hAnsi="Arial" w:cs="Arial"/>
                <w:sz w:val="20"/>
                <w:szCs w:val="20"/>
              </w:rPr>
            </w:pPr>
          </w:p>
          <w:p w14:paraId="10848297" w14:textId="7EC246DF" w:rsidR="00303E2C" w:rsidRPr="00303E2C" w:rsidRDefault="00303E2C" w:rsidP="00076F4A">
            <w:pPr>
              <w:pStyle w:val="Odstavekseznama"/>
              <w:numPr>
                <w:ilvl w:val="0"/>
                <w:numId w:val="28"/>
              </w:numPr>
              <w:spacing w:line="276" w:lineRule="auto"/>
              <w:contextualSpacing/>
              <w:jc w:val="both"/>
              <w:rPr>
                <w:rFonts w:ascii="Arial" w:eastAsia="Calibri" w:hAnsi="Arial" w:cs="Arial"/>
                <w:b/>
                <w:bCs/>
                <w:sz w:val="20"/>
                <w:szCs w:val="20"/>
              </w:rPr>
            </w:pPr>
          </w:p>
          <w:p w14:paraId="4CBD0E2B" w14:textId="36C631F2" w:rsidR="000255DD" w:rsidRDefault="00A35943" w:rsidP="00B12A80">
            <w:pPr>
              <w:spacing w:line="276" w:lineRule="auto"/>
              <w:contextualSpacing/>
              <w:jc w:val="both"/>
              <w:rPr>
                <w:rFonts w:ascii="Arial" w:eastAsia="Calibri" w:hAnsi="Arial" w:cs="Arial"/>
                <w:sz w:val="20"/>
                <w:szCs w:val="20"/>
              </w:rPr>
            </w:pPr>
            <w:r w:rsidRPr="004513FD">
              <w:rPr>
                <w:rFonts w:ascii="Arial" w:eastAsia="Calibri" w:hAnsi="Arial" w:cs="Arial"/>
                <w:sz w:val="20"/>
                <w:szCs w:val="20"/>
              </w:rPr>
              <w:t xml:space="preserve">S prvim odstavkom </w:t>
            </w:r>
            <w:r>
              <w:rPr>
                <w:rFonts w:ascii="Arial" w:eastAsia="Calibri" w:hAnsi="Arial" w:cs="Arial"/>
                <w:sz w:val="20"/>
                <w:szCs w:val="20"/>
              </w:rPr>
              <w:t>končne določbe</w:t>
            </w:r>
            <w:r w:rsidRPr="004513FD">
              <w:rPr>
                <w:rFonts w:ascii="Arial" w:eastAsia="Calibri" w:hAnsi="Arial" w:cs="Arial"/>
                <w:sz w:val="20"/>
                <w:szCs w:val="20"/>
              </w:rPr>
              <w:t xml:space="preserve"> se določata uveljavitev in </w:t>
            </w:r>
            <w:r w:rsidR="000255DD">
              <w:rPr>
                <w:rFonts w:ascii="Arial" w:eastAsia="Calibri" w:hAnsi="Arial" w:cs="Arial"/>
                <w:sz w:val="20"/>
                <w:szCs w:val="20"/>
              </w:rPr>
              <w:t xml:space="preserve">zamik </w:t>
            </w:r>
            <w:r w:rsidRPr="004513FD">
              <w:rPr>
                <w:rFonts w:ascii="Arial" w:eastAsia="Calibri" w:hAnsi="Arial" w:cs="Arial"/>
                <w:sz w:val="20"/>
                <w:szCs w:val="20"/>
              </w:rPr>
              <w:t>začet</w:t>
            </w:r>
            <w:r w:rsidR="000255DD">
              <w:rPr>
                <w:rFonts w:ascii="Arial" w:eastAsia="Calibri" w:hAnsi="Arial" w:cs="Arial"/>
                <w:sz w:val="20"/>
                <w:szCs w:val="20"/>
              </w:rPr>
              <w:t>ka</w:t>
            </w:r>
            <w:r w:rsidRPr="004513FD">
              <w:rPr>
                <w:rFonts w:ascii="Arial" w:eastAsia="Calibri" w:hAnsi="Arial" w:cs="Arial"/>
                <w:sz w:val="20"/>
                <w:szCs w:val="20"/>
              </w:rPr>
              <w:t xml:space="preserve"> uporabe </w:t>
            </w:r>
            <w:r w:rsidR="000255DD">
              <w:rPr>
                <w:rFonts w:ascii="Arial" w:eastAsia="Calibri" w:hAnsi="Arial" w:cs="Arial"/>
                <w:sz w:val="20"/>
                <w:szCs w:val="20"/>
              </w:rPr>
              <w:t>določenih spremenjenih določb ZDoh-2</w:t>
            </w:r>
            <w:r w:rsidRPr="004513FD">
              <w:rPr>
                <w:rFonts w:ascii="Arial" w:eastAsia="Calibri" w:hAnsi="Arial" w:cs="Arial"/>
                <w:sz w:val="20"/>
                <w:szCs w:val="20"/>
              </w:rPr>
              <w:t xml:space="preserve">. Zakon začne veljati </w:t>
            </w:r>
            <w:r w:rsidR="00CD5A36">
              <w:rPr>
                <w:rFonts w:ascii="Arial" w:eastAsia="Calibri" w:hAnsi="Arial" w:cs="Arial"/>
                <w:sz w:val="20"/>
                <w:szCs w:val="20"/>
              </w:rPr>
              <w:t>naslednji</w:t>
            </w:r>
            <w:r w:rsidRPr="004513FD">
              <w:rPr>
                <w:rFonts w:ascii="Arial" w:eastAsia="Calibri" w:hAnsi="Arial" w:cs="Arial"/>
                <w:sz w:val="20"/>
                <w:szCs w:val="20"/>
              </w:rPr>
              <w:t xml:space="preserve"> dan po objavi v Uradnem listu Republike Slovenije, </w:t>
            </w:r>
            <w:r w:rsidR="000255DD" w:rsidRPr="000255DD">
              <w:rPr>
                <w:rFonts w:ascii="Arial" w:eastAsia="Calibri" w:hAnsi="Arial" w:cs="Arial"/>
                <w:sz w:val="20"/>
                <w:szCs w:val="20"/>
              </w:rPr>
              <w:t>razen 1</w:t>
            </w:r>
            <w:r w:rsidR="00AA7DB4">
              <w:rPr>
                <w:rFonts w:ascii="Arial" w:eastAsia="Calibri" w:hAnsi="Arial" w:cs="Arial"/>
                <w:sz w:val="20"/>
                <w:szCs w:val="20"/>
              </w:rPr>
              <w:t>7</w:t>
            </w:r>
            <w:r w:rsidR="000255DD" w:rsidRPr="000255DD">
              <w:rPr>
                <w:rFonts w:ascii="Arial" w:eastAsia="Calibri" w:hAnsi="Arial" w:cs="Arial"/>
                <w:sz w:val="20"/>
                <w:szCs w:val="20"/>
              </w:rPr>
              <w:t xml:space="preserve">. člena tega zakona, ki začne veljati 1. januarja 2023. </w:t>
            </w:r>
            <w:r w:rsidR="000255DD">
              <w:rPr>
                <w:rFonts w:ascii="Arial" w:eastAsia="Calibri" w:hAnsi="Arial" w:cs="Arial"/>
                <w:sz w:val="20"/>
                <w:szCs w:val="20"/>
              </w:rPr>
              <w:t xml:space="preserve">Zamik začetka </w:t>
            </w:r>
            <w:r w:rsidR="00FA7CD0">
              <w:rPr>
                <w:rFonts w:ascii="Arial" w:eastAsia="Calibri" w:hAnsi="Arial" w:cs="Arial"/>
                <w:sz w:val="20"/>
                <w:szCs w:val="20"/>
              </w:rPr>
              <w:t>uporabe pa se določa za s</w:t>
            </w:r>
            <w:r w:rsidR="00FA7CD0" w:rsidRPr="00FA7CD0">
              <w:rPr>
                <w:rFonts w:ascii="Arial" w:eastAsia="Calibri" w:hAnsi="Arial" w:cs="Arial"/>
                <w:sz w:val="20"/>
                <w:szCs w:val="20"/>
              </w:rPr>
              <w:t>premenjeni 44., 48., 59., 90., 109., 111., 113. in 123. člen, spremenjeno poglavje VII.A ter spremenjeni a131.a, 135.č in 142. člen</w:t>
            </w:r>
            <w:r w:rsidR="00FA7CD0">
              <w:rPr>
                <w:rFonts w:ascii="Arial" w:eastAsia="Calibri" w:hAnsi="Arial" w:cs="Arial"/>
                <w:sz w:val="20"/>
                <w:szCs w:val="20"/>
              </w:rPr>
              <w:t xml:space="preserve">, in sicer se te spremenjene določbe in poglavje </w:t>
            </w:r>
            <w:r w:rsidR="00FA7CD0" w:rsidRPr="00FA7CD0">
              <w:rPr>
                <w:rFonts w:ascii="Arial" w:eastAsia="Calibri" w:hAnsi="Arial" w:cs="Arial"/>
                <w:sz w:val="20"/>
                <w:szCs w:val="20"/>
              </w:rPr>
              <w:t xml:space="preserve"> uporabljajo za davčna leta, ki se začnejo od vključno 1. januarja 2023</w:t>
            </w:r>
            <w:r w:rsidR="00807FD1">
              <w:rPr>
                <w:rFonts w:ascii="Arial" w:eastAsia="Calibri" w:hAnsi="Arial" w:cs="Arial"/>
                <w:sz w:val="20"/>
                <w:szCs w:val="20"/>
              </w:rPr>
              <w:t>.</w:t>
            </w:r>
          </w:p>
          <w:p w14:paraId="1502D24A" w14:textId="77777777" w:rsidR="000255DD" w:rsidRDefault="000255DD" w:rsidP="00B12A80">
            <w:pPr>
              <w:spacing w:line="276" w:lineRule="auto"/>
              <w:contextualSpacing/>
              <w:jc w:val="both"/>
              <w:rPr>
                <w:rFonts w:ascii="Arial" w:eastAsia="Calibri" w:hAnsi="Arial" w:cs="Arial"/>
                <w:sz w:val="20"/>
                <w:szCs w:val="20"/>
              </w:rPr>
            </w:pPr>
          </w:p>
          <w:p w14:paraId="4CFADA73" w14:textId="6FB76662" w:rsidR="00B12A80" w:rsidRPr="00375A32" w:rsidRDefault="00B12A80" w:rsidP="00B12A80">
            <w:pPr>
              <w:spacing w:line="276" w:lineRule="auto"/>
              <w:contextualSpacing/>
              <w:jc w:val="both"/>
              <w:rPr>
                <w:rFonts w:ascii="Arial" w:hAnsi="Arial" w:cs="Arial"/>
                <w:sz w:val="20"/>
                <w:szCs w:val="20"/>
              </w:rPr>
            </w:pPr>
            <w:r w:rsidRPr="00375A32">
              <w:rPr>
                <w:rFonts w:ascii="Arial" w:hAnsi="Arial" w:cs="Arial"/>
                <w:sz w:val="20"/>
                <w:szCs w:val="20"/>
              </w:rPr>
              <w:t xml:space="preserve">Razlog za skrajšanje </w:t>
            </w:r>
            <w:proofErr w:type="spellStart"/>
            <w:r w:rsidRPr="00375A32">
              <w:rPr>
                <w:rFonts w:ascii="Arial" w:hAnsi="Arial" w:cs="Arial"/>
                <w:sz w:val="20"/>
                <w:szCs w:val="20"/>
              </w:rPr>
              <w:t>vakacijskega</w:t>
            </w:r>
            <w:proofErr w:type="spellEnd"/>
            <w:r w:rsidRPr="00375A32">
              <w:rPr>
                <w:rFonts w:ascii="Arial" w:hAnsi="Arial" w:cs="Arial"/>
                <w:sz w:val="20"/>
                <w:szCs w:val="20"/>
              </w:rPr>
              <w:t xml:space="preserve"> roka z ustavno pred</w:t>
            </w:r>
            <w:r w:rsidR="008D57D0">
              <w:rPr>
                <w:rFonts w:ascii="Arial" w:hAnsi="Arial" w:cs="Arial"/>
                <w:sz w:val="20"/>
                <w:szCs w:val="20"/>
              </w:rPr>
              <w:t>videnega</w:t>
            </w:r>
            <w:r w:rsidRPr="00375A32">
              <w:rPr>
                <w:rFonts w:ascii="Arial" w:hAnsi="Arial" w:cs="Arial"/>
                <w:sz w:val="20"/>
                <w:szCs w:val="20"/>
              </w:rPr>
              <w:t xml:space="preserve"> </w:t>
            </w:r>
            <w:r w:rsidR="008D57D0">
              <w:rPr>
                <w:rFonts w:ascii="Arial" w:hAnsi="Arial" w:cs="Arial"/>
                <w:sz w:val="20"/>
                <w:szCs w:val="20"/>
              </w:rPr>
              <w:t>štirinajst</w:t>
            </w:r>
            <w:r w:rsidRPr="00375A32">
              <w:rPr>
                <w:rFonts w:ascii="Arial" w:hAnsi="Arial" w:cs="Arial"/>
                <w:sz w:val="20"/>
                <w:szCs w:val="20"/>
              </w:rPr>
              <w:t xml:space="preserve">dnevnega roka na naslednji dan po objavi je, da mora davčna zakonodaja zaradi davčnega sistema obdavčitve dohodkov v koledarskem letu </w:t>
            </w:r>
            <w:r w:rsidR="0029742B">
              <w:rPr>
                <w:rFonts w:ascii="Arial" w:hAnsi="Arial" w:cs="Arial"/>
                <w:sz w:val="20"/>
                <w:szCs w:val="20"/>
              </w:rPr>
              <w:t>začeti veljati</w:t>
            </w:r>
            <w:r w:rsidRPr="00375A32">
              <w:rPr>
                <w:rFonts w:ascii="Arial" w:hAnsi="Arial" w:cs="Arial"/>
                <w:sz w:val="20"/>
                <w:szCs w:val="20"/>
              </w:rPr>
              <w:t xml:space="preserve"> 1.</w:t>
            </w:r>
            <w:r w:rsidR="0029742B">
              <w:rPr>
                <w:rFonts w:ascii="Arial" w:hAnsi="Arial" w:cs="Arial"/>
                <w:sz w:val="20"/>
                <w:szCs w:val="20"/>
              </w:rPr>
              <w:t> </w:t>
            </w:r>
            <w:r w:rsidR="008D57D0">
              <w:rPr>
                <w:rFonts w:ascii="Arial" w:hAnsi="Arial" w:cs="Arial"/>
                <w:sz w:val="20"/>
                <w:szCs w:val="20"/>
              </w:rPr>
              <w:t>januarja</w:t>
            </w:r>
            <w:r w:rsidRPr="00375A32">
              <w:rPr>
                <w:rFonts w:ascii="Arial" w:hAnsi="Arial" w:cs="Arial"/>
                <w:sz w:val="20"/>
                <w:szCs w:val="20"/>
              </w:rPr>
              <w:t xml:space="preserve"> 202</w:t>
            </w:r>
            <w:r>
              <w:rPr>
                <w:rFonts w:ascii="Arial" w:hAnsi="Arial" w:cs="Arial"/>
                <w:sz w:val="20"/>
                <w:szCs w:val="20"/>
              </w:rPr>
              <w:t>3</w:t>
            </w:r>
            <w:r w:rsidRPr="00375A32">
              <w:rPr>
                <w:rFonts w:ascii="Arial" w:hAnsi="Arial" w:cs="Arial"/>
                <w:sz w:val="20"/>
                <w:szCs w:val="20"/>
              </w:rPr>
              <w:t>, ob tem pa je treba do tega datuma zagotoviti tudi uveljavitev in začetek uporabe podzakonskih</w:t>
            </w:r>
            <w:r w:rsidR="00807FD1">
              <w:rPr>
                <w:rFonts w:ascii="Arial" w:hAnsi="Arial" w:cs="Arial"/>
                <w:sz w:val="20"/>
                <w:szCs w:val="20"/>
              </w:rPr>
              <w:t xml:space="preserve"> predpisov</w:t>
            </w:r>
            <w:r>
              <w:rPr>
                <w:rFonts w:ascii="Arial" w:hAnsi="Arial" w:cs="Arial"/>
                <w:sz w:val="20"/>
                <w:szCs w:val="20"/>
              </w:rPr>
              <w:t>, potrebnih za izvajanje</w:t>
            </w:r>
            <w:r w:rsidR="00004951">
              <w:rPr>
                <w:rFonts w:ascii="Arial" w:hAnsi="Arial" w:cs="Arial"/>
                <w:sz w:val="20"/>
                <w:szCs w:val="20"/>
              </w:rPr>
              <w:t xml:space="preserve"> spremenjenih določb zakona</w:t>
            </w:r>
            <w:r w:rsidRPr="00375A32">
              <w:rPr>
                <w:rFonts w:ascii="Arial" w:hAnsi="Arial" w:cs="Arial"/>
                <w:sz w:val="20"/>
                <w:szCs w:val="20"/>
              </w:rPr>
              <w:t>.</w:t>
            </w:r>
            <w:r w:rsidR="00004951">
              <w:rPr>
                <w:rFonts w:ascii="Arial" w:hAnsi="Arial" w:cs="Arial"/>
                <w:sz w:val="20"/>
                <w:szCs w:val="20"/>
              </w:rPr>
              <w:t xml:space="preserve"> Čimprejšnja uveljavitev je nujna tudi zaradi sprememb na področju avtomatičnega </w:t>
            </w:r>
            <w:r w:rsidR="00004951">
              <w:rPr>
                <w:rFonts w:ascii="Arial" w:hAnsi="Arial" w:cs="Arial"/>
                <w:sz w:val="20"/>
                <w:szCs w:val="20"/>
              </w:rPr>
              <w:lastRenderedPageBreak/>
              <w:t>usklajevanja olajšav</w:t>
            </w:r>
            <w:r w:rsidR="002301F3">
              <w:rPr>
                <w:rFonts w:ascii="Arial" w:hAnsi="Arial" w:cs="Arial"/>
                <w:sz w:val="20"/>
                <w:szCs w:val="20"/>
              </w:rPr>
              <w:t>,</w:t>
            </w:r>
            <w:r w:rsidR="00004951">
              <w:rPr>
                <w:rFonts w:ascii="Arial" w:hAnsi="Arial" w:cs="Arial"/>
                <w:sz w:val="20"/>
                <w:szCs w:val="20"/>
              </w:rPr>
              <w:t xml:space="preserve"> lestvice za odmero dohodnine</w:t>
            </w:r>
            <w:r w:rsidR="002301F3">
              <w:rPr>
                <w:rFonts w:ascii="Arial" w:hAnsi="Arial" w:cs="Arial"/>
                <w:sz w:val="20"/>
                <w:szCs w:val="20"/>
              </w:rPr>
              <w:t xml:space="preserve"> in enačbe za določitev dodatne splošne olajšave</w:t>
            </w:r>
            <w:r w:rsidR="00004951">
              <w:rPr>
                <w:rFonts w:ascii="Arial" w:hAnsi="Arial" w:cs="Arial"/>
                <w:sz w:val="20"/>
                <w:szCs w:val="20"/>
              </w:rPr>
              <w:t xml:space="preserve">. Predlog zakona določa, da se usklajevanje ne opravi za davčno leto 2023, veljavni </w:t>
            </w:r>
            <w:r w:rsidR="00246D5E">
              <w:rPr>
                <w:rFonts w:ascii="Arial" w:hAnsi="Arial" w:cs="Arial"/>
                <w:sz w:val="20"/>
                <w:szCs w:val="20"/>
              </w:rPr>
              <w:t>ZDoh-2</w:t>
            </w:r>
            <w:r w:rsidR="00004951">
              <w:rPr>
                <w:rFonts w:ascii="Arial" w:hAnsi="Arial" w:cs="Arial"/>
                <w:sz w:val="20"/>
                <w:szCs w:val="20"/>
              </w:rPr>
              <w:t xml:space="preserve"> pa predvideva avtomatično usklajevanje s koeficientom rasti življenjskih potrebščin v decembru pred davčnim letom, na katerega se usklajevanje nanaša</w:t>
            </w:r>
            <w:r w:rsidR="002301F3">
              <w:rPr>
                <w:rFonts w:ascii="Arial" w:hAnsi="Arial" w:cs="Arial"/>
                <w:sz w:val="20"/>
                <w:szCs w:val="20"/>
              </w:rPr>
              <w:t>, zato je nujna uveljavitev zakona v najkrajšem možnem času</w:t>
            </w:r>
            <w:r w:rsidR="00004951">
              <w:rPr>
                <w:rFonts w:ascii="Arial" w:hAnsi="Arial" w:cs="Arial"/>
                <w:sz w:val="20"/>
                <w:szCs w:val="20"/>
              </w:rPr>
              <w:t>.</w:t>
            </w:r>
          </w:p>
          <w:p w14:paraId="5BB5C131" w14:textId="77777777" w:rsidR="00F740E4" w:rsidRPr="00375A32" w:rsidRDefault="00F740E4" w:rsidP="00B12A80">
            <w:pPr>
              <w:spacing w:line="276" w:lineRule="auto"/>
              <w:contextualSpacing/>
              <w:jc w:val="both"/>
              <w:rPr>
                <w:rFonts w:ascii="Arial" w:hAnsi="Arial" w:cs="Arial"/>
                <w:sz w:val="20"/>
                <w:szCs w:val="20"/>
              </w:rPr>
            </w:pPr>
          </w:p>
          <w:p w14:paraId="67F68C59" w14:textId="49C50FFB" w:rsidR="00A35943" w:rsidRPr="004513FD" w:rsidRDefault="00A35943" w:rsidP="004F2DCB">
            <w:pPr>
              <w:spacing w:after="0" w:line="276" w:lineRule="auto"/>
              <w:contextualSpacing/>
              <w:jc w:val="both"/>
              <w:rPr>
                <w:rFonts w:ascii="Arial" w:eastAsia="Calibri" w:hAnsi="Arial" w:cs="Arial"/>
                <w:sz w:val="20"/>
                <w:szCs w:val="20"/>
              </w:rPr>
            </w:pPr>
            <w:r w:rsidRPr="004513FD" w:rsidDel="009D1731">
              <w:rPr>
                <w:rFonts w:ascii="Arial" w:eastAsia="Calibri" w:hAnsi="Arial" w:cs="Arial"/>
                <w:sz w:val="20"/>
                <w:szCs w:val="20"/>
              </w:rPr>
              <w:t xml:space="preserve">Z drugim odstavkom </w:t>
            </w:r>
            <w:r w:rsidRPr="004513FD">
              <w:rPr>
                <w:rFonts w:ascii="Arial" w:eastAsia="Calibri" w:hAnsi="Arial" w:cs="Arial"/>
                <w:sz w:val="20"/>
                <w:szCs w:val="20"/>
              </w:rPr>
              <w:t>se določa uporaba</w:t>
            </w:r>
            <w:r w:rsidR="00FA7CD0">
              <w:rPr>
                <w:rFonts w:ascii="Arial" w:hAnsi="Arial" w:cs="Arial"/>
                <w:sz w:val="20"/>
                <w:szCs w:val="20"/>
              </w:rPr>
              <w:t xml:space="preserve"> </w:t>
            </w:r>
            <w:r w:rsidR="00FA7CD0" w:rsidRPr="00FA7CD0">
              <w:rPr>
                <w:rFonts w:ascii="Arial" w:hAnsi="Arial" w:cs="Arial"/>
                <w:sz w:val="20"/>
                <w:szCs w:val="20"/>
              </w:rPr>
              <w:t>44., 48., 59., 90., 109., 111., 113., in 123. člena, poglavje VII.A ter a131.a, 135.č in 142. člen</w:t>
            </w:r>
            <w:r w:rsidR="00D51EFC">
              <w:rPr>
                <w:rFonts w:ascii="Arial" w:hAnsi="Arial" w:cs="Arial"/>
                <w:sz w:val="20"/>
                <w:szCs w:val="20"/>
              </w:rPr>
              <w:t>a</w:t>
            </w:r>
            <w:r w:rsidR="00FA7CD0" w:rsidRPr="00FA7CD0">
              <w:rPr>
                <w:rFonts w:ascii="Arial" w:hAnsi="Arial" w:cs="Arial"/>
                <w:sz w:val="20"/>
                <w:szCs w:val="20"/>
              </w:rPr>
              <w:t xml:space="preserve"> </w:t>
            </w:r>
            <w:r w:rsidRPr="001923BE">
              <w:rPr>
                <w:rFonts w:ascii="Arial" w:hAnsi="Arial" w:cs="Arial"/>
                <w:sz w:val="20"/>
                <w:szCs w:val="20"/>
              </w:rPr>
              <w:t>Zakon</w:t>
            </w:r>
            <w:r>
              <w:rPr>
                <w:rFonts w:ascii="Arial" w:hAnsi="Arial" w:cs="Arial"/>
                <w:sz w:val="20"/>
                <w:szCs w:val="20"/>
              </w:rPr>
              <w:t>a</w:t>
            </w:r>
            <w:r w:rsidRPr="001923BE">
              <w:rPr>
                <w:rFonts w:ascii="Arial" w:hAnsi="Arial" w:cs="Arial"/>
                <w:sz w:val="20"/>
                <w:szCs w:val="20"/>
              </w:rPr>
              <w:t xml:space="preserve"> o dohodnini (Uradni list RS, št.</w:t>
            </w:r>
            <w:r w:rsidR="0029742B">
              <w:rPr>
                <w:rFonts w:ascii="Arial" w:hAnsi="Arial" w:cs="Arial"/>
                <w:sz w:val="20"/>
                <w:szCs w:val="20"/>
              </w:rPr>
              <w:t> </w:t>
            </w:r>
            <w:r w:rsidRPr="001923BE">
              <w:rPr>
                <w:rFonts w:ascii="Arial" w:hAnsi="Arial" w:cs="Arial"/>
                <w:sz w:val="20"/>
                <w:szCs w:val="20"/>
              </w:rPr>
              <w:t xml:space="preserve">13/11 – uradno prečiščeno besedilo, 9/11 – ZUKD-1, 9/12 – </w:t>
            </w:r>
            <w:proofErr w:type="spellStart"/>
            <w:r w:rsidRPr="001923BE">
              <w:rPr>
                <w:rFonts w:ascii="Arial" w:hAnsi="Arial" w:cs="Arial"/>
                <w:sz w:val="20"/>
                <w:szCs w:val="20"/>
              </w:rPr>
              <w:t>odl</w:t>
            </w:r>
            <w:proofErr w:type="spellEnd"/>
            <w:r w:rsidRPr="001923BE">
              <w:rPr>
                <w:rFonts w:ascii="Arial" w:hAnsi="Arial" w:cs="Arial"/>
                <w:sz w:val="20"/>
                <w:szCs w:val="20"/>
              </w:rPr>
              <w:t xml:space="preserve">. US, 24/12, 30/12, 40/12 – ZUJF, 75/12, 94/12, 96/13, 29/14 – </w:t>
            </w:r>
            <w:proofErr w:type="spellStart"/>
            <w:r w:rsidRPr="001923BE">
              <w:rPr>
                <w:rFonts w:ascii="Arial" w:hAnsi="Arial" w:cs="Arial"/>
                <w:sz w:val="20"/>
                <w:szCs w:val="20"/>
              </w:rPr>
              <w:t>odl</w:t>
            </w:r>
            <w:proofErr w:type="spellEnd"/>
            <w:r w:rsidRPr="001923BE">
              <w:rPr>
                <w:rFonts w:ascii="Arial" w:hAnsi="Arial" w:cs="Arial"/>
                <w:sz w:val="20"/>
                <w:szCs w:val="20"/>
              </w:rPr>
              <w:t>. US, 50/14, 23/15, 55/15, 63/16, 69/17, 21/19, 28/19</w:t>
            </w:r>
            <w:r>
              <w:rPr>
                <w:rFonts w:ascii="Arial" w:hAnsi="Arial" w:cs="Arial"/>
                <w:sz w:val="20"/>
                <w:szCs w:val="20"/>
              </w:rPr>
              <w:t>,</w:t>
            </w:r>
            <w:r w:rsidRPr="001923BE">
              <w:rPr>
                <w:rFonts w:ascii="Arial" w:hAnsi="Arial" w:cs="Arial"/>
                <w:sz w:val="20"/>
                <w:szCs w:val="20"/>
              </w:rPr>
              <w:t xml:space="preserve"> 66/19</w:t>
            </w:r>
            <w:r>
              <w:rPr>
                <w:rFonts w:ascii="Arial" w:hAnsi="Arial" w:cs="Arial"/>
                <w:sz w:val="20"/>
                <w:szCs w:val="20"/>
              </w:rPr>
              <w:t xml:space="preserve"> in 39/22</w:t>
            </w:r>
            <w:r w:rsidR="00B41130" w:rsidRPr="001923BE">
              <w:rPr>
                <w:rFonts w:ascii="Arial" w:hAnsi="Arial" w:cs="Arial"/>
                <w:sz w:val="20"/>
                <w:szCs w:val="20"/>
              </w:rPr>
              <w:t>)</w:t>
            </w:r>
            <w:r w:rsidR="0029742B">
              <w:rPr>
                <w:rFonts w:ascii="Arial" w:hAnsi="Arial" w:cs="Arial"/>
                <w:sz w:val="20"/>
                <w:szCs w:val="20"/>
              </w:rPr>
              <w:t>,</w:t>
            </w:r>
            <w:r w:rsidR="00E858D1">
              <w:rPr>
                <w:rFonts w:ascii="Arial" w:hAnsi="Arial" w:cs="Arial"/>
                <w:sz w:val="20"/>
                <w:szCs w:val="20"/>
              </w:rPr>
              <w:t xml:space="preserve"> </w:t>
            </w:r>
            <w:r w:rsidRPr="004513FD">
              <w:rPr>
                <w:rFonts w:ascii="Arial" w:eastAsia="Calibri" w:hAnsi="Arial" w:cs="Arial"/>
                <w:sz w:val="20"/>
                <w:szCs w:val="20"/>
              </w:rPr>
              <w:t>veljavn</w:t>
            </w:r>
            <w:r w:rsidR="00B41130">
              <w:rPr>
                <w:rFonts w:ascii="Arial" w:eastAsia="Calibri" w:hAnsi="Arial" w:cs="Arial"/>
                <w:sz w:val="20"/>
                <w:szCs w:val="20"/>
              </w:rPr>
              <w:t>ih</w:t>
            </w:r>
            <w:r w:rsidRPr="004513FD">
              <w:rPr>
                <w:rFonts w:ascii="Arial" w:eastAsia="Calibri" w:hAnsi="Arial" w:cs="Arial"/>
                <w:sz w:val="20"/>
                <w:szCs w:val="20"/>
              </w:rPr>
              <w:t xml:space="preserve"> do začetka veljavnosti tega zakona, še do začetka uporabe </w:t>
            </w:r>
            <w:r w:rsidR="00D51EFC">
              <w:rPr>
                <w:rFonts w:ascii="Arial" w:eastAsia="Calibri" w:hAnsi="Arial" w:cs="Arial"/>
                <w:sz w:val="20"/>
                <w:szCs w:val="20"/>
              </w:rPr>
              <w:t>s tem zakonom spremenjenih določb.</w:t>
            </w:r>
          </w:p>
          <w:p w14:paraId="4A3182DB" w14:textId="77777777" w:rsidR="009B39FB" w:rsidRDefault="009B39FB" w:rsidP="004513FD">
            <w:pPr>
              <w:spacing w:after="0" w:line="276" w:lineRule="auto"/>
              <w:contextualSpacing/>
              <w:jc w:val="both"/>
              <w:rPr>
                <w:rFonts w:ascii="Arial" w:eastAsia="Calibri" w:hAnsi="Arial" w:cs="Arial"/>
                <w:sz w:val="20"/>
                <w:szCs w:val="20"/>
              </w:rPr>
            </w:pPr>
          </w:p>
          <w:p w14:paraId="776CBB95" w14:textId="6875F0DC" w:rsidR="009B39FB" w:rsidRPr="004513FD" w:rsidRDefault="009B39FB" w:rsidP="004513FD">
            <w:pPr>
              <w:spacing w:after="0" w:line="276" w:lineRule="auto"/>
              <w:contextualSpacing/>
              <w:jc w:val="both"/>
              <w:rPr>
                <w:rFonts w:ascii="Arial" w:eastAsia="Calibri" w:hAnsi="Arial" w:cs="Arial"/>
                <w:sz w:val="20"/>
                <w:szCs w:val="20"/>
              </w:rPr>
            </w:pPr>
          </w:p>
        </w:tc>
      </w:tr>
    </w:tbl>
    <w:p w14:paraId="0B41FEB3" w14:textId="249EEA9C" w:rsidR="004513FD" w:rsidRDefault="004513FD"/>
    <w:p w14:paraId="7F9B2940" w14:textId="77777777" w:rsidR="004513FD" w:rsidRDefault="004513FD">
      <w:r>
        <w:br w:type="page"/>
      </w:r>
    </w:p>
    <w:tbl>
      <w:tblPr>
        <w:tblW w:w="9072" w:type="dxa"/>
        <w:tblLook w:val="04A0" w:firstRow="1" w:lastRow="0" w:firstColumn="1" w:lastColumn="0" w:noHBand="0" w:noVBand="1"/>
      </w:tblPr>
      <w:tblGrid>
        <w:gridCol w:w="9072"/>
      </w:tblGrid>
      <w:tr w:rsidR="004513FD" w:rsidRPr="004513FD" w14:paraId="3FB18512" w14:textId="77777777" w:rsidTr="13B2E1A2">
        <w:trPr>
          <w:trHeight w:val="3391"/>
        </w:trPr>
        <w:tc>
          <w:tcPr>
            <w:tcW w:w="9072" w:type="dxa"/>
          </w:tcPr>
          <w:p w14:paraId="7E8A807F" w14:textId="77777777" w:rsidR="004513FD" w:rsidRPr="004513FD" w:rsidRDefault="004513FD" w:rsidP="004513FD">
            <w:pPr>
              <w:spacing w:after="0" w:line="276" w:lineRule="auto"/>
              <w:jc w:val="both"/>
              <w:rPr>
                <w:rFonts w:ascii="Arial" w:eastAsia="Calibri" w:hAnsi="Arial" w:cs="Arial"/>
                <w:b/>
                <w:sz w:val="20"/>
                <w:szCs w:val="20"/>
              </w:rPr>
            </w:pPr>
            <w:r w:rsidRPr="004513FD">
              <w:rPr>
                <w:rFonts w:ascii="Arial" w:eastAsia="Calibri" w:hAnsi="Arial" w:cs="Arial"/>
                <w:b/>
                <w:sz w:val="20"/>
                <w:szCs w:val="20"/>
              </w:rPr>
              <w:lastRenderedPageBreak/>
              <w:t>IV. BESEDILO ČLENOV, KI SE SPREMINJAJO</w:t>
            </w:r>
          </w:p>
          <w:p w14:paraId="227078E8" w14:textId="3103783E" w:rsidR="004513FD" w:rsidRDefault="004513FD" w:rsidP="004513FD">
            <w:pPr>
              <w:spacing w:after="0" w:line="276" w:lineRule="auto"/>
              <w:rPr>
                <w:rFonts w:ascii="Arial" w:eastAsia="Calibri" w:hAnsi="Arial" w:cs="Arial"/>
                <w:sz w:val="20"/>
                <w:szCs w:val="20"/>
              </w:rPr>
            </w:pPr>
          </w:p>
          <w:p w14:paraId="6D28B252" w14:textId="6CD4079F" w:rsidR="00AE0FEF" w:rsidRDefault="00AE0FEF" w:rsidP="004513FD">
            <w:pPr>
              <w:spacing w:after="0" w:line="276" w:lineRule="auto"/>
              <w:rPr>
                <w:rFonts w:ascii="Arial" w:eastAsia="Calibri" w:hAnsi="Arial" w:cs="Arial"/>
                <w:sz w:val="20"/>
                <w:szCs w:val="20"/>
              </w:rPr>
            </w:pPr>
            <w:r>
              <w:rPr>
                <w:rFonts w:ascii="Arial" w:eastAsia="Calibri" w:hAnsi="Arial" w:cs="Arial"/>
                <w:sz w:val="20"/>
                <w:szCs w:val="20"/>
              </w:rPr>
              <w:t>a) ZAKON O DOHODNINI</w:t>
            </w:r>
          </w:p>
          <w:p w14:paraId="3F68AD8B" w14:textId="77777777" w:rsidR="00AE0FEF" w:rsidRPr="004513FD" w:rsidRDefault="00AE0FEF" w:rsidP="004513FD">
            <w:pPr>
              <w:spacing w:after="0" w:line="276" w:lineRule="auto"/>
              <w:rPr>
                <w:rFonts w:ascii="Arial" w:eastAsia="Calibri" w:hAnsi="Arial" w:cs="Arial"/>
                <w:sz w:val="20"/>
                <w:szCs w:val="20"/>
              </w:rPr>
            </w:pPr>
          </w:p>
          <w:p w14:paraId="314D833C" w14:textId="77777777" w:rsidR="00C45F29" w:rsidRPr="00A53C63" w:rsidRDefault="00C45F29" w:rsidP="00C45F29">
            <w:pPr>
              <w:spacing w:after="0" w:line="276" w:lineRule="auto"/>
              <w:jc w:val="center"/>
              <w:rPr>
                <w:rFonts w:ascii="Arial" w:eastAsia="Calibri" w:hAnsi="Arial" w:cs="Arial"/>
                <w:b/>
                <w:bCs/>
                <w:sz w:val="20"/>
                <w:szCs w:val="20"/>
              </w:rPr>
            </w:pPr>
            <w:r w:rsidRPr="00A53C63">
              <w:rPr>
                <w:rFonts w:ascii="Arial" w:eastAsia="Calibri" w:hAnsi="Arial" w:cs="Arial"/>
                <w:b/>
                <w:bCs/>
                <w:sz w:val="20"/>
                <w:szCs w:val="20"/>
              </w:rPr>
              <w:t>26. člen</w:t>
            </w:r>
          </w:p>
          <w:p w14:paraId="05B060B4" w14:textId="77777777" w:rsidR="00C45F29" w:rsidRPr="00A53C63" w:rsidRDefault="00C45F29" w:rsidP="00C45F29">
            <w:pPr>
              <w:spacing w:after="0" w:line="276" w:lineRule="auto"/>
              <w:jc w:val="center"/>
              <w:rPr>
                <w:rFonts w:ascii="Arial" w:eastAsia="Calibri" w:hAnsi="Arial" w:cs="Arial"/>
                <w:b/>
                <w:bCs/>
                <w:sz w:val="20"/>
                <w:szCs w:val="20"/>
              </w:rPr>
            </w:pPr>
            <w:r w:rsidRPr="00A53C63">
              <w:rPr>
                <w:rFonts w:ascii="Arial" w:eastAsia="Calibri" w:hAnsi="Arial" w:cs="Arial"/>
                <w:b/>
                <w:bCs/>
                <w:sz w:val="20"/>
                <w:szCs w:val="20"/>
              </w:rPr>
              <w:t>(dohodki, povezani s kmetijsko in gozdarsko dejavnostjo)</w:t>
            </w:r>
          </w:p>
          <w:p w14:paraId="5A7A8CF1" w14:textId="77777777" w:rsidR="00C45F29" w:rsidRPr="00A53C63" w:rsidRDefault="00C45F29" w:rsidP="00C45F29">
            <w:pPr>
              <w:spacing w:after="0" w:line="276" w:lineRule="auto"/>
              <w:jc w:val="both"/>
              <w:rPr>
                <w:rFonts w:ascii="Arial" w:eastAsia="Calibri" w:hAnsi="Arial" w:cs="Arial"/>
                <w:sz w:val="20"/>
                <w:szCs w:val="20"/>
              </w:rPr>
            </w:pPr>
          </w:p>
          <w:p w14:paraId="2A7DD231" w14:textId="77777777"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Dohodnine se ne plača od dohodkov, pridobljenih v zvezi z osnovno kmetijsko in osnovno gozdarsko dejavnostjo, kot je določena v 69. členu tega zakona, in katere dohodek se ugotavlja na podlagi 71. člena tega zakona, če gre za:</w:t>
            </w:r>
          </w:p>
          <w:p w14:paraId="37F57712" w14:textId="4024FEB5"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1. dohodke iz opravljanja kmetijskih in gozdarskih storitev s kmetijsko in gozdarsko mehanizacijo v okviru strojnih krožkov, če jih pridobijo člani kmečkega gospodinjstva iz drugega odstavka 69. člena tega zakona v višini in pod pogoji, ki jih določi minister oziroma ministrica (v nadaljnjem besedilu: minister), pristojen za finance, v soglasju z ministrom, pristojnim za kmetijstvo;</w:t>
            </w:r>
          </w:p>
          <w:p w14:paraId="5EE5BC23" w14:textId="6D14798C"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2. dohodke, ki so izplačani za ukrepe kmetijske politike, vezane na izvajanje tehnologij, ki presegajo obvezne standarde, določene za posamezne ukrepe kmetijske politike s predpisi Evropske unije, in sicer:</w:t>
            </w:r>
          </w:p>
          <w:p w14:paraId="2E6F794F" w14:textId="4587EBA4"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 podpore za sheme kakovosti za kmetijske pridelke, kot jih določa 16. člen Uredbe (EU) št. 1305/2013 Evropskega parlamenta in Sveta z dne 17. decembra 2013 o podpori za razvoj podeželja iz Evropskega kmetijskega sklada za razvoj podeželja (EKSRP) in razveljavitvi Uredbe Sveta (ES) št. 1698/2005 (UL L 347, 20. 12. 2013, str. 487; v nadaljnjem besedilu: Uredba (EU) št. 1305/2013),</w:t>
            </w:r>
          </w:p>
          <w:p w14:paraId="058DA970" w14:textId="0A67CF1E"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 kmetijsko-</w:t>
            </w:r>
            <w:proofErr w:type="spellStart"/>
            <w:r w:rsidRPr="00A53C63">
              <w:rPr>
                <w:rFonts w:ascii="Arial" w:eastAsia="Calibri" w:hAnsi="Arial" w:cs="Arial"/>
                <w:sz w:val="20"/>
                <w:szCs w:val="20"/>
              </w:rPr>
              <w:t>okoljska</w:t>
            </w:r>
            <w:proofErr w:type="spellEnd"/>
            <w:r w:rsidRPr="00A53C63">
              <w:rPr>
                <w:rFonts w:ascii="Arial" w:eastAsia="Calibri" w:hAnsi="Arial" w:cs="Arial"/>
                <w:sz w:val="20"/>
                <w:szCs w:val="20"/>
              </w:rPr>
              <w:t xml:space="preserve"> podnebna plačila, kot jih določa 28. člen Uredbe (EU) št. 1305/2013,</w:t>
            </w:r>
          </w:p>
          <w:p w14:paraId="26A9EA15" w14:textId="4B8171E3"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 plačila za ekološko kmetovanje, kot jih določa 29. člen Uredbe (EU) št. 1305/2013,</w:t>
            </w:r>
          </w:p>
          <w:p w14:paraId="5F85EA8A" w14:textId="3FFAEFF3"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 plačila v okviru območij Natura 2000 in na podlagi okvirne direktive o vodah, kot jih določa 30. člen Uredbe (EU) št. 1305/2013,</w:t>
            </w:r>
          </w:p>
          <w:p w14:paraId="2F8391D7" w14:textId="18D418FE"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 plačila za območja z naravnimi ali drugimi posebnimi omejitvami, kot jih določata 31. in 32. člen Uredbe (EU) št. 1305/2013,</w:t>
            </w:r>
          </w:p>
          <w:p w14:paraId="657EB98C" w14:textId="1BCF8857"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 plačila za dobrobit živali, kot jih določa 33. člen Uredbe (EU) št. 1305/2013,</w:t>
            </w:r>
          </w:p>
          <w:p w14:paraId="49A124E6" w14:textId="03AE30B3"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 plačila za gozdarsko-</w:t>
            </w:r>
            <w:proofErr w:type="spellStart"/>
            <w:r w:rsidRPr="00A53C63">
              <w:rPr>
                <w:rFonts w:ascii="Arial" w:eastAsia="Calibri" w:hAnsi="Arial" w:cs="Arial"/>
                <w:sz w:val="20"/>
                <w:szCs w:val="20"/>
              </w:rPr>
              <w:t>okoljske</w:t>
            </w:r>
            <w:proofErr w:type="spellEnd"/>
            <w:r w:rsidRPr="00A53C63">
              <w:rPr>
                <w:rFonts w:ascii="Arial" w:eastAsia="Calibri" w:hAnsi="Arial" w:cs="Arial"/>
                <w:sz w:val="20"/>
                <w:szCs w:val="20"/>
              </w:rPr>
              <w:t xml:space="preserve"> in podnebne storitve ter ohranjanje gozdov, kot jih določa 34. člen Uredbe (EU) št. 1305/2013,</w:t>
            </w:r>
          </w:p>
          <w:p w14:paraId="46115AC1" w14:textId="4C8EF441"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 plačilo za kmetijske prakse, ki ugodno vplivajo na podnebje in okolje (</w:t>
            </w:r>
            <w:proofErr w:type="spellStart"/>
            <w:r w:rsidRPr="00A53C63">
              <w:rPr>
                <w:rFonts w:ascii="Arial" w:eastAsia="Calibri" w:hAnsi="Arial" w:cs="Arial"/>
                <w:sz w:val="20"/>
                <w:szCs w:val="20"/>
              </w:rPr>
              <w:t>t.i</w:t>
            </w:r>
            <w:proofErr w:type="spellEnd"/>
            <w:r w:rsidRPr="00A53C63">
              <w:rPr>
                <w:rFonts w:ascii="Arial" w:eastAsia="Calibri" w:hAnsi="Arial" w:cs="Arial"/>
                <w:sz w:val="20"/>
                <w:szCs w:val="20"/>
              </w:rPr>
              <w:t>. plačilo za zeleno komponento) ter plačilo za območja z naravnimi omejitvami, kot sta določeni s 43. in 48. členom Uredbe (EU) št. 1307/2013 Evropskega parlamenta in Sveta z dne 17. december 2013 o pravilih za neposredna plačila kmetom na podlagi shem podpore v okviru skupne kmetijske politike ter razveljavitvi Uredbe Sveta (ES) št. 637/2008 in Uredbe Sveta (ES) št. 73/2009 (UL L št. 347 z dne 20. 12. 2013, str. 608), zadnjič spremenjene z Delegirano uredbo Komisije (EU) št. 1001/2014 z dne 18. julija 2014 o spremembi Priloge X k Uredbi (EU) št. 1307/2013 Evropskega parlamenta in Sveta o pravilih za neposredna plačila kmetom na podlagi shem podpore v okviru skupne kmetijske politike (UL L št. 281 z dne 25. 9. 2014, str. 1);</w:t>
            </w:r>
          </w:p>
          <w:p w14:paraId="22D377BB" w14:textId="080037F3"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3. plačila iz naslova ukrepov kmetijske politike, pridobljena v zvezi z dolgoročnimi vlaganji;</w:t>
            </w:r>
          </w:p>
          <w:p w14:paraId="25A4FDB4" w14:textId="2382A4A5"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4. izplačila na podlagi zavarovanja za škodo na premoženju, ki se uporablja za opravljanje osnovne kmetijske in osnovne gozdarske dejavnosti;</w:t>
            </w:r>
          </w:p>
          <w:p w14:paraId="45A5A1C8" w14:textId="7BC8543C"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5. denarno pomoč, ki jo posameznik prejme zaradi naravne in druge nesreče ali odškodnino za škodo, ki jo povzročijo prostoživeče živali ali zavarovane prostoživeče živalske vrste, določeno v skladu s posebnimi predpisi;</w:t>
            </w:r>
          </w:p>
          <w:p w14:paraId="7E3C42C1" w14:textId="6CCCD662"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6. dohodek iz osnovne kmetijske in osnovne gozdarske dejavnosti, ki se ne šteje kot dohodek iz te dejavnosti na kmečkem gospodinjstvu v skladu z drugim odstavkom 69. člena tega zakona;</w:t>
            </w:r>
          </w:p>
          <w:p w14:paraId="68D9E2CB" w14:textId="3FB362BA"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 xml:space="preserve">7. plačilo za vodenje knjigovodstva na kmetijah po uradni metodologiji EU za zbiranje računovodskih podatkov o dohodkih in poslovanju kmetijskih gospodarstev (Farm </w:t>
            </w:r>
            <w:proofErr w:type="spellStart"/>
            <w:r w:rsidRPr="00A53C63">
              <w:rPr>
                <w:rFonts w:ascii="Arial" w:eastAsia="Calibri" w:hAnsi="Arial" w:cs="Arial"/>
                <w:sz w:val="20"/>
                <w:szCs w:val="20"/>
              </w:rPr>
              <w:t>Accountancy</w:t>
            </w:r>
            <w:proofErr w:type="spellEnd"/>
            <w:r w:rsidRPr="00A53C63">
              <w:rPr>
                <w:rFonts w:ascii="Arial" w:eastAsia="Calibri" w:hAnsi="Arial" w:cs="Arial"/>
                <w:sz w:val="20"/>
                <w:szCs w:val="20"/>
              </w:rPr>
              <w:t xml:space="preserve"> Data </w:t>
            </w:r>
            <w:proofErr w:type="spellStart"/>
            <w:r w:rsidRPr="00A53C63">
              <w:rPr>
                <w:rFonts w:ascii="Arial" w:eastAsia="Calibri" w:hAnsi="Arial" w:cs="Arial"/>
                <w:sz w:val="20"/>
                <w:szCs w:val="20"/>
              </w:rPr>
              <w:t>Network</w:t>
            </w:r>
            <w:proofErr w:type="spellEnd"/>
            <w:r w:rsidRPr="00A53C63">
              <w:rPr>
                <w:rFonts w:ascii="Arial" w:eastAsia="Calibri" w:hAnsi="Arial" w:cs="Arial"/>
                <w:sz w:val="20"/>
                <w:szCs w:val="20"/>
              </w:rPr>
              <w:t xml:space="preserve"> – FADN), ki so namenjena vodenju knjigovodstva v zvezi z opravljanjem osnovne kmetijske in osnovne gozdarske dejavnosti;</w:t>
            </w:r>
          </w:p>
          <w:p w14:paraId="09DE692E" w14:textId="4B01C374"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lastRenderedPageBreak/>
              <w:t>8. dohodek kmečkega gospodinjstva od uporabe do 40 čebeljih panjev. Oprostitev se prizna tako, da se davčna osnova od potencialnih tržnih dohodkov čebelarstva zniža za delež, ugotovljen iz razmerja med številom oproščenih panjev in skupnim številom panjev v uporabi članov kmečkega gospodinjstva;</w:t>
            </w:r>
          </w:p>
          <w:p w14:paraId="3475BE9D" w14:textId="0EF7BB69" w:rsidR="00C45F29" w:rsidRPr="00A53C63"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9. dohodek od malega obsega prve stopnje predelave lastnih kmetijskih in gozdarskih pridelkov, kot je določen z osmim odstavkom 69. člena tega zakona;</w:t>
            </w:r>
          </w:p>
          <w:p w14:paraId="241E49A7" w14:textId="77777777" w:rsidR="00C45F29" w:rsidRDefault="00C45F29" w:rsidP="00C45F29">
            <w:pPr>
              <w:spacing w:after="0" w:line="276" w:lineRule="auto"/>
              <w:jc w:val="both"/>
              <w:rPr>
                <w:rFonts w:ascii="Arial" w:eastAsia="Calibri" w:hAnsi="Arial" w:cs="Arial"/>
                <w:sz w:val="20"/>
                <w:szCs w:val="20"/>
              </w:rPr>
            </w:pPr>
            <w:r w:rsidRPr="00A53C63">
              <w:rPr>
                <w:rFonts w:ascii="Arial" w:eastAsia="Calibri" w:hAnsi="Arial" w:cs="Arial"/>
                <w:sz w:val="20"/>
                <w:szCs w:val="20"/>
              </w:rPr>
              <w:t>10.  dohodek od proizvodnje vina iz lastnega pridelka grozdja, če imajo člani kmečkega gospodinjstva v lasti ali uporabi manj kot 0,3 ha vinograda.</w:t>
            </w:r>
          </w:p>
          <w:p w14:paraId="3EDCBEFD" w14:textId="77777777" w:rsidR="00FE4C22" w:rsidRPr="00FE4C22" w:rsidRDefault="00FE4C22" w:rsidP="00FE4C22">
            <w:pPr>
              <w:spacing w:after="0" w:line="276" w:lineRule="auto"/>
              <w:jc w:val="both"/>
              <w:rPr>
                <w:rFonts w:ascii="Arial" w:eastAsia="Calibri" w:hAnsi="Arial" w:cs="Arial"/>
                <w:sz w:val="20"/>
                <w:szCs w:val="20"/>
              </w:rPr>
            </w:pPr>
          </w:p>
          <w:p w14:paraId="3597D67D" w14:textId="77777777" w:rsidR="00FE4C22" w:rsidRPr="00FE4C22" w:rsidRDefault="00FE4C22" w:rsidP="00FE4C22">
            <w:pPr>
              <w:spacing w:after="0" w:line="276" w:lineRule="auto"/>
              <w:jc w:val="center"/>
              <w:rPr>
                <w:rFonts w:ascii="Arial" w:eastAsia="Calibri" w:hAnsi="Arial" w:cs="Arial"/>
                <w:b/>
                <w:bCs/>
                <w:sz w:val="20"/>
                <w:szCs w:val="20"/>
              </w:rPr>
            </w:pPr>
            <w:r w:rsidRPr="00FE4C22">
              <w:rPr>
                <w:rFonts w:ascii="Arial" w:eastAsia="Calibri" w:hAnsi="Arial" w:cs="Arial"/>
                <w:b/>
                <w:bCs/>
                <w:sz w:val="20"/>
                <w:szCs w:val="20"/>
              </w:rPr>
              <w:t>44. člen</w:t>
            </w:r>
          </w:p>
          <w:p w14:paraId="7AF70609" w14:textId="77777777" w:rsidR="00FE4C22" w:rsidRPr="00FE4C22" w:rsidRDefault="00FE4C22" w:rsidP="00FE4C22">
            <w:pPr>
              <w:spacing w:after="0" w:line="276" w:lineRule="auto"/>
              <w:jc w:val="center"/>
              <w:rPr>
                <w:rFonts w:ascii="Arial" w:eastAsia="Calibri" w:hAnsi="Arial" w:cs="Arial"/>
                <w:b/>
                <w:bCs/>
                <w:sz w:val="20"/>
                <w:szCs w:val="20"/>
              </w:rPr>
            </w:pPr>
            <w:r w:rsidRPr="00FE4C22">
              <w:rPr>
                <w:rFonts w:ascii="Arial" w:eastAsia="Calibri" w:hAnsi="Arial" w:cs="Arial"/>
                <w:b/>
                <w:bCs/>
                <w:sz w:val="20"/>
                <w:szCs w:val="20"/>
              </w:rPr>
              <w:t>(dohodek iz delovnega razmerja, ki se ne všteva  v davčno osnovo)</w:t>
            </w:r>
          </w:p>
          <w:p w14:paraId="71AF6ED1" w14:textId="77777777" w:rsidR="00FE4C22" w:rsidRPr="00FE4C22" w:rsidRDefault="00FE4C22" w:rsidP="00FE4C22">
            <w:pPr>
              <w:spacing w:after="0" w:line="276" w:lineRule="auto"/>
              <w:jc w:val="both"/>
              <w:rPr>
                <w:rFonts w:ascii="Arial" w:eastAsia="Calibri" w:hAnsi="Arial" w:cs="Arial"/>
                <w:sz w:val="20"/>
                <w:szCs w:val="20"/>
              </w:rPr>
            </w:pPr>
          </w:p>
          <w:p w14:paraId="723B4953" w14:textId="77777777"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(1) V davčno osnovo dohodka iz delovnega razmerja se ne vštevajo:</w:t>
            </w:r>
          </w:p>
          <w:p w14:paraId="24A909FB" w14:textId="48EC8CB0"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1. obvezni prispevki za socialno varnost, ki jih je na podlagi posebnih predpisov dolžan plačevati delodajalec;</w:t>
            </w:r>
          </w:p>
          <w:p w14:paraId="44FFA8A3" w14:textId="6C41F4B9"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2. premije prostovoljnega dodatnega pokojninskega in invalidskega zavarovanja, ki jih za račun delojemalca zavarovanca plačuje delodajalec izvajalcu pokojninskega načrta s sedežem v Sloveniji ali v drugi državi članici EU, po pokojninskem načrtu, ki je odobren in vpisan v poseben register v skladu s predpisi, ki urejajo prostovoljno dodatno pokojninsko in invalidsko zavarovanje, vendar največ do zneska, ki je enak 24% obveznih prispevkov za pokojninsko in invalidsko zavarovanje za delojemalca – zavarovanca in ne več kot 2.390 eurov letno. Glede uskladitve premije, ki se ne všteva v davčno osnovo in načina objave usklajenih zneskov premije, se uporablja 118. člen tega zakona;</w:t>
            </w:r>
          </w:p>
          <w:p w14:paraId="43B00037" w14:textId="7D199C14"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3. povračila stroškov v zvezi z delom, kot so prehrana med delom, stroški prevoza na delo in z dela in terenski dodatek, pod pogoji in do višin, ki jih določi vlada, nadomestilo za ločeno življenje do višine, ki jo določi vlada, ter mesečni pavšalni znesek za pokrivanje stroškov pri opravljanju funkcije v zvezi z delom v volilni enoti v skladu z zakonom, ki ureja poslance;</w:t>
            </w:r>
          </w:p>
          <w:p w14:paraId="289AC306" w14:textId="1EA1F5A6"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4. povračila stroškov v zvezi s službenim potovanjem, kot so:</w:t>
            </w:r>
          </w:p>
          <w:p w14:paraId="167175BF" w14:textId="3750F20F"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a) dnevnica,</w:t>
            </w:r>
          </w:p>
          <w:p w14:paraId="4A4B2604" w14:textId="4117BF67"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b) povračilo stroškov prevoza vključno s povračilom stroškov za uporabo delojemalčevega osebnega vozila za službene namene (kilometrina),</w:t>
            </w:r>
          </w:p>
          <w:p w14:paraId="17A0117B" w14:textId="3F4FAAD3"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c) povračilo stroškov za prenočišče,</w:t>
            </w:r>
          </w:p>
          <w:p w14:paraId="0026A15A" w14:textId="77777777"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pod pogoji in do višin, ki jih določi vlada. Povračilo stroškov po tej točki se lahko določi ločeno ali v skupnih zneskih;</w:t>
            </w:r>
          </w:p>
          <w:p w14:paraId="16811E56" w14:textId="6E59486D"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4.a povračilo stroškov delojemalcu za plačane premije za individualno zdravstveno zavarovanje z medicinsko asistenco v tujini, kadar gre za zavarovanje, ki velja v vseh državah sveta, in kadar:</w:t>
            </w:r>
          </w:p>
          <w:p w14:paraId="2243D93D" w14:textId="723C6D63"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 je sklenitev takega zavarovanja vezana le na opravljanje službenih nalog na službenem potovanju v tujini ali začasni napotitvi na delo v tujino,</w:t>
            </w:r>
          </w:p>
          <w:p w14:paraId="193E8F70" w14:textId="133D6F78"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 je povračilo stroškov sklenitve takega zavarovanja na voljo vsem delojemalcem, ki službeno potujejo v tujino ali so začasno napoteni na delo v tujino, in</w:t>
            </w:r>
          </w:p>
          <w:p w14:paraId="074736EB" w14:textId="36EA15DA"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 tako zavarovanje krije nujno pomoč, prevoze in storitve (zavarovanje je sklenjeno za najnižji obseg tveganja/pravic oziroma najnižjo višino kritja);</w:t>
            </w:r>
          </w:p>
          <w:p w14:paraId="2AE24C79" w14:textId="4D551C12"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4.b povračila stroškov v zvezi z začasno napotitvijo na delo v tujino:</w:t>
            </w:r>
          </w:p>
          <w:p w14:paraId="7E1C99F0" w14:textId="5522AA24"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 povračilo stroškov prehrane za vsak delovni dan v času napotitve:</w:t>
            </w:r>
          </w:p>
          <w:p w14:paraId="065DC815" w14:textId="6D5356CE"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a) ki traja neprekinjeno do največ 30 dni ali 90 dni za napotene, ki opravljajo poklic voznika v mednarodnem cestnem prometu, do višine in pod pogoji, določenimi v skladu s 4. točko prvega odstavka tega člena za povračilo stroškov prehrane na službeni poti,</w:t>
            </w:r>
          </w:p>
          <w:p w14:paraId="3ED9D467" w14:textId="031C04EF"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b) ki traja neprekinjeno nad 30 dni ali 90 dni za napotene, ki opravljajo poklic voznika v mednarodnem cestnem prometu, do višine in pod pogoji, določenimi v skladu s 3. točko prvega odstavka tega člena za povračilo stroškov prehrane med delom, povečane za 80 % glede na višino, ki jo določi vlada;</w:t>
            </w:r>
          </w:p>
          <w:p w14:paraId="7D6592A7" w14:textId="17259C62"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 povračilo stroškov prevoza vključno s povračilom stroškov za uporabo delojemalčevega osebnega vozila za službene namene (kilometrina):</w:t>
            </w:r>
          </w:p>
          <w:p w14:paraId="7E4097C0" w14:textId="2BAA6238"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lastRenderedPageBreak/>
              <w:t>a)</w:t>
            </w:r>
            <w:r w:rsidR="00967D6D">
              <w:rPr>
                <w:rFonts w:ascii="Arial" w:eastAsia="Calibri" w:hAnsi="Arial" w:cs="Arial"/>
                <w:sz w:val="20"/>
                <w:szCs w:val="20"/>
              </w:rPr>
              <w:t xml:space="preserve"> </w:t>
            </w:r>
            <w:r w:rsidRPr="00FE4C22">
              <w:rPr>
                <w:rFonts w:ascii="Arial" w:eastAsia="Calibri" w:hAnsi="Arial" w:cs="Arial"/>
                <w:sz w:val="20"/>
                <w:szCs w:val="20"/>
              </w:rPr>
              <w:t>za prevoz med običajnim prebivališčem v času napotitve in mestom opravljanja dela v kraju napotitve do višine in pod pogoji, določenimi v skladu s 3. točko prvega odstavka tega člena za povračilo stroškov prevoza na delo in z dela,</w:t>
            </w:r>
          </w:p>
          <w:p w14:paraId="24E4ACF1" w14:textId="47B090CF"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b) za prevoz v kraj napotitve ob začetku napotitve in za prevoz iz kraja napotitve ob koncu napotitve do višine in pod pogoji, določenimi v skladu s 4. točko prvega odstavka tega člena za povračilo stroškov prevoza na službenem potovanju;</w:t>
            </w:r>
          </w:p>
          <w:p w14:paraId="59A473B9" w14:textId="5BB03A80"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 povračilo stroškov za prenočišče na začasni napotitvi, ki traja neprekinjeno do največ 90 dni, do višine in pod pogoji, določenimi v skladu s 4. točko prvega odstavka tega člena za povračilo stroškov za prenočišče na službeni poti, pri čemer se izključuje uporaba 3. točke prvega odstavka tega člena v zvezi s povračilom stroškov za prenočišče.</w:t>
            </w:r>
          </w:p>
          <w:p w14:paraId="17278A16" w14:textId="2A787352"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5. vrednost uniform in osebnih zaščitnih delovnih sredstev, vključno s stroški za njihovo vzdrževanje, pod pogojem, da so določene s posebnimi predpisi;</w:t>
            </w:r>
          </w:p>
          <w:p w14:paraId="24FAC72A" w14:textId="5F8820C8"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6. nadomestilo za uporabo lastnega orodja, naprav in predmetov (razen osebnih vozil), potrebnih za opravljanje dela na delovnem mestu, pod pogojem, da so določena s posebnimi predpisi ali na podlagi kolektivne pogodbe oziroma notranjega akta delodajalca, da gre za sredstva, ki so značilna, nujna in običajna za opravljanje določenega dela, in pod pogojem, da je delodajalec določil navedeno nadomestilo na podlagi izračuna realnih stroškov in zato le-ta predstavlja utemeljen in razumen znesek – do višine 2% mesečne plače delojemalca, vendar ne več kot do višine 2% povprečne mesečne plače zaposlenih v Sloveniji;</w:t>
            </w:r>
          </w:p>
          <w:p w14:paraId="6BF027CF" w14:textId="5360ACD6"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7. jubilejna nagrada za skupno delovno dobo ali za skupno delovno dobo pri zadnjem delodajalcu, odpravnina ob upokojitvi in enkratna solidarnostna pomoč do višine, ki jo določi vlada;</w:t>
            </w:r>
          </w:p>
          <w:p w14:paraId="24EA56EE" w14:textId="7EFAF07C"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8. plačila vajencem, dijakom in študentom za obvezno praktično delo, do višine, ki jo določi vlada;</w:t>
            </w:r>
          </w:p>
          <w:p w14:paraId="5425742A" w14:textId="1B5FEAB4"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9. odpravnina zaradi odpovedi pogodbe o zaposlitvi, ki je določena kot pravica iz delovnega razmerja in izplačana pod pogoji, ki jih določa zakon, v višini odpravnine, kot je določena zaradi odpovedi pogodbe o zaposlitvi iz poslovnih razlogov ali iz razloga nesposobnosti oziroma iz razlogov, primerljivih poslovnemu razlogu oziroma razlogu nesposobnosti ki jo je delodajalec dolžan izplačati na podlagi zakona, vendar največ do višine desetih povprečnih mesečnih plač zaposlenih v Sloveniji. Za odpravnino iz prejšnjega stavka se ne šteje odpravnina zaradi odpovedi vsake naslednje pogodbe o zaposlitvi pri istem delodajalcu ali pri osebi, ki je z delodajalcem povezana oseba in odpravnina, izplačana delojemalcu, ki je z delodajalcem povezana oseba;</w:t>
            </w:r>
          </w:p>
          <w:p w14:paraId="0E833F41" w14:textId="49BBB875"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10. nadomestilo za uporabo lastnih sredstev pri delu na domu v skladu s predpisi, ki urejajo delovna razmerja, pod pogojem, da je določeno s posebnimi predpisi ali na podlagi kolektivne pogodbe oziroma notranjega akta delodajalca, da gre za sredstva, ki so značilna, nujna in običajna za opravljanje določenega dela, in pod pogojem, da je delodajalec določil navedeno nadomestilo na podlagi izračuna realnih stroškov in zato le-ta predstavlja utemeljen in razumen znesek – do višine 5% mesečne plače delojemalca, vendar ne več kot do višine 5% povprečne mesečne plače zaposlenih v Sloveniji. Dejanske stroške je mogoče uveljavljati na podlagi dokazil;</w:t>
            </w:r>
          </w:p>
          <w:p w14:paraId="1441B45F" w14:textId="41A03BC4"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11. odpravnina zaradi prenehanja pogodbe o zaposlitvi za določen čas, ki je določena kot pravica iz delovnega razmerja in izplačana pod pogoji, ki jih določa zakon, v višini odpravnine, ki jo je delodajalec dolžan izplačati na podlagi zakona, vendar največ do višine treh povprečnih mesečnih plač zaposlenih v Sloveniji. Za odpravnino iz prejšnjega stavka se ne šteje odpravnina zaradi prenehanja vsake naslednje pogodbe o zaposlitvi za določen čas pri istem delodajalcu ali pri osebi, ki je z delodajalcem povezana oseba in odpravnina, izplačana delojemalcu, ki je z delodajalcem povezana oseba;</w:t>
            </w:r>
          </w:p>
          <w:p w14:paraId="2CBB76DF" w14:textId="3B21B12F"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12. plačilo za poslovno uspešnost, izplačano v zvezi z delovnim razmerjem v denarju ali naravi vsem upravičenim delavcem, če je pravica do izplačila za poslovno uspešnost določena v splošnem aktu delodajalca ali kolektivni pogodbi, in sicer do višine 100 % povprečne mesečne plače zaposlenih v Sloveniji oziroma do višine 100 % povprečne mesečne plače delavca, vključno z nadomestili plače, izplačanih za zadnjih 12 mesecev pri delodajalcu, če je to za zavezanca ugodneje;</w:t>
            </w:r>
          </w:p>
          <w:p w14:paraId="668A6C13" w14:textId="16972FE5"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13. regres za letni dopust, ki je določen kot pravica iz delovnega razmerja v skladu z zakonom, ali vsebinsko primerljiv dohodek iz tujine, in sicer do višine 100 % povprečne mesečne plače zaposlenih v Sloveniji.</w:t>
            </w:r>
          </w:p>
          <w:p w14:paraId="102ED89C" w14:textId="77777777"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lastRenderedPageBreak/>
              <w:t>(2) Pri določanju višin povračil stroškov v zvezi z delom in dohodkov, ki jih v skladu s 3., 4., 7. in 8. točko prvega odstavka tega člena določi vlada, se kot podlago upošteva raven posameznih navedenih pravic delojemalcev, določena z zakoni in s kolektivnimi pogodbami na ravni države. Če delodajalec izplačuje navedena povračila stroškov v zvezi z delom in dohodke, ki so višji od zneskov, ki jih za navedena povračila in dohodke določi vlada, se znesek posameznega povračila oziroma dohodka v delu, ki presega znesek, določen s strani vlade, všteva v davčno osnovo dohodka iz delovnega razmerja.</w:t>
            </w:r>
          </w:p>
          <w:p w14:paraId="4299742B" w14:textId="77777777"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(3) Pri določanju zneska povprečne mesečne plače zaposlenih v Sloveniji, navedenega v 6., 9., 10., 11., 12. in 13. točki prvega odstavka tega člena, se upošteva zadnji podatek Statističnega urada Republike Slovenije.</w:t>
            </w:r>
          </w:p>
          <w:p w14:paraId="706B47A3" w14:textId="77777777" w:rsidR="00FE4C22" w:rsidRP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(4) Če delodajalec izplačuje dohodke iz 2., 6., 9., 10., 11., 12. in 13. točke prvega odstavka in drugega odstavka tega člena v višini, ki presega znesek, naveden v navedenih točkah in odstavkih kot neobdavčen, se znesek posameznega dohodka v delu, ki presega znesek, ki je določen kot neobdavčen, všteva v davčno osnovo dohodka iz delovnega razmerja.</w:t>
            </w:r>
          </w:p>
          <w:p w14:paraId="1E6314EF" w14:textId="1A480EC3" w:rsidR="00FE4C22" w:rsidRDefault="00FE4C22" w:rsidP="00FE4C22">
            <w:pPr>
              <w:spacing w:after="0" w:line="276" w:lineRule="auto"/>
              <w:jc w:val="both"/>
              <w:rPr>
                <w:rFonts w:ascii="Arial" w:eastAsia="Calibri" w:hAnsi="Arial" w:cs="Arial"/>
                <w:sz w:val="20"/>
                <w:szCs w:val="20"/>
              </w:rPr>
            </w:pPr>
            <w:r w:rsidRPr="00FE4C22">
              <w:rPr>
                <w:rFonts w:ascii="Arial" w:eastAsia="Calibri" w:hAnsi="Arial" w:cs="Arial"/>
                <w:sz w:val="20"/>
                <w:szCs w:val="20"/>
              </w:rPr>
              <w:t>(5) Za napotene, ki opravljajo poklic voznika v mednarodnem cestnem prometu, se za posamezno napotitev za potrebe 4.b točke prvega odstavka tega člena šteje opravljanje delovnih nalog voznika v mednarodnem cestnem prometu v okviru ene odsotnosti s sedeža delodajalca oziroma drugega mesta delodajalca, na katerem se vozniki pri delodajalcu običajno vključijo v organiziran delovni proces delodajalca.</w:t>
            </w:r>
          </w:p>
          <w:p w14:paraId="596B180B" w14:textId="7C864997" w:rsidR="00517A17" w:rsidRDefault="00517A17" w:rsidP="00FE4C22">
            <w:pPr>
              <w:spacing w:after="0" w:line="276" w:lineRule="auto"/>
              <w:jc w:val="both"/>
              <w:rPr>
                <w:rFonts w:ascii="Arial" w:eastAsia="Calibri" w:hAnsi="Arial" w:cs="Arial"/>
                <w:sz w:val="20"/>
                <w:szCs w:val="20"/>
              </w:rPr>
            </w:pPr>
          </w:p>
          <w:p w14:paraId="06F24617" w14:textId="77777777" w:rsidR="00517A17" w:rsidRPr="00517A17" w:rsidRDefault="00517A17" w:rsidP="00517A17">
            <w:pPr>
              <w:spacing w:after="0" w:line="276" w:lineRule="auto"/>
              <w:jc w:val="center"/>
              <w:rPr>
                <w:rFonts w:ascii="Arial" w:eastAsia="Calibri" w:hAnsi="Arial" w:cs="Arial"/>
                <w:b/>
                <w:bCs/>
                <w:sz w:val="20"/>
                <w:szCs w:val="20"/>
              </w:rPr>
            </w:pPr>
            <w:r w:rsidRPr="00517A17">
              <w:rPr>
                <w:rFonts w:ascii="Arial" w:eastAsia="Calibri" w:hAnsi="Arial" w:cs="Arial"/>
                <w:b/>
                <w:bCs/>
                <w:sz w:val="20"/>
                <w:szCs w:val="20"/>
                <w:lang w:val="x-none"/>
              </w:rPr>
              <w:t>48. člen</w:t>
            </w:r>
          </w:p>
          <w:p w14:paraId="1777A49E" w14:textId="170D7997" w:rsidR="00517A17" w:rsidRDefault="00517A17" w:rsidP="00517A17">
            <w:pPr>
              <w:spacing w:after="0" w:line="276" w:lineRule="auto"/>
              <w:jc w:val="center"/>
              <w:rPr>
                <w:rFonts w:ascii="Arial" w:eastAsia="Calibri" w:hAnsi="Arial" w:cs="Arial"/>
                <w:b/>
                <w:bCs/>
                <w:sz w:val="20"/>
                <w:szCs w:val="20"/>
                <w:lang w:val="x-none"/>
              </w:rPr>
            </w:pPr>
            <w:r w:rsidRPr="00517A17">
              <w:rPr>
                <w:rFonts w:ascii="Arial" w:eastAsia="Calibri" w:hAnsi="Arial" w:cs="Arial"/>
                <w:b/>
                <w:bCs/>
                <w:sz w:val="20"/>
                <w:szCs w:val="20"/>
                <w:lang w:val="x-none"/>
              </w:rPr>
              <w:t>(davčna osnova)</w:t>
            </w:r>
          </w:p>
          <w:p w14:paraId="7AFE5385" w14:textId="77777777" w:rsidR="00517A17" w:rsidRPr="00517A17" w:rsidRDefault="00517A17" w:rsidP="00517A17">
            <w:pPr>
              <w:spacing w:after="0" w:line="276" w:lineRule="auto"/>
              <w:jc w:val="center"/>
              <w:rPr>
                <w:rFonts w:ascii="Arial" w:eastAsia="Calibri" w:hAnsi="Arial" w:cs="Arial"/>
                <w:b/>
                <w:bCs/>
                <w:sz w:val="20"/>
                <w:szCs w:val="20"/>
              </w:rPr>
            </w:pPr>
          </w:p>
          <w:p w14:paraId="63F30714"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(1) Davčna osnova od dohodka iz dejavnosti je dobiček, ki se ugotovi kot razlika med prihodki in odhodki, doseženimi v zvezi z opravljanjem dejavnosti, če ni s tem zakonom drugače določeno.</w:t>
            </w:r>
          </w:p>
          <w:p w14:paraId="7D63879E"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(2) Za ugotavljanje prihodkov in odhodkov se uporabljajo predpisi o obdavčitvi dohodkov pravnih oseb, če ni s tem zakonom drugače določeno.</w:t>
            </w:r>
          </w:p>
          <w:p w14:paraId="6E56B42D"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(3) Zavezanec lahko pri ugotavljanju davčne osnove davčnega leta upošteva normirane odhodke v višini, določeni v 59. členu tega zakona, če priglasi ugotavljanje davčne osnove z upoštevanjem dejanskih prihodkov in normiranih odhodkov v skladu z zakonom, ki ureja davčni postopek, in pod naslednjimi pogoji:</w:t>
            </w:r>
          </w:p>
          <w:p w14:paraId="0F4B2540" w14:textId="2486C3EE"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 xml:space="preserve">- če v davčnem letu pred tem davčnim letom, njegovi prihodki iz dejavnosti, ugotovljeni po pravilih o </w:t>
            </w:r>
            <w:proofErr w:type="spellStart"/>
            <w:r w:rsidRPr="00517A17">
              <w:rPr>
                <w:rFonts w:ascii="Arial" w:eastAsia="Calibri" w:hAnsi="Arial" w:cs="Arial"/>
                <w:sz w:val="20"/>
                <w:szCs w:val="20"/>
                <w:lang w:val="x-none"/>
              </w:rPr>
              <w:t>računovodenju</w:t>
            </w:r>
            <w:proofErr w:type="spellEnd"/>
            <w:r w:rsidRPr="00517A17">
              <w:rPr>
                <w:rFonts w:ascii="Arial" w:eastAsia="Calibri" w:hAnsi="Arial" w:cs="Arial"/>
                <w:sz w:val="20"/>
                <w:szCs w:val="20"/>
                <w:lang w:val="x-none"/>
              </w:rPr>
              <w:t>, ne presegajo 50.000 eurov, ali</w:t>
            </w:r>
          </w:p>
          <w:p w14:paraId="50E0C850" w14:textId="79C6311A"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 xml:space="preserve">- če v davčnem letu pred tem davčnim letom, njegovi prihodki iz dejavnosti, ugotovljeni po pravilih o </w:t>
            </w:r>
            <w:proofErr w:type="spellStart"/>
            <w:r w:rsidRPr="00517A17">
              <w:rPr>
                <w:rFonts w:ascii="Arial" w:eastAsia="Calibri" w:hAnsi="Arial" w:cs="Arial"/>
                <w:sz w:val="20"/>
                <w:szCs w:val="20"/>
                <w:lang w:val="x-none"/>
              </w:rPr>
              <w:t>računovodenju</w:t>
            </w:r>
            <w:proofErr w:type="spellEnd"/>
            <w:r w:rsidRPr="00517A17">
              <w:rPr>
                <w:rFonts w:ascii="Arial" w:eastAsia="Calibri" w:hAnsi="Arial" w:cs="Arial"/>
                <w:sz w:val="20"/>
                <w:szCs w:val="20"/>
                <w:lang w:val="x-none"/>
              </w:rPr>
              <w:t xml:space="preserve">, ne presegajo 100.000 </w:t>
            </w:r>
            <w:proofErr w:type="spellStart"/>
            <w:r w:rsidRPr="00517A17">
              <w:rPr>
                <w:rFonts w:ascii="Arial" w:eastAsia="Calibri" w:hAnsi="Arial" w:cs="Arial"/>
                <w:sz w:val="20"/>
                <w:szCs w:val="20"/>
                <w:lang w:val="x-none"/>
              </w:rPr>
              <w:t>e</w:t>
            </w:r>
            <w:r w:rsidR="00A22AC2">
              <w:rPr>
                <w:rFonts w:ascii="Arial" w:eastAsia="Calibri" w:hAnsi="Arial" w:cs="Arial"/>
                <w:sz w:val="20"/>
                <w:szCs w:val="20"/>
              </w:rPr>
              <w:t>u</w:t>
            </w:r>
            <w:proofErr w:type="spellEnd"/>
            <w:r w:rsidRPr="00517A17">
              <w:rPr>
                <w:rFonts w:ascii="Arial" w:eastAsia="Calibri" w:hAnsi="Arial" w:cs="Arial"/>
                <w:sz w:val="20"/>
                <w:szCs w:val="20"/>
                <w:lang w:val="x-none"/>
              </w:rPr>
              <w:t>rov in je bila pri zavezancu v skladu z zakonom, ki ureja pokojninsko in invalidsko zavarovanje, obvezno zavarovana vsaj ena oseba za polni delovni čas, neprekinjeno najmanj pet mesecev,</w:t>
            </w:r>
          </w:p>
          <w:p w14:paraId="5A718A84"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in ni z drugimi določbami tega člena ali zakonom drugače določeno.</w:t>
            </w:r>
          </w:p>
          <w:p w14:paraId="50DBC18B"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(4) Ne glede na tretji odstavek tega člena, lahko zavezanec, ki je na novo začel z opravljanjem dejavnosti, pri ugotavljanju davčne osnove v prvem davčnem letu in v drugem davčnem letu, če je začel z opravljanjem dejavnosti v zadnjih šestih mesecih prvega davčnega leta, priglasi upoštevanje normiranih odhodkov v višini, določeni v 59. členu tega zakona.</w:t>
            </w:r>
          </w:p>
          <w:p w14:paraId="199CD84D"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(5) Za posamezno kmetijsko in dopolnilno dejavnost se sme v okviru kmečkega gospodinjstva kot zavezanec priglasiti en sam nosilec dejavnosti.</w:t>
            </w:r>
          </w:p>
          <w:p w14:paraId="3122BD8B"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 xml:space="preserve">(6) Ne glede na tretji odstavek tega člena, lahko zavezanec iz drugega odstavka 47. člena tega zakona pri ugotavljanju davčne osnove naslednjega davčnega leta upošteva normirane odhodke v višini, določeni v 59. členu tega zakona, če priglasi ugotavljanje davčne osnove z upoštevanjem dejanskih prihodkov in normiranih odhodkov v skladu z zakonom, ki ureja davčni postopek, in njegovi prihodki iz dejavnosti, ugotovljeni po pravilih o </w:t>
            </w:r>
            <w:proofErr w:type="spellStart"/>
            <w:r w:rsidRPr="00517A17">
              <w:rPr>
                <w:rFonts w:ascii="Arial" w:eastAsia="Calibri" w:hAnsi="Arial" w:cs="Arial"/>
                <w:sz w:val="20"/>
                <w:szCs w:val="20"/>
                <w:lang w:val="x-none"/>
              </w:rPr>
              <w:t>računovodenju</w:t>
            </w:r>
            <w:proofErr w:type="spellEnd"/>
            <w:r w:rsidRPr="00517A17">
              <w:rPr>
                <w:rFonts w:ascii="Arial" w:eastAsia="Calibri" w:hAnsi="Arial" w:cs="Arial"/>
                <w:sz w:val="20"/>
                <w:szCs w:val="20"/>
                <w:lang w:val="x-none"/>
              </w:rPr>
              <w:t xml:space="preserve">, v davčnem letu pred tem davčnim letom, ne presegajo </w:t>
            </w:r>
            <w:r w:rsidRPr="00517A17">
              <w:rPr>
                <w:rFonts w:ascii="Arial" w:eastAsia="Calibri" w:hAnsi="Arial" w:cs="Arial"/>
                <w:sz w:val="20"/>
                <w:szCs w:val="20"/>
              </w:rPr>
              <w:t>10</w:t>
            </w:r>
            <w:r w:rsidRPr="00517A17">
              <w:rPr>
                <w:rFonts w:ascii="Arial" w:eastAsia="Calibri" w:hAnsi="Arial" w:cs="Arial"/>
                <w:sz w:val="20"/>
                <w:szCs w:val="20"/>
                <w:lang w:val="x-none"/>
              </w:rPr>
              <w:t>0.000 eurov na nosilca in na drugega člana kmečkega gospodinjstva, ki je vključen v obvezno pokojninsko in invalidsko zavarovanje kot kmet oziroma član kmečkega gospodarstva, v skladu z zakonom, ki ureja obvezno pokojninsko in invalidsko zavarovanje.</w:t>
            </w:r>
          </w:p>
          <w:p w14:paraId="1CCE407C"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lastRenderedPageBreak/>
              <w:t>(7) Ne glede na šesti odstavek tega člena, lahko zavezanec, ki je na novo priglasil ugotavljanje davčne osnove po drugem odstavku 47. člena tega zakona, pri ugotavljanju davčne osnove v prvem in drugem davčnem letu, priglasi upoštevanje normiranih odhodkov v višini, določeni v 59. členu tega zakona.</w:t>
            </w:r>
          </w:p>
          <w:p w14:paraId="2F8C975C"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(8) Za potrebe določanja višine prihodkov iz tretjega in šestega odstavka tega člena se ne šteje, da je zavezanec na novo začel opravljati dejavnost, če je v 18. mesecih pred priglasitvijo ugotavljanja davčne osnove na podlagi dejanskih prihodkov in normiranih odhodkov:</w:t>
            </w:r>
          </w:p>
          <w:p w14:paraId="3F9774BF" w14:textId="04705B31"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1. ponovno začel opravljati dejavnost, če je prenehal opravljati dejavnost v šestih mesecih pred ponovnim začetkom opravljanja dejavnosti;</w:t>
            </w:r>
          </w:p>
          <w:p w14:paraId="30669270" w14:textId="00BBC246"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2. ustanovil družbo, zavod ali primerljivo osebo po tujem pravu;</w:t>
            </w:r>
          </w:p>
          <w:p w14:paraId="6A0C9E5D" w14:textId="44CD6A70"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3. prišlo do preoblikovanja zavezanca s prenosom dela podjetja na družbo, s pridobitvijo lastniškega deleža, ali fizično osebo, ki opravlja dejavnost, ali</w:t>
            </w:r>
          </w:p>
          <w:p w14:paraId="01244129" w14:textId="6024DACE"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4. začel opravljati dejavnost na podlagi prenosa podjetja ali dela podjetja od druge osebe.</w:t>
            </w:r>
          </w:p>
          <w:p w14:paraId="66E48088"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(9) V prihodke po tretjem in šestem odstavku tega člena se štejejo:</w:t>
            </w:r>
          </w:p>
          <w:p w14:paraId="6723DBEA" w14:textId="19282DDE"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1. v primerih iz osmega odstavka tega člena tudi:</w:t>
            </w:r>
          </w:p>
          <w:p w14:paraId="65B884A2" w14:textId="45394A0F"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 prihodki zavezanca, doseženi pred prenehanjem opravljanja dejavnosti,</w:t>
            </w:r>
          </w:p>
          <w:p w14:paraId="72C538E1" w14:textId="41DB0B8C"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 prihodki družbe, zavoda ali primerljive osebe po tujem pravu,</w:t>
            </w:r>
          </w:p>
          <w:p w14:paraId="1323FD83" w14:textId="0B56DB7F"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 prihodki osebe, ki je prevzela del podjetja zavezanca, in</w:t>
            </w:r>
          </w:p>
          <w:p w14:paraId="66C1421C" w14:textId="1E2F3E40"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 prihodki osebe, ki je prenesla podjetje ali del podjetja na zavezanca,</w:t>
            </w:r>
          </w:p>
          <w:p w14:paraId="1F121CDE"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 xml:space="preserve">doseženi v obdobju iz tretjega in šestega odstavka tega člena, pri čemer se upoštevajo prihodki iz dejavnosti, ugotovljeni po pravilih o </w:t>
            </w:r>
            <w:proofErr w:type="spellStart"/>
            <w:r w:rsidRPr="00517A17">
              <w:rPr>
                <w:rFonts w:ascii="Arial" w:eastAsia="Calibri" w:hAnsi="Arial" w:cs="Arial"/>
                <w:sz w:val="20"/>
                <w:szCs w:val="20"/>
                <w:lang w:val="x-none"/>
              </w:rPr>
              <w:t>računovodenju</w:t>
            </w:r>
            <w:proofErr w:type="spellEnd"/>
            <w:r w:rsidRPr="00517A17">
              <w:rPr>
                <w:rFonts w:ascii="Arial" w:eastAsia="Calibri" w:hAnsi="Arial" w:cs="Arial"/>
                <w:sz w:val="20"/>
                <w:szCs w:val="20"/>
                <w:lang w:val="x-none"/>
              </w:rPr>
              <w:t>, ter</w:t>
            </w:r>
          </w:p>
          <w:p w14:paraId="14EA2B52" w14:textId="606A93FD"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rPr>
              <w:t>2. </w:t>
            </w:r>
            <w:r w:rsidRPr="00517A17">
              <w:rPr>
                <w:rFonts w:ascii="Arial" w:eastAsia="Calibri" w:hAnsi="Arial" w:cs="Arial"/>
                <w:sz w:val="20"/>
                <w:szCs w:val="20"/>
                <w:lang w:val="x-none"/>
              </w:rPr>
              <w:t>prihodki iz dejavnosti povezanih oseb, razen če zavezanec dokaže, da glavni ali eden od glavnih razlogov za shemo poslovanja ni izpolnjevanje pogojev za ugotavljanje davčne osnove z upoštevanjem normiranih odhodkov.</w:t>
            </w:r>
          </w:p>
          <w:p w14:paraId="768CA4E1"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(10) Za del podjetja po tem členu se šteje celota sredstev in obveznosti, ki je s poslovno organizacijskega vidika sposobna samostojno poslovati.</w:t>
            </w:r>
          </w:p>
          <w:p w14:paraId="0C9E3F82"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(11) Zavezanec mora v roku, določenim z zakonom, ki ureja davčni postopek, davčni organ obvestiti o prenehanju ugotavljanja davčne osnove z upoštevanjem normiranih odhodkov. Obvestilo učinkuje od začetka davčnega leta, za katero je davčni zavezanec obvestil davčni organ.</w:t>
            </w:r>
          </w:p>
          <w:p w14:paraId="2DF703C4"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(12) Zavezanec, ki davčnemu organu predloži obvestilo iz enajstega odstavka tega člena, mora za davčno leto ugotavljati davčno osnovo na podlagi dejanskih prihodkov in odhodkov in voditi ustrezne poslovne knjige, evidence in poslovno poročilo, ki jih je dolžan voditi za ugotavljanje davčne osnove na podlagi dejanskih prihodkov in odhodkov.</w:t>
            </w:r>
          </w:p>
          <w:p w14:paraId="7858501D"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(13) Zavezanec mora ugotavljati prihodke iz tretjega ali šestega odstavka tega člena tudi za vsako naslednje davčno leto, za katero želi še naprej ugotavljati davčno osnovo z upoštevanjem dejanskih prihodkov in normiranih odhodkov.</w:t>
            </w:r>
          </w:p>
          <w:p w14:paraId="6F066789"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 xml:space="preserve">(14) Ne glede na dvanajsti odstavek tega člena mora zavezanec, čigar povprečje prihodkov iz dejavnosti, ugotovljenih po pravilih o </w:t>
            </w:r>
            <w:proofErr w:type="spellStart"/>
            <w:r w:rsidRPr="00517A17">
              <w:rPr>
                <w:rFonts w:ascii="Arial" w:eastAsia="Calibri" w:hAnsi="Arial" w:cs="Arial"/>
                <w:sz w:val="20"/>
                <w:szCs w:val="20"/>
                <w:lang w:val="x-none"/>
              </w:rPr>
              <w:t>računovodenju</w:t>
            </w:r>
            <w:proofErr w:type="spellEnd"/>
            <w:r w:rsidRPr="00517A17">
              <w:rPr>
                <w:rFonts w:ascii="Arial" w:eastAsia="Calibri" w:hAnsi="Arial" w:cs="Arial"/>
                <w:sz w:val="20"/>
                <w:szCs w:val="20"/>
                <w:lang w:val="x-none"/>
              </w:rPr>
              <w:t>, dveh zaporednih predhodnih let presega 150.000 eurov, oziroma zavezanec iz šestega odstavka tega člena, čigar povprečje prihodkov dveh zaporednih predhodnih let presega 150.000 eurov na nosilca in na drugega člana kmečkega gospodinjstva, ki je vključen v obvezno pokojninsko in invalidsko zavarovanje kot kmet oziroma član kmečkega gospodinjstva, za davčno leto ugotavljati davčno osnovo na podlagi dejanskih prihodkov in odhodkov in voditi ustrezne poslovne knjige, evidence in poslovno poročilo, ki jih je dolžan voditi za ugotavljanje davčne osnove na podlagi dejanskih prihodkov in odhodkov.</w:t>
            </w:r>
          </w:p>
          <w:p w14:paraId="207A725D" w14:textId="148219ED" w:rsidR="00517A17" w:rsidRDefault="00517A17" w:rsidP="00FE4C22">
            <w:pPr>
              <w:spacing w:after="0" w:line="276" w:lineRule="auto"/>
              <w:jc w:val="both"/>
              <w:rPr>
                <w:rFonts w:ascii="Arial" w:eastAsia="Calibri" w:hAnsi="Arial" w:cs="Arial"/>
                <w:sz w:val="20"/>
                <w:szCs w:val="20"/>
              </w:rPr>
            </w:pPr>
          </w:p>
          <w:p w14:paraId="0DC5933C" w14:textId="77777777" w:rsidR="00517A17" w:rsidRPr="00517A17" w:rsidRDefault="00517A17" w:rsidP="00517A17">
            <w:pPr>
              <w:spacing w:after="0" w:line="276" w:lineRule="auto"/>
              <w:jc w:val="center"/>
              <w:rPr>
                <w:rFonts w:ascii="Arial" w:eastAsia="Calibri" w:hAnsi="Arial" w:cs="Arial"/>
                <w:b/>
                <w:bCs/>
                <w:sz w:val="20"/>
                <w:szCs w:val="20"/>
              </w:rPr>
            </w:pPr>
            <w:r w:rsidRPr="00517A17">
              <w:rPr>
                <w:rFonts w:ascii="Arial" w:eastAsia="Calibri" w:hAnsi="Arial" w:cs="Arial"/>
                <w:b/>
                <w:bCs/>
                <w:sz w:val="20"/>
                <w:szCs w:val="20"/>
                <w:lang w:val="x-none"/>
              </w:rPr>
              <w:t>59. člen</w:t>
            </w:r>
          </w:p>
          <w:p w14:paraId="6FAE2CE0" w14:textId="3A381298" w:rsidR="00517A17" w:rsidRDefault="00517A17" w:rsidP="00517A17">
            <w:pPr>
              <w:spacing w:after="0" w:line="276" w:lineRule="auto"/>
              <w:jc w:val="center"/>
              <w:rPr>
                <w:rFonts w:ascii="Arial" w:eastAsia="Calibri" w:hAnsi="Arial" w:cs="Arial"/>
                <w:b/>
                <w:bCs/>
                <w:sz w:val="20"/>
                <w:szCs w:val="20"/>
                <w:lang w:val="x-none"/>
              </w:rPr>
            </w:pPr>
            <w:r w:rsidRPr="00517A17">
              <w:rPr>
                <w:rFonts w:ascii="Arial" w:eastAsia="Calibri" w:hAnsi="Arial" w:cs="Arial"/>
                <w:b/>
                <w:bCs/>
                <w:sz w:val="20"/>
                <w:szCs w:val="20"/>
                <w:lang w:val="x-none"/>
              </w:rPr>
              <w:t>(normirani odhodki)</w:t>
            </w:r>
          </w:p>
          <w:p w14:paraId="142E13E8" w14:textId="77777777" w:rsidR="00517A17" w:rsidRPr="00517A17" w:rsidRDefault="00517A17" w:rsidP="00517A17">
            <w:pPr>
              <w:spacing w:after="0" w:line="276" w:lineRule="auto"/>
              <w:jc w:val="center"/>
              <w:rPr>
                <w:rFonts w:ascii="Arial" w:eastAsia="Calibri" w:hAnsi="Arial" w:cs="Arial"/>
                <w:b/>
                <w:bCs/>
                <w:sz w:val="20"/>
                <w:szCs w:val="20"/>
              </w:rPr>
            </w:pPr>
          </w:p>
          <w:p w14:paraId="07FC838A"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 xml:space="preserve">(1) Pri ugotavljanju davčne osnove zavezanca iz tretjega in četrtega odstavka 48. člena tega zakona, se upoštevajo normirani odhodki v višini </w:t>
            </w:r>
            <w:r w:rsidRPr="00517A17">
              <w:rPr>
                <w:rFonts w:ascii="Arial" w:eastAsia="Calibri" w:hAnsi="Arial" w:cs="Arial"/>
                <w:sz w:val="20"/>
                <w:szCs w:val="20"/>
              </w:rPr>
              <w:t>8</w:t>
            </w:r>
            <w:r w:rsidRPr="00517A17">
              <w:rPr>
                <w:rFonts w:ascii="Arial" w:eastAsia="Calibri" w:hAnsi="Arial" w:cs="Arial"/>
                <w:sz w:val="20"/>
                <w:szCs w:val="20"/>
                <w:lang w:val="x-none"/>
              </w:rPr>
              <w:t>0</w:t>
            </w:r>
            <w:r w:rsidRPr="00517A17">
              <w:rPr>
                <w:rFonts w:ascii="Arial" w:eastAsia="Calibri" w:hAnsi="Arial" w:cs="Arial" w:hint="eastAsia"/>
                <w:sz w:val="20"/>
                <w:szCs w:val="20"/>
                <w:lang w:val="x-none"/>
              </w:rPr>
              <w:t> </w:t>
            </w:r>
            <w:r w:rsidRPr="00517A17">
              <w:rPr>
                <w:rFonts w:ascii="Arial" w:eastAsia="Calibri" w:hAnsi="Arial" w:cs="Arial"/>
                <w:sz w:val="20"/>
                <w:szCs w:val="20"/>
                <w:lang w:val="x-none"/>
              </w:rPr>
              <w:t>% prihodkov</w:t>
            </w:r>
            <w:r w:rsidRPr="00517A17">
              <w:rPr>
                <w:rFonts w:ascii="Arial" w:eastAsia="Calibri" w:hAnsi="Arial" w:cs="Arial"/>
                <w:sz w:val="20"/>
                <w:szCs w:val="20"/>
              </w:rPr>
              <w:t xml:space="preserve">, </w:t>
            </w:r>
            <w:r w:rsidRPr="00517A17">
              <w:rPr>
                <w:rFonts w:ascii="Arial" w:eastAsia="Calibri" w:hAnsi="Arial" w:cs="Arial"/>
                <w:sz w:val="20"/>
                <w:szCs w:val="20"/>
                <w:lang w:val="x-none"/>
              </w:rPr>
              <w:t xml:space="preserve">vendar ne več kot 40.000 eurov, ali 80.000 eurov, če je bila v davčnem letu, za katero se ugotavlja davčna osnova, pri zavezancu v skladu z </w:t>
            </w:r>
            <w:r w:rsidRPr="00517A17">
              <w:rPr>
                <w:rFonts w:ascii="Arial" w:eastAsia="Calibri" w:hAnsi="Arial" w:cs="Arial"/>
                <w:sz w:val="20"/>
                <w:szCs w:val="20"/>
                <w:lang w:val="x-none"/>
              </w:rPr>
              <w:lastRenderedPageBreak/>
              <w:t>zakonom, ki ureja pokojninsko in invalidsko zavarovanje, obvezno zavarovana vsaj ena oseba za polni delovni čas neprekinjeno najmanj pet mesecev.</w:t>
            </w:r>
          </w:p>
          <w:p w14:paraId="7D4F09D7" w14:textId="77777777" w:rsidR="00517A17" w:rsidRPr="00517A17" w:rsidRDefault="00517A17" w:rsidP="00517A17">
            <w:pPr>
              <w:spacing w:after="0" w:line="276" w:lineRule="auto"/>
              <w:jc w:val="both"/>
              <w:rPr>
                <w:rFonts w:ascii="Arial" w:eastAsia="Calibri" w:hAnsi="Arial" w:cs="Arial"/>
                <w:sz w:val="20"/>
                <w:szCs w:val="20"/>
              </w:rPr>
            </w:pPr>
            <w:r w:rsidRPr="00517A17">
              <w:rPr>
                <w:rFonts w:ascii="Arial" w:eastAsia="Calibri" w:hAnsi="Arial" w:cs="Arial"/>
                <w:sz w:val="20"/>
                <w:szCs w:val="20"/>
                <w:lang w:val="x-none"/>
              </w:rPr>
              <w:t>(2) Ne glede na prejšnji odstavek se za zavezance iz šestega odstavka 48. člena tega zakona upoštevajo normirani odhodki ne več kot 80.000 eurov na nosilca in na drugega člana kmečkega gospodinjstva, ki je vključen v obvezno pokojninsko in invalidsko zavarovanje kot kmet oziroma član kmečkega gospodinjstva.</w:t>
            </w:r>
          </w:p>
          <w:p w14:paraId="6155784A" w14:textId="77777777" w:rsidR="00C45F29" w:rsidRDefault="00C45F29" w:rsidP="00A53C63">
            <w:pPr>
              <w:spacing w:after="0" w:line="276" w:lineRule="auto"/>
              <w:jc w:val="both"/>
              <w:rPr>
                <w:rFonts w:ascii="Arial" w:eastAsia="Calibri" w:hAnsi="Arial" w:cs="Arial"/>
                <w:sz w:val="20"/>
                <w:szCs w:val="20"/>
              </w:rPr>
            </w:pPr>
          </w:p>
          <w:p w14:paraId="106206A2" w14:textId="77777777" w:rsidR="006A740C" w:rsidRPr="006A740C" w:rsidRDefault="006A740C" w:rsidP="006A740C">
            <w:pPr>
              <w:spacing w:after="0" w:line="276" w:lineRule="auto"/>
              <w:jc w:val="center"/>
              <w:rPr>
                <w:rFonts w:ascii="Arial" w:eastAsia="Calibri" w:hAnsi="Arial" w:cs="Arial"/>
                <w:b/>
                <w:bCs/>
                <w:sz w:val="20"/>
                <w:szCs w:val="20"/>
              </w:rPr>
            </w:pPr>
            <w:r w:rsidRPr="006A740C">
              <w:rPr>
                <w:rFonts w:ascii="Arial" w:eastAsia="Calibri" w:hAnsi="Arial" w:cs="Arial"/>
                <w:b/>
                <w:bCs/>
                <w:sz w:val="20"/>
                <w:szCs w:val="20"/>
              </w:rPr>
              <w:t>90. člen</w:t>
            </w:r>
          </w:p>
          <w:p w14:paraId="29177B0D" w14:textId="77777777" w:rsidR="006A740C" w:rsidRPr="006A740C" w:rsidRDefault="006A740C" w:rsidP="006A740C">
            <w:pPr>
              <w:spacing w:after="0" w:line="276" w:lineRule="auto"/>
              <w:jc w:val="center"/>
              <w:rPr>
                <w:rFonts w:ascii="Arial" w:eastAsia="Calibri" w:hAnsi="Arial" w:cs="Arial"/>
                <w:b/>
                <w:bCs/>
                <w:sz w:val="20"/>
                <w:szCs w:val="20"/>
              </w:rPr>
            </w:pPr>
            <w:r w:rsidRPr="006A740C">
              <w:rPr>
                <w:rFonts w:ascii="Arial" w:eastAsia="Calibri" w:hAnsi="Arial" w:cs="Arial"/>
                <w:b/>
                <w:bCs/>
                <w:sz w:val="20"/>
                <w:szCs w:val="20"/>
              </w:rPr>
              <w:t>(dividende)</w:t>
            </w:r>
          </w:p>
          <w:p w14:paraId="04D87C04" w14:textId="77777777" w:rsidR="006A740C" w:rsidRPr="006A740C" w:rsidRDefault="006A740C" w:rsidP="006A740C">
            <w:pPr>
              <w:spacing w:after="0" w:line="276" w:lineRule="auto"/>
              <w:jc w:val="both"/>
              <w:rPr>
                <w:rFonts w:ascii="Arial" w:eastAsia="Calibri" w:hAnsi="Arial" w:cs="Arial"/>
                <w:sz w:val="20"/>
                <w:szCs w:val="20"/>
              </w:rPr>
            </w:pPr>
          </w:p>
          <w:p w14:paraId="001A5436"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(1) Dividende po tem poglavju so dividende in drugi dohodki, doseženi na podlagi lastniškega deleža.</w:t>
            </w:r>
          </w:p>
          <w:p w14:paraId="3A6A06A2"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(2) Za lastniški delež po prvem odstavku tega člena se šteje vsak delež, ki ga ima fizična oseba (v nadaljnjem besedilu: imetnik deleža) na podlagi vloženih sredstev v gospodarski družbi, zadrugi in drugih oblikah organiziranja, vključno s premoženjskim vložkom tihega družbenika v podjetje nosilca tihe družbe in premoženjskim vložkom fizične osebe v katerokoli drugo obliko organiziranja, ki ima pretežno naravo lastniškega kapitala (v nadaljnjem besedilu: plačnik).</w:t>
            </w:r>
          </w:p>
          <w:p w14:paraId="14F135EB"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(3) Kot dividenda se po tem poglavju obdavčuje vsaka razdelitev dohodka imetniku deleža iz premoženja plačnika oziroma povezane osebe (po tem zakonu ali zakonu, ki ureja davek od dohodkov pravnih oseb) plačnika na podlagi njegovega lastniškega deleža v plačniku, ki ne predstavlja zmanjšanja njegovega lastniškega deleža, vključno z razdelitvijo v obliki delnic ali zamenljivih obveznic ter pripisom dobička kapitalskemu deležu družbenika. (delno razveljavljen)</w:t>
            </w:r>
          </w:p>
          <w:p w14:paraId="27AA02F5"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(4) Kot dividende se po tem poglavju obdavčuje tudi:</w:t>
            </w:r>
          </w:p>
          <w:p w14:paraId="78B009BF" w14:textId="10720C86"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1. prikrito izplačilo dobička, določeno v zakonu, ki ureja davek od dohodkov pravnih oseb;</w:t>
            </w:r>
          </w:p>
          <w:p w14:paraId="17C0BAB5" w14:textId="5A5E2A42"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2. dobiček, ki se razdeli v zvezi z dolžniškimi vrednostnimi papirji, ki zagotavljajo udeležbo v dobičku plačnika;</w:t>
            </w:r>
          </w:p>
          <w:p w14:paraId="1929E719" w14:textId="4CA8F1BE"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3. dohodek, ki ga zavezanec doseže na podlagi delitve dobička, čistega dobička ali prihodkov investicijskega sklada, ki niso zajeti z 81. členom tega zakona;</w:t>
            </w:r>
          </w:p>
          <w:p w14:paraId="6C9B5B8F" w14:textId="4A05B812"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4. vrednost vrnjenega naknadnega vplačila družbeniku, ki ga je vplačal po ustanovitvi družbe v skladu z določili družbene pogodbe, v delu, ki presega vplačano vrednost. Če naknadnega vplačila družbenik ni vplačal in je pravico do njegovega vračila pridobil s pridobitvijo deleža, se obdavčuje vrednost vrnjenega naknadnega vplačila družbeniku, v delu, ki presega:</w:t>
            </w:r>
          </w:p>
          <w:p w14:paraId="6B214BD1" w14:textId="58735863"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 vplačano vrednost naknadnega vplačila ali</w:t>
            </w:r>
          </w:p>
          <w:p w14:paraId="319BB630" w14:textId="5C12C39A"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 nabavno vrednost pridobljenega deleža, kadar je ta manjša od vplačane vrednosti naknadnega vplačila;</w:t>
            </w:r>
          </w:p>
          <w:p w14:paraId="60116423" w14:textId="18EB4DDA" w:rsidR="00FE4C22"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5. dodatno naknadno izplačilo zavezancu, ki je odsvojil delež iz III.6.3. poglavja tega zakona, v zvezi z odsvojitvijo deleža, ki ga izplača pridobitelj deleža in je odvisno od meril uspešnosti poslovanja družbe v prihodnosti, določenih v pogodbi o odsvojitvi deleža.</w:t>
            </w:r>
          </w:p>
          <w:p w14:paraId="0AEE27AF" w14:textId="77777777" w:rsidR="009251B4" w:rsidRDefault="009251B4" w:rsidP="006A740C">
            <w:pPr>
              <w:spacing w:after="0" w:line="276" w:lineRule="auto"/>
              <w:jc w:val="both"/>
              <w:rPr>
                <w:rFonts w:ascii="Arial" w:eastAsia="Calibri" w:hAnsi="Arial" w:cs="Arial"/>
                <w:sz w:val="20"/>
                <w:szCs w:val="20"/>
              </w:rPr>
            </w:pPr>
          </w:p>
          <w:p w14:paraId="29106A7B" w14:textId="77777777" w:rsidR="000255DD" w:rsidRPr="000255DD" w:rsidRDefault="000255DD" w:rsidP="000255DD">
            <w:pPr>
              <w:spacing w:after="0" w:line="276" w:lineRule="auto"/>
              <w:jc w:val="center"/>
              <w:rPr>
                <w:rFonts w:ascii="Arial" w:eastAsia="Calibri" w:hAnsi="Arial" w:cs="Arial"/>
                <w:b/>
                <w:bCs/>
                <w:sz w:val="20"/>
                <w:szCs w:val="20"/>
              </w:rPr>
            </w:pPr>
            <w:r w:rsidRPr="000255DD">
              <w:rPr>
                <w:rFonts w:ascii="Arial" w:eastAsia="Calibri" w:hAnsi="Arial" w:cs="Arial"/>
                <w:b/>
                <w:bCs/>
                <w:sz w:val="20"/>
                <w:szCs w:val="20"/>
                <w:lang w:val="x-none"/>
              </w:rPr>
              <w:t>101. člen</w:t>
            </w:r>
          </w:p>
          <w:p w14:paraId="75D1A92D" w14:textId="22C14502" w:rsidR="000255DD" w:rsidRDefault="000255DD" w:rsidP="000255DD">
            <w:pPr>
              <w:spacing w:after="0" w:line="276" w:lineRule="auto"/>
              <w:jc w:val="center"/>
              <w:rPr>
                <w:rFonts w:ascii="Arial" w:eastAsia="Calibri" w:hAnsi="Arial" w:cs="Arial"/>
                <w:b/>
                <w:bCs/>
                <w:sz w:val="20"/>
                <w:szCs w:val="20"/>
                <w:lang w:val="x-none"/>
              </w:rPr>
            </w:pPr>
            <w:r w:rsidRPr="000255DD">
              <w:rPr>
                <w:rFonts w:ascii="Arial" w:eastAsia="Calibri" w:hAnsi="Arial" w:cs="Arial"/>
                <w:b/>
                <w:bCs/>
                <w:sz w:val="20"/>
                <w:szCs w:val="20"/>
                <w:lang w:val="x-none"/>
              </w:rPr>
              <w:t>(čas pridobitve kapitala)</w:t>
            </w:r>
          </w:p>
          <w:p w14:paraId="6B811505" w14:textId="77777777" w:rsidR="000255DD" w:rsidRPr="000255DD" w:rsidRDefault="000255DD" w:rsidP="000255DD">
            <w:pPr>
              <w:spacing w:after="0" w:line="276" w:lineRule="auto"/>
              <w:jc w:val="center"/>
              <w:rPr>
                <w:rFonts w:ascii="Arial" w:eastAsia="Calibri" w:hAnsi="Arial" w:cs="Arial"/>
                <w:b/>
                <w:bCs/>
                <w:sz w:val="20"/>
                <w:szCs w:val="20"/>
              </w:rPr>
            </w:pPr>
          </w:p>
          <w:p w14:paraId="075421E8" w14:textId="77777777" w:rsidR="000255DD" w:rsidRPr="000255DD" w:rsidRDefault="000255DD" w:rsidP="000255DD">
            <w:pPr>
              <w:spacing w:after="0" w:line="276" w:lineRule="auto"/>
              <w:jc w:val="both"/>
              <w:rPr>
                <w:rFonts w:ascii="Arial" w:eastAsia="Calibri" w:hAnsi="Arial" w:cs="Arial"/>
                <w:sz w:val="20"/>
                <w:szCs w:val="20"/>
              </w:rPr>
            </w:pPr>
            <w:r w:rsidRPr="000255DD">
              <w:rPr>
                <w:rFonts w:ascii="Arial" w:eastAsia="Calibri" w:hAnsi="Arial" w:cs="Arial"/>
                <w:sz w:val="20"/>
                <w:szCs w:val="20"/>
                <w:lang w:val="x-none"/>
              </w:rPr>
              <w:t>(1) Za čas pridobitve kapitala se šteje datum sklenitve pogodbe ali drugega pravnega posla oziroma datum pravnomočnosti sodne odločbe ali dokončnosti odločbe upravnega organa, na podlagi katerih je fizična oseba pridobila kapital. V drugih primerih pridobitve se za čas pridobitve kapitala šteje datum, ki je razviden iz drugih dokazil.</w:t>
            </w:r>
          </w:p>
          <w:p w14:paraId="41A56CD1" w14:textId="77777777" w:rsidR="000255DD" w:rsidRPr="000255DD" w:rsidRDefault="000255DD" w:rsidP="000255DD">
            <w:pPr>
              <w:spacing w:after="0" w:line="276" w:lineRule="auto"/>
              <w:jc w:val="both"/>
              <w:rPr>
                <w:rFonts w:ascii="Arial" w:eastAsia="Calibri" w:hAnsi="Arial" w:cs="Arial"/>
                <w:sz w:val="20"/>
                <w:szCs w:val="20"/>
              </w:rPr>
            </w:pPr>
            <w:r w:rsidRPr="000255DD">
              <w:rPr>
                <w:rFonts w:ascii="Arial" w:eastAsia="Calibri" w:hAnsi="Arial" w:cs="Arial"/>
                <w:sz w:val="20"/>
                <w:szCs w:val="20"/>
                <w:lang w:val="x-none"/>
              </w:rPr>
              <w:t>(2) Kadar se nepremičnina pridobi z graditvijo, ki jo izvaja zavezanec sam, se za čas pridobitve šteje datum izdaje gradbenega dovoljenja. V primeru pridobitve nepremičnine z graditvijo, ki jo po pogodbi za zavezanca izvaja druga oseba, se za čas pridobitve šteje datum sklenitve pogodbe med zavezancem in izvajalcem. Če zavezanec v času dveh let od podpisa pogodbe ne prevzame zgrajene nepremičnine, se za čas pridobitve šteje datum dejanskega prevzema zgrajene nepremičnine.</w:t>
            </w:r>
          </w:p>
          <w:p w14:paraId="024C55DC" w14:textId="77777777" w:rsidR="000255DD" w:rsidRPr="000255DD" w:rsidRDefault="000255DD" w:rsidP="000255DD">
            <w:pPr>
              <w:spacing w:after="0" w:line="276" w:lineRule="auto"/>
              <w:jc w:val="both"/>
              <w:rPr>
                <w:rFonts w:ascii="Arial" w:eastAsia="Calibri" w:hAnsi="Arial" w:cs="Arial"/>
                <w:sz w:val="20"/>
                <w:szCs w:val="20"/>
              </w:rPr>
            </w:pPr>
            <w:r w:rsidRPr="000255DD">
              <w:rPr>
                <w:rFonts w:ascii="Arial" w:eastAsia="Calibri" w:hAnsi="Arial" w:cs="Arial"/>
                <w:sz w:val="20"/>
                <w:szCs w:val="20"/>
                <w:lang w:val="x-none"/>
              </w:rPr>
              <w:t>(3) Kadar se odsvoji objekt, ki stoji na zemljišču, katerega čas pridobitve ni enak času pridobitve objekta, se kot čas pridobitve objekta in zemljišča šteje čas pridobitve objekta.</w:t>
            </w:r>
          </w:p>
          <w:p w14:paraId="45869AC9" w14:textId="77777777" w:rsidR="000255DD" w:rsidRPr="000255DD" w:rsidRDefault="000255DD" w:rsidP="000255DD">
            <w:pPr>
              <w:spacing w:after="0" w:line="276" w:lineRule="auto"/>
              <w:jc w:val="both"/>
              <w:rPr>
                <w:rFonts w:ascii="Arial" w:eastAsia="Calibri" w:hAnsi="Arial" w:cs="Arial"/>
                <w:sz w:val="20"/>
                <w:szCs w:val="20"/>
              </w:rPr>
            </w:pPr>
            <w:r w:rsidRPr="000255DD">
              <w:rPr>
                <w:rFonts w:ascii="Arial" w:eastAsia="Calibri" w:hAnsi="Arial" w:cs="Arial"/>
                <w:sz w:val="20"/>
                <w:szCs w:val="20"/>
                <w:lang w:val="x-none"/>
              </w:rPr>
              <w:lastRenderedPageBreak/>
              <w:t>(4) Kadar je zavezanec kapital pridobil kot ena od oseb, ki imajo solastninsko pravico na kapitalu ali imajo na njem skupno lastnino, in se tak kapital pozneje razdeli, se za čas pridobitve kapitala, ki mu pripade na podlagi delitve, šteje čas, ko je na kapitalu pridobil solastninsko pravico oziroma ko je kapital pridobil v skupno lastnino. Če zavezanec ob razdelitvi prejme kapital v obsegu, ki presega del, ki bi mu pripadal iz solastništva ali skupne lastnine, se za čas pridobitve presežnega dela šteje čas razdelitve.</w:t>
            </w:r>
          </w:p>
          <w:p w14:paraId="57ECDDE6" w14:textId="77777777" w:rsidR="000255DD" w:rsidRPr="000255DD" w:rsidRDefault="000255DD" w:rsidP="000255DD">
            <w:pPr>
              <w:spacing w:after="0" w:line="276" w:lineRule="auto"/>
              <w:jc w:val="both"/>
              <w:rPr>
                <w:rFonts w:ascii="Arial" w:eastAsia="Calibri" w:hAnsi="Arial" w:cs="Arial"/>
                <w:sz w:val="20"/>
                <w:szCs w:val="20"/>
              </w:rPr>
            </w:pPr>
            <w:r w:rsidRPr="000255DD">
              <w:rPr>
                <w:rFonts w:ascii="Arial" w:eastAsia="Calibri" w:hAnsi="Arial" w:cs="Arial"/>
                <w:sz w:val="20"/>
                <w:szCs w:val="20"/>
                <w:lang w:val="x-none"/>
              </w:rPr>
              <w:t>(5) Kadar je zavezanec kapital pridobil na način iz prvega stavka petega odstavka 98. člena tega zakona se za čas pridobitve šteje čas prenosa sredstev iz podjetja zavezanca v njegovo gospodinjstvo oziroma čas prenehanja opravljanja dejavnosti. Kadar zavezanec pridobi kapital iz 2. in 3. točke 93. člena tega zakona v okviru opravljanja dejavnosti iz III.3. poglavja tega zakona in se dohodki iz takega kapitala v skladu s 54. členom tega zakona izključujejo iz dohodkov iz dejavnosti, se ne glede na prvi stavek tega odstavka za čas pridobitve takega kapitala šteje čas pridobitve kapitala v podjetje, razen če je kapital prenesen v podjetje zavezanca iz njegovega gospodinjstva; če je kapital prenesen v podjetje zavezanca iz njegovega gospodinjstva, se za čas pridobitve kapitala šteje čas pridobitve kapitala v gospodinjstvo zavezanca.</w:t>
            </w:r>
          </w:p>
          <w:p w14:paraId="028CF332" w14:textId="77777777" w:rsidR="00EF5526" w:rsidRDefault="00EF5526" w:rsidP="00EF5526">
            <w:pPr>
              <w:spacing w:after="0" w:line="276" w:lineRule="auto"/>
              <w:jc w:val="both"/>
              <w:rPr>
                <w:rFonts w:ascii="Arial" w:eastAsia="Calibri" w:hAnsi="Arial" w:cs="Arial"/>
                <w:sz w:val="20"/>
                <w:szCs w:val="20"/>
              </w:rPr>
            </w:pPr>
          </w:p>
          <w:p w14:paraId="413643C8" w14:textId="77777777" w:rsidR="006A740C" w:rsidRPr="006A740C" w:rsidRDefault="006A740C" w:rsidP="006A740C">
            <w:pPr>
              <w:spacing w:after="0" w:line="276" w:lineRule="auto"/>
              <w:jc w:val="center"/>
              <w:rPr>
                <w:rFonts w:ascii="Arial" w:eastAsia="Calibri" w:hAnsi="Arial" w:cs="Arial"/>
                <w:b/>
                <w:bCs/>
                <w:sz w:val="20"/>
                <w:szCs w:val="20"/>
              </w:rPr>
            </w:pPr>
            <w:r w:rsidRPr="006A740C">
              <w:rPr>
                <w:rFonts w:ascii="Arial" w:eastAsia="Calibri" w:hAnsi="Arial" w:cs="Arial"/>
                <w:b/>
                <w:bCs/>
                <w:sz w:val="20"/>
                <w:szCs w:val="20"/>
              </w:rPr>
              <w:t>109. člen</w:t>
            </w:r>
          </w:p>
          <w:p w14:paraId="139E4DD0" w14:textId="77777777" w:rsidR="006A740C" w:rsidRPr="006A740C" w:rsidRDefault="006A740C" w:rsidP="006A740C">
            <w:pPr>
              <w:spacing w:after="0" w:line="276" w:lineRule="auto"/>
              <w:jc w:val="center"/>
              <w:rPr>
                <w:rFonts w:ascii="Arial" w:eastAsia="Calibri" w:hAnsi="Arial" w:cs="Arial"/>
                <w:b/>
                <w:bCs/>
                <w:sz w:val="20"/>
                <w:szCs w:val="20"/>
              </w:rPr>
            </w:pPr>
            <w:r w:rsidRPr="006A740C">
              <w:rPr>
                <w:rFonts w:ascii="Arial" w:eastAsia="Calibri" w:hAnsi="Arial" w:cs="Arial"/>
                <w:b/>
                <w:bCs/>
                <w:sz w:val="20"/>
                <w:szCs w:val="20"/>
              </w:rPr>
              <w:t>(letna davčna osnova rezidenta)</w:t>
            </w:r>
          </w:p>
          <w:p w14:paraId="3B1BE946" w14:textId="77777777" w:rsidR="006A740C" w:rsidRPr="006A740C" w:rsidRDefault="006A740C" w:rsidP="006A740C">
            <w:pPr>
              <w:spacing w:after="0" w:line="276" w:lineRule="auto"/>
              <w:jc w:val="both"/>
              <w:rPr>
                <w:rFonts w:ascii="Arial" w:eastAsia="Calibri" w:hAnsi="Arial" w:cs="Arial"/>
                <w:sz w:val="20"/>
                <w:szCs w:val="20"/>
              </w:rPr>
            </w:pPr>
          </w:p>
          <w:p w14:paraId="38D0EB8F"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(1) Letna davčna osnova od dohodkov rezidenta, pridobljenih v davčnem letu, je vsota davčnih osnov od dohodka iz zaposlitve, dohodka iz dejavnosti, razen dohodka iz dejavnosti, če se davčna osnova od tega dohodka v davčnem letu ugotavlja na podlagi dejanskih prihodkov in normiranih odhodkov, dohodka iz osnovne kmetijske in osnovne gozdarske dejavnosti in iz prenosa premoženjske pravice ter drugih dohodkov, vključno s povečanji in zmanjšanji, določenimi pri posamezni vrsti dohodka. V letno davčno osnovo iz prejšnjega stavka se všteva tudi vsota davčnih osnov od vseh vrst dohodkov iz 1. in 3. točke 131.a člena tega zakona, če se zavezanec rezident tako odloči in s tem seznani davčni organ, na način, določen s tem zakonom.</w:t>
            </w:r>
          </w:p>
          <w:p w14:paraId="3D4E526F"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(2) Ne glede na prvi odstavek tega člena, se letna davčna osnova od dohodkov iz kmetijske in dopolnilne dejavnosti zmanjša tudi za obvezne prispevke za socialno varnost, ki se nanašajo na socialno varnost zavezanca, ki opravlja kmetijsko ali dopolnilno dejavnost na kmetiji, in jih plačuje kot kmet oziroma član kmečkega gospodarstva, v skladu s predpisi, v višini razlike med obveznimi prispevki za socialno varnost, ki jih zavezanec plačuje iz naslova opravljanja kmetijske in dopolnilne dejavnosti in delom obveznih prispevkov za socialno varnost iz tega naslova, ki so upoštevani pri izračunu davčne osnove od osnovne kmetijske in osnovne gozdarske dejavnosti. Razlika iz prejšnjega stavka se prizna v obračunu akontacije dohodnine od dohodka iz dejavnosti.</w:t>
            </w:r>
          </w:p>
          <w:p w14:paraId="75766ABE"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(3) Na letni ravni ugotovljena vsota davčnih osnov, ugotovljenih na način, kot je določen v 71. členu tega zakona, vključno z oprostitvami iz 73. člena tega zakona, se zmanjša za obvezne prispevke za socialno varnost iz naslova opravljanja osnovne kmetijske in osnovne gozdarske dejavnosti, ki se nanašajo na socialno zavarovanje zavezanca, za pristojbine, uvedene s predpisi o gozdovih in za stroške delovanja in vzdrževanja osuševalnih in namakalnih sistemov, določene na podlagi predpisov o kmetijskih zemljiščih.</w:t>
            </w:r>
          </w:p>
          <w:p w14:paraId="59F96427"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(4) Če je na letni ravni ugotovljena davčna osnova iz 71. člena tega zakona negativna, se šteje, da je davčna osnova enaka nič.</w:t>
            </w:r>
          </w:p>
          <w:p w14:paraId="190693F5"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(5) Letna davčna osnova se ob izpolnjevanju pogojev iz 116. člena tega zakona lahko ugotavlja tudi za rezidente držav članic EU oziroma EGP.</w:t>
            </w:r>
          </w:p>
          <w:p w14:paraId="03701FF7"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(6) Ne glede na prvi odstavek tega člena, se v letno davčno osnovo od regresa za letni dopust šteje vsota tega dohodka, ki presega 100 % povprečne letne plače zaposlenih v Sloveniji, preračunane na mesec, za leto, za katero se dohodnina odmerja, po podatkih Statističnega urada Republike Slovenije, zmanjšana za prispevke za socialno varnost, upoštevane pri določanju davčne osnove v skladu z 41. členom tega zakona. V vsoto iz prejšnjega stavka se ne šteje posamezno izplačilo tega dohodka, za katerega niso izpolnjeni pogoji za davčno obravnavo po 13. točki prvega odstavka 44. člena tega zakona.</w:t>
            </w:r>
          </w:p>
          <w:p w14:paraId="79DA622C"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lastRenderedPageBreak/>
              <w:t>(7) Ne glede na prvi odstavek tega člena se v letno davčno osnovo od plačila za poslovno uspešnost všteva vsota tega dohodka, ki:</w:t>
            </w:r>
          </w:p>
          <w:p w14:paraId="5B34D3FB" w14:textId="3B0E128F"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 presega 100 % povprečne letne plače zaposlenih v Sloveniji, preračunane na mesec, za leto, za katero se dohodnina odmerja, po podatkih Statističnega urada Republike Slovenije, zmanjšana za sorazmerni del prispevkov za socialno varnost, ki jih mora na podlagi posebnih predpisov plačevati delavec, glede na delež teh dohodkov, ki se vštevajo v davčno osnovo, ali</w:t>
            </w:r>
          </w:p>
          <w:p w14:paraId="0595239A" w14:textId="57E4E204"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 presega 100 % povprečne mesečne plače delavca, vključno z nadomestili plače, za leto, za katero se dohodnina odmerja, izplačane v letu in v mesecu januarju po letu, za katero se dohodnina odmerja, zmanjšana za sorazmerni del prispevkov za socialno varnost, ki jih mora na podlagi posebnih predpisov plačevati delavec, glede na delež teh dohodkov, ki se vštevajo v davčno osnovo.</w:t>
            </w:r>
          </w:p>
          <w:p w14:paraId="7098A169" w14:textId="61A11AE1" w:rsid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V vsoto iz prejšnjega stavka se ne všteva posamezno izplačilo tega dohodka, za katerega niso izpolnjeni pogoji za davčno obravnavo po 12. točki prvega odstavka 44. člena tega zakona.</w:t>
            </w:r>
          </w:p>
          <w:p w14:paraId="6F00533F" w14:textId="77777777" w:rsidR="006A740C" w:rsidRDefault="006A740C" w:rsidP="00A53C63">
            <w:pPr>
              <w:spacing w:after="0" w:line="276" w:lineRule="auto"/>
              <w:jc w:val="both"/>
              <w:rPr>
                <w:rFonts w:ascii="Arial" w:eastAsia="Calibri" w:hAnsi="Arial" w:cs="Arial"/>
                <w:sz w:val="20"/>
                <w:szCs w:val="20"/>
              </w:rPr>
            </w:pPr>
          </w:p>
          <w:p w14:paraId="0ACF4F94" w14:textId="77777777" w:rsidR="006A740C" w:rsidRPr="006A740C" w:rsidRDefault="006A740C" w:rsidP="006A740C">
            <w:pPr>
              <w:spacing w:after="0" w:line="276" w:lineRule="auto"/>
              <w:jc w:val="center"/>
              <w:rPr>
                <w:rFonts w:ascii="Arial" w:eastAsia="Calibri" w:hAnsi="Arial" w:cs="Arial"/>
                <w:b/>
                <w:bCs/>
                <w:sz w:val="20"/>
                <w:szCs w:val="20"/>
              </w:rPr>
            </w:pPr>
            <w:r w:rsidRPr="006A740C">
              <w:rPr>
                <w:rFonts w:ascii="Arial" w:eastAsia="Calibri" w:hAnsi="Arial" w:cs="Arial"/>
                <w:b/>
                <w:bCs/>
                <w:sz w:val="20"/>
                <w:szCs w:val="20"/>
              </w:rPr>
              <w:t>111. člen</w:t>
            </w:r>
          </w:p>
          <w:p w14:paraId="2278DB15" w14:textId="77777777" w:rsidR="006A740C" w:rsidRPr="006A740C" w:rsidRDefault="006A740C" w:rsidP="006A740C">
            <w:pPr>
              <w:spacing w:after="0" w:line="276" w:lineRule="auto"/>
              <w:jc w:val="center"/>
              <w:rPr>
                <w:rFonts w:ascii="Arial" w:eastAsia="Calibri" w:hAnsi="Arial" w:cs="Arial"/>
                <w:b/>
                <w:bCs/>
                <w:sz w:val="20"/>
                <w:szCs w:val="20"/>
              </w:rPr>
            </w:pPr>
            <w:r w:rsidRPr="006A740C">
              <w:rPr>
                <w:rFonts w:ascii="Arial" w:eastAsia="Calibri" w:hAnsi="Arial" w:cs="Arial"/>
                <w:b/>
                <w:bCs/>
                <w:sz w:val="20"/>
                <w:szCs w:val="20"/>
              </w:rPr>
              <w:t>(splošna olajšava)</w:t>
            </w:r>
          </w:p>
          <w:p w14:paraId="11796E2D" w14:textId="77777777" w:rsidR="006A740C" w:rsidRPr="006A740C" w:rsidRDefault="006A740C" w:rsidP="006A740C">
            <w:pPr>
              <w:spacing w:after="0" w:line="276" w:lineRule="auto"/>
              <w:jc w:val="both"/>
              <w:rPr>
                <w:rFonts w:ascii="Arial" w:eastAsia="Calibri" w:hAnsi="Arial" w:cs="Arial"/>
                <w:sz w:val="20"/>
                <w:szCs w:val="20"/>
              </w:rPr>
            </w:pPr>
          </w:p>
          <w:p w14:paraId="7A847B00"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(1) Vsakemu rezidentu se prizna zmanjšanje letne davčne osnove v višini 7.500 eurov letno, pod pogojem, da drug rezident za njega ne uveljavlja posebne olajšave za vzdrževanega družinskega člana.</w:t>
            </w:r>
          </w:p>
          <w:p w14:paraId="2447BCB4"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(2) (črtan)</w:t>
            </w:r>
          </w:p>
          <w:p w14:paraId="15772935"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(3) Poleg olajšave, določene v prvem odstavku tega člena, se rezidentu, katerega skupni dohodek iz naslova dohodka iz zaposlitve, dohodka iz dejavnosti, razen dohodka iz dejavnosti, če se davčna osnova od tega dohodka ugotavlja na podlagi dejanskih prihodkov in normiranih odhodkov, dohodka iz osnovne kmetijske in osnovne gozdarske dejavnosti in prenosa premoženjske pravice ter drugih dohodkov – razen dohodka, ki je oproščen plačila dohodnine oziroma se ne všteva v davčno osnovo – v letu, za katero se odmerja dohodnina, ne presega 13.316,83 eurov, prizna zmanjšanje letne davčne osnove. Zmanjšanje se prizna v višini, določeni v odvisnosti od višine skupnega dohodka, in se izračuna po enačbi:</w:t>
            </w:r>
          </w:p>
          <w:p w14:paraId="17748FE0" w14:textId="77777777" w:rsidR="006A740C" w:rsidRPr="006A740C" w:rsidRDefault="006A740C" w:rsidP="006A740C">
            <w:pPr>
              <w:spacing w:after="0" w:line="276" w:lineRule="auto"/>
              <w:jc w:val="both"/>
              <w:rPr>
                <w:rFonts w:ascii="Arial" w:eastAsia="Calibri" w:hAnsi="Arial" w:cs="Arial"/>
                <w:sz w:val="20"/>
                <w:szCs w:val="20"/>
              </w:rPr>
            </w:pPr>
          </w:p>
          <w:p w14:paraId="6DC05200" w14:textId="77777777" w:rsidR="006A740C" w:rsidRPr="006A740C" w:rsidRDefault="006A740C" w:rsidP="006A740C">
            <w:pPr>
              <w:spacing w:after="0" w:line="276" w:lineRule="auto"/>
              <w:jc w:val="center"/>
              <w:rPr>
                <w:rFonts w:ascii="Arial" w:eastAsia="Calibri" w:hAnsi="Arial" w:cs="Arial"/>
                <w:sz w:val="20"/>
                <w:szCs w:val="20"/>
              </w:rPr>
            </w:pPr>
            <w:r w:rsidRPr="006A740C">
              <w:rPr>
                <w:rFonts w:ascii="Arial" w:eastAsia="Calibri" w:hAnsi="Arial" w:cs="Arial"/>
                <w:sz w:val="20"/>
                <w:szCs w:val="20"/>
              </w:rPr>
              <w:t>zmanjšanje = 18.700,38 eura – 1,40427 x skupni dohodek.</w:t>
            </w:r>
          </w:p>
          <w:p w14:paraId="0616AABC" w14:textId="77777777" w:rsidR="006A740C" w:rsidRPr="006A740C" w:rsidRDefault="006A740C" w:rsidP="006A740C">
            <w:pPr>
              <w:spacing w:after="0" w:line="276" w:lineRule="auto"/>
              <w:jc w:val="both"/>
              <w:rPr>
                <w:rFonts w:ascii="Arial" w:eastAsia="Calibri" w:hAnsi="Arial" w:cs="Arial"/>
                <w:sz w:val="20"/>
                <w:szCs w:val="20"/>
              </w:rPr>
            </w:pPr>
          </w:p>
          <w:p w14:paraId="2EA0B4F5"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(4) Za dohodek iz dejavnosti iz tretjega odstavka tega člena se šteje dobiček, v katerem niso upoštevani obračunani prispevki za obvezno zavarovanje ter znižanje in povečanje davčne osnove, razen razlike v obrestih.</w:t>
            </w:r>
          </w:p>
          <w:p w14:paraId="6086A358"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(5) Glede uskladitve in načina objave zneskov skupnega dohodka, ki so določeni v tretjem odstavku tega člena, se uporablja 118. člen tega zakona.</w:t>
            </w:r>
          </w:p>
          <w:p w14:paraId="188E1BCB" w14:textId="1F2669D0" w:rsid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(6) V skupni dohodek iz tretjega odstavka tega člena se, če se zavezanec rezident v skladu z drugim stavkom prvega odstavka 109. člena tega zakona odloči za vštevanje dohodkov iz 1. in 3. točke 131.a člena tega zakona v letno davčno osnovo, vštevata tudi dohodka iz 1. in 3. točke 131.a člena tega zakona.</w:t>
            </w:r>
          </w:p>
          <w:p w14:paraId="273BE48D" w14:textId="3FBBB37D" w:rsidR="00B61FD4" w:rsidRDefault="00B61FD4" w:rsidP="006A740C">
            <w:pPr>
              <w:spacing w:after="0" w:line="276" w:lineRule="auto"/>
              <w:jc w:val="both"/>
              <w:rPr>
                <w:rFonts w:ascii="Arial" w:eastAsia="Calibri" w:hAnsi="Arial" w:cs="Arial"/>
                <w:sz w:val="20"/>
                <w:szCs w:val="20"/>
              </w:rPr>
            </w:pPr>
          </w:p>
          <w:p w14:paraId="57D5EF35" w14:textId="77777777" w:rsidR="00B61FD4" w:rsidRPr="00B61FD4" w:rsidRDefault="00B61FD4" w:rsidP="00B61FD4">
            <w:pPr>
              <w:spacing w:after="0" w:line="276" w:lineRule="auto"/>
              <w:jc w:val="center"/>
              <w:rPr>
                <w:rFonts w:ascii="Arial" w:eastAsia="Calibri" w:hAnsi="Arial" w:cs="Arial"/>
                <w:b/>
                <w:bCs/>
                <w:sz w:val="20"/>
                <w:szCs w:val="20"/>
              </w:rPr>
            </w:pPr>
            <w:r w:rsidRPr="00B61FD4">
              <w:rPr>
                <w:rFonts w:ascii="Arial" w:eastAsia="Calibri" w:hAnsi="Arial" w:cs="Arial"/>
                <w:b/>
                <w:bCs/>
                <w:sz w:val="20"/>
                <w:szCs w:val="20"/>
                <w:lang w:val="x-none"/>
              </w:rPr>
              <w:t>113. člen</w:t>
            </w:r>
          </w:p>
          <w:p w14:paraId="4546A732" w14:textId="0C0F4B62" w:rsidR="00B61FD4" w:rsidRDefault="00B61FD4" w:rsidP="00B61FD4">
            <w:pPr>
              <w:spacing w:after="0" w:line="276" w:lineRule="auto"/>
              <w:jc w:val="center"/>
              <w:rPr>
                <w:rFonts w:ascii="Arial" w:eastAsia="Calibri" w:hAnsi="Arial" w:cs="Arial"/>
                <w:b/>
                <w:bCs/>
                <w:sz w:val="20"/>
                <w:szCs w:val="20"/>
                <w:lang w:val="x-none"/>
              </w:rPr>
            </w:pPr>
            <w:r w:rsidRPr="00B61FD4">
              <w:rPr>
                <w:rFonts w:ascii="Arial" w:eastAsia="Calibri" w:hAnsi="Arial" w:cs="Arial"/>
                <w:b/>
                <w:bCs/>
                <w:sz w:val="20"/>
                <w:szCs w:val="20"/>
                <w:lang w:val="x-none"/>
              </w:rPr>
              <w:t>(posebna osebna olajšava)</w:t>
            </w:r>
          </w:p>
          <w:p w14:paraId="41CB980A" w14:textId="77777777" w:rsidR="00B61FD4" w:rsidRPr="00B61FD4" w:rsidRDefault="00B61FD4" w:rsidP="00B61FD4">
            <w:pPr>
              <w:spacing w:after="0" w:line="276" w:lineRule="auto"/>
              <w:jc w:val="center"/>
              <w:rPr>
                <w:rFonts w:ascii="Arial" w:eastAsia="Calibri" w:hAnsi="Arial" w:cs="Arial"/>
                <w:b/>
                <w:bCs/>
                <w:sz w:val="20"/>
                <w:szCs w:val="20"/>
              </w:rPr>
            </w:pPr>
          </w:p>
          <w:p w14:paraId="428910B7" w14:textId="77777777" w:rsidR="00B61FD4" w:rsidRPr="00B61FD4" w:rsidRDefault="00B61FD4" w:rsidP="00B61FD4">
            <w:pPr>
              <w:spacing w:after="0" w:line="276" w:lineRule="auto"/>
              <w:jc w:val="both"/>
              <w:rPr>
                <w:rFonts w:ascii="Arial" w:eastAsia="Calibri" w:hAnsi="Arial" w:cs="Arial"/>
                <w:sz w:val="20"/>
                <w:szCs w:val="20"/>
              </w:rPr>
            </w:pPr>
            <w:r w:rsidRPr="00B61FD4">
              <w:rPr>
                <w:rFonts w:ascii="Arial" w:eastAsia="Calibri" w:hAnsi="Arial" w:cs="Arial"/>
                <w:sz w:val="20"/>
                <w:szCs w:val="20"/>
                <w:lang w:val="x-none"/>
              </w:rPr>
              <w:t>(1) Rezidentu, ki samostojno opravlja specializiran poklic na področju kulturne dejavnosti in je vpisan v razvid samozaposlenih v kulturi, se pod pogojem, da gre za poklic, ki je značilen samo za področje kulturne dejavnosti in pod pogojem, da nima sklenjenega delovnega razmerja in da ne opravlja druge dejavnosti, prizna zmanjšanje davčne osnove od dohodka iz dejavnosti v višini 15% prihodkov letno, do zneska 25.000 eurov njegovih prihodkov iz dejavnosti v letu, za katero se odmerja dohodnina.</w:t>
            </w:r>
          </w:p>
          <w:p w14:paraId="1F53175F" w14:textId="77777777" w:rsidR="00B61FD4" w:rsidRPr="00B61FD4" w:rsidRDefault="00B61FD4" w:rsidP="00B61FD4">
            <w:pPr>
              <w:spacing w:after="0" w:line="276" w:lineRule="auto"/>
              <w:jc w:val="both"/>
              <w:rPr>
                <w:rFonts w:ascii="Arial" w:eastAsia="Calibri" w:hAnsi="Arial" w:cs="Arial"/>
                <w:sz w:val="20"/>
                <w:szCs w:val="20"/>
              </w:rPr>
            </w:pPr>
            <w:r w:rsidRPr="00B61FD4">
              <w:rPr>
                <w:rFonts w:ascii="Arial" w:eastAsia="Calibri" w:hAnsi="Arial" w:cs="Arial"/>
                <w:sz w:val="20"/>
                <w:szCs w:val="20"/>
                <w:lang w:val="x-none"/>
              </w:rPr>
              <w:t xml:space="preserve">(2) Rezidentu, ki samostojno opravlja novinarski poklic in je vpisan v razvid samostojnih novinarjev, se pod pogojem, da nima sklenjenega delovnega razmerja in da ne opravlja druge dejavnosti, prizna </w:t>
            </w:r>
            <w:r w:rsidRPr="00B61FD4">
              <w:rPr>
                <w:rFonts w:ascii="Arial" w:eastAsia="Calibri" w:hAnsi="Arial" w:cs="Arial"/>
                <w:sz w:val="20"/>
                <w:szCs w:val="20"/>
                <w:lang w:val="x-none"/>
              </w:rPr>
              <w:lastRenderedPageBreak/>
              <w:t>zmanjšanje davčne osnove od dohodka iz dejavnosti v višini 15% prihodkov letno, do zneska 25.000 eurov njegovih prihodkov iz dejavnosti v letu, za katero se odmerja dohodnina.</w:t>
            </w:r>
          </w:p>
          <w:p w14:paraId="51B457A6" w14:textId="77777777" w:rsidR="00B61FD4" w:rsidRPr="00B61FD4" w:rsidRDefault="00B61FD4" w:rsidP="00B61FD4">
            <w:pPr>
              <w:spacing w:after="0" w:line="276" w:lineRule="auto"/>
              <w:jc w:val="both"/>
              <w:rPr>
                <w:rFonts w:ascii="Arial" w:eastAsia="Calibri" w:hAnsi="Arial" w:cs="Arial"/>
                <w:sz w:val="20"/>
                <w:szCs w:val="20"/>
              </w:rPr>
            </w:pPr>
            <w:r w:rsidRPr="00B61FD4">
              <w:rPr>
                <w:rFonts w:ascii="Arial" w:eastAsia="Calibri" w:hAnsi="Arial" w:cs="Arial"/>
                <w:sz w:val="20"/>
                <w:szCs w:val="20"/>
                <w:lang w:val="x-none"/>
              </w:rPr>
              <w:t>(3) Rezidentu, ki se izobražuje in ima status dijaka ali študenta, se do dopolnjenega 26. leta starosti prizna zmanjšanje davčne osnove od dohodka za opravljeno začasno ali občasno delo na podlagi napotnice pooblaščene organizacije ali Zavoda Republike Slovenije za zaposlovanje, ki opravlja dejavnost posredovanja dela dijakom in študentom, v skladu s predpisi s področja zaposlovanja, v znesku 3.500 eurov. Navedena olajšava se prizna tudi osebi, ki izpolnjuje pogoje iz prejšnjega stavka in je starejša od 26 let, če se vpiše na študij do 26. leta starosti, in sicer za dodiplomski študij za dobo največ šest let od dneva vpisa in za podiplomski študij za največ štiri leta od dneva vpisa.</w:t>
            </w:r>
          </w:p>
          <w:p w14:paraId="0E9367BB" w14:textId="77777777" w:rsidR="00B61FD4" w:rsidRPr="00B61FD4" w:rsidRDefault="00B61FD4" w:rsidP="00B61FD4">
            <w:pPr>
              <w:spacing w:after="0" w:line="276" w:lineRule="auto"/>
              <w:jc w:val="both"/>
              <w:rPr>
                <w:rFonts w:ascii="Arial" w:eastAsia="Calibri" w:hAnsi="Arial" w:cs="Arial"/>
                <w:sz w:val="20"/>
                <w:szCs w:val="20"/>
              </w:rPr>
            </w:pPr>
            <w:r w:rsidRPr="00B61FD4">
              <w:rPr>
                <w:rFonts w:ascii="Arial" w:eastAsia="Calibri" w:hAnsi="Arial" w:cs="Arial"/>
                <w:sz w:val="20"/>
                <w:szCs w:val="20"/>
                <w:lang w:val="x-none"/>
              </w:rPr>
              <w:t>(4) Rezidentu, ki samostojno opravlja poklic športnika in je vpisan v razvid poklicnih športnikov, se pod pogojem, da nima sklenjenega delovnega razmerja in da ne opravlja druge dejavnosti, prizna zmanjšanje davčne osnove od dohodka iz dejavnosti v višini 15% prihodkov letno, do zneska 25.000 eurov njegovih prihodkov iz dejavnosti v letu, za katero se odmerja dohodnina.</w:t>
            </w:r>
          </w:p>
          <w:p w14:paraId="47FF1E0A" w14:textId="77777777" w:rsidR="00B61FD4" w:rsidRPr="00B61FD4" w:rsidRDefault="00B61FD4" w:rsidP="00B61FD4">
            <w:pPr>
              <w:spacing w:after="0" w:line="276" w:lineRule="auto"/>
              <w:jc w:val="both"/>
              <w:rPr>
                <w:rFonts w:ascii="Arial" w:eastAsia="Calibri" w:hAnsi="Arial" w:cs="Arial"/>
                <w:sz w:val="20"/>
                <w:szCs w:val="20"/>
              </w:rPr>
            </w:pPr>
            <w:r w:rsidRPr="00B61FD4">
              <w:rPr>
                <w:rFonts w:ascii="Arial" w:eastAsia="Calibri" w:hAnsi="Arial" w:cs="Arial"/>
                <w:sz w:val="20"/>
                <w:szCs w:val="20"/>
                <w:lang w:val="x-none"/>
              </w:rPr>
              <w:t>(5) (črtan)</w:t>
            </w:r>
          </w:p>
          <w:p w14:paraId="1EE19A14" w14:textId="77777777" w:rsidR="00B61FD4" w:rsidRDefault="00B61FD4" w:rsidP="006A740C">
            <w:pPr>
              <w:spacing w:after="0" w:line="276" w:lineRule="auto"/>
              <w:jc w:val="both"/>
              <w:rPr>
                <w:rFonts w:ascii="Arial" w:eastAsia="Calibri" w:hAnsi="Arial" w:cs="Arial"/>
                <w:sz w:val="20"/>
                <w:szCs w:val="20"/>
              </w:rPr>
            </w:pPr>
          </w:p>
          <w:p w14:paraId="136A3B91" w14:textId="77777777" w:rsidR="006A740C" w:rsidRPr="006A740C" w:rsidRDefault="006A740C" w:rsidP="006A740C">
            <w:pPr>
              <w:spacing w:after="0" w:line="276" w:lineRule="auto"/>
              <w:jc w:val="center"/>
              <w:rPr>
                <w:rFonts w:ascii="Arial" w:eastAsia="Calibri" w:hAnsi="Arial" w:cs="Arial"/>
                <w:b/>
                <w:bCs/>
                <w:sz w:val="20"/>
                <w:szCs w:val="20"/>
              </w:rPr>
            </w:pPr>
            <w:r w:rsidRPr="006A740C">
              <w:rPr>
                <w:rFonts w:ascii="Arial" w:eastAsia="Calibri" w:hAnsi="Arial" w:cs="Arial"/>
                <w:b/>
                <w:bCs/>
                <w:sz w:val="20"/>
                <w:szCs w:val="20"/>
              </w:rPr>
              <w:t>118. člen</w:t>
            </w:r>
          </w:p>
          <w:p w14:paraId="44728C3F" w14:textId="77777777" w:rsidR="006A740C" w:rsidRPr="006A740C" w:rsidRDefault="006A740C" w:rsidP="006A740C">
            <w:pPr>
              <w:spacing w:after="0" w:line="276" w:lineRule="auto"/>
              <w:jc w:val="center"/>
              <w:rPr>
                <w:rFonts w:ascii="Arial" w:eastAsia="Calibri" w:hAnsi="Arial" w:cs="Arial"/>
                <w:b/>
                <w:bCs/>
                <w:sz w:val="20"/>
                <w:szCs w:val="20"/>
              </w:rPr>
            </w:pPr>
            <w:r w:rsidRPr="006A740C">
              <w:rPr>
                <w:rFonts w:ascii="Arial" w:eastAsia="Calibri" w:hAnsi="Arial" w:cs="Arial"/>
                <w:b/>
                <w:bCs/>
                <w:sz w:val="20"/>
                <w:szCs w:val="20"/>
              </w:rPr>
              <w:t>(uskladitev olajšav)</w:t>
            </w:r>
          </w:p>
          <w:p w14:paraId="797B13FE" w14:textId="77777777" w:rsidR="006A740C" w:rsidRPr="006A740C" w:rsidRDefault="006A740C" w:rsidP="006A740C">
            <w:pPr>
              <w:spacing w:after="0" w:line="276" w:lineRule="auto"/>
              <w:jc w:val="both"/>
              <w:rPr>
                <w:rFonts w:ascii="Arial" w:eastAsia="Calibri" w:hAnsi="Arial" w:cs="Arial"/>
                <w:sz w:val="20"/>
                <w:szCs w:val="20"/>
              </w:rPr>
            </w:pPr>
          </w:p>
          <w:p w14:paraId="01BADF94"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(1) Zneski olajšav, določeni v 111. členu, prvem in osmem odstavku 112. člena, tretjem odstavku 113. člena, prvem in drugem odstavku 114. člena in v prvem odstavku 117. člena tega zakona, se enkrat letno uskladijo s koeficientom rasti cen življenjskih potrebščin v Sloveniji za mesec oktober tekočega leta v primerjavi z mesecem oktobrom prejšnjega leta, po podatkih Statističnega urada Republike Slovenije, če je sprememba rasti cen pozitivna.</w:t>
            </w:r>
          </w:p>
          <w:p w14:paraId="5F861D63" w14:textId="569DFA8B" w:rsid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(2) Usklajene zneske iz prejšnjega odstavka ter enačbo za določitev olajšave iz tretjega odstavka 111. člena tega zakona določi minister, pristojen za finance, najpozneje v decembru tekočega leta za naslednje leto.</w:t>
            </w:r>
          </w:p>
          <w:p w14:paraId="20D368C2" w14:textId="77777777" w:rsidR="006A740C" w:rsidRDefault="006A740C" w:rsidP="00A53C63">
            <w:pPr>
              <w:spacing w:after="0" w:line="276" w:lineRule="auto"/>
              <w:jc w:val="both"/>
              <w:rPr>
                <w:rFonts w:ascii="Arial" w:eastAsia="Calibri" w:hAnsi="Arial" w:cs="Arial"/>
                <w:sz w:val="20"/>
                <w:szCs w:val="20"/>
              </w:rPr>
            </w:pPr>
          </w:p>
          <w:p w14:paraId="7D725C3C" w14:textId="77777777" w:rsidR="006A740C" w:rsidRPr="006A740C" w:rsidRDefault="006A740C" w:rsidP="006A740C">
            <w:pPr>
              <w:spacing w:after="0" w:line="276" w:lineRule="auto"/>
              <w:jc w:val="center"/>
              <w:rPr>
                <w:rFonts w:ascii="Arial" w:eastAsia="Calibri" w:hAnsi="Arial" w:cs="Arial"/>
                <w:b/>
                <w:bCs/>
                <w:sz w:val="20"/>
                <w:szCs w:val="20"/>
              </w:rPr>
            </w:pPr>
            <w:r w:rsidRPr="006A740C">
              <w:rPr>
                <w:rFonts w:ascii="Arial" w:eastAsia="Calibri" w:hAnsi="Arial" w:cs="Arial"/>
                <w:b/>
                <w:bCs/>
                <w:sz w:val="20"/>
                <w:szCs w:val="20"/>
              </w:rPr>
              <w:t>122. člen</w:t>
            </w:r>
          </w:p>
          <w:p w14:paraId="44FD34A9" w14:textId="77777777" w:rsidR="006A740C" w:rsidRPr="006A740C" w:rsidRDefault="006A740C" w:rsidP="006A740C">
            <w:pPr>
              <w:spacing w:after="0" w:line="276" w:lineRule="auto"/>
              <w:jc w:val="center"/>
              <w:rPr>
                <w:rFonts w:ascii="Arial" w:eastAsia="Calibri" w:hAnsi="Arial" w:cs="Arial"/>
                <w:b/>
                <w:bCs/>
                <w:sz w:val="20"/>
                <w:szCs w:val="20"/>
              </w:rPr>
            </w:pPr>
            <w:r w:rsidRPr="006A740C">
              <w:rPr>
                <w:rFonts w:ascii="Arial" w:eastAsia="Calibri" w:hAnsi="Arial" w:cs="Arial"/>
                <w:b/>
                <w:bCs/>
                <w:sz w:val="20"/>
                <w:szCs w:val="20"/>
              </w:rPr>
              <w:t>(stopnje dohodnine)</w:t>
            </w:r>
          </w:p>
          <w:p w14:paraId="40DA1BF3" w14:textId="77777777" w:rsidR="006A740C" w:rsidRPr="006A740C" w:rsidRDefault="006A740C" w:rsidP="006A740C">
            <w:pPr>
              <w:spacing w:after="0" w:line="276" w:lineRule="auto"/>
              <w:jc w:val="both"/>
              <w:rPr>
                <w:rFonts w:ascii="Arial" w:eastAsia="Calibri" w:hAnsi="Arial" w:cs="Arial"/>
                <w:sz w:val="20"/>
                <w:szCs w:val="20"/>
              </w:rPr>
            </w:pPr>
          </w:p>
          <w:p w14:paraId="0A6F09FB"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(1) Stopnje dohodnine za davčno leto so:</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264"/>
              <w:gridCol w:w="1263"/>
              <w:gridCol w:w="1263"/>
              <w:gridCol w:w="1263"/>
              <w:gridCol w:w="1263"/>
              <w:gridCol w:w="1265"/>
            </w:tblGrid>
            <w:tr w:rsidR="006A740C" w:rsidRPr="004513FD" w14:paraId="16B9D8A0" w14:textId="77777777" w:rsidTr="00A60DF1">
              <w:trPr>
                <w:trHeight w:val="347"/>
              </w:trPr>
              <w:tc>
                <w:tcPr>
                  <w:tcW w:w="2527" w:type="dxa"/>
                  <w:gridSpan w:val="2"/>
                  <w:tcBorders>
                    <w:top w:val="single" w:sz="4" w:space="0" w:color="auto"/>
                    <w:left w:val="single" w:sz="4" w:space="0" w:color="auto"/>
                    <w:bottom w:val="single" w:sz="4" w:space="0" w:color="auto"/>
                    <w:right w:val="single" w:sz="4" w:space="0" w:color="auto"/>
                  </w:tcBorders>
                  <w:vAlign w:val="center"/>
                  <w:hideMark/>
                </w:tcPr>
                <w:p w14:paraId="48E07622"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Če znaša neto letna osnova v eurih</w:t>
                  </w:r>
                </w:p>
              </w:tc>
              <w:tc>
                <w:tcPr>
                  <w:tcW w:w="6317"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6620E338"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znaša dohodnina v eurih</w:t>
                  </w:r>
                </w:p>
              </w:tc>
            </w:tr>
            <w:tr w:rsidR="006A740C" w:rsidRPr="004513FD" w14:paraId="4A6AD058" w14:textId="77777777" w:rsidTr="00A60DF1">
              <w:trPr>
                <w:trHeight w:val="347"/>
              </w:trPr>
              <w:tc>
                <w:tcPr>
                  <w:tcW w:w="1263" w:type="dxa"/>
                  <w:tcBorders>
                    <w:top w:val="single" w:sz="4" w:space="0" w:color="auto"/>
                    <w:left w:val="single" w:sz="4" w:space="0" w:color="auto"/>
                    <w:bottom w:val="single" w:sz="4" w:space="0" w:color="auto"/>
                    <w:right w:val="single" w:sz="4" w:space="0" w:color="auto"/>
                  </w:tcBorders>
                  <w:vAlign w:val="center"/>
                  <w:hideMark/>
                </w:tcPr>
                <w:p w14:paraId="72B84092"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nad</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1922810"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do</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7F17AD93" w14:textId="77777777" w:rsidR="006A740C" w:rsidRPr="004513FD" w:rsidRDefault="006A740C" w:rsidP="006A740C">
                  <w:pPr>
                    <w:spacing w:after="0" w:line="240" w:lineRule="auto"/>
                    <w:rPr>
                      <w:rFonts w:ascii="Arial" w:eastAsia="Times New Roman" w:hAnsi="Arial" w:cs="Arial"/>
                      <w:sz w:val="20"/>
                      <w:szCs w:val="20"/>
                    </w:rPr>
                  </w:pPr>
                </w:p>
              </w:tc>
            </w:tr>
            <w:tr w:rsidR="006A740C" w:rsidRPr="004513FD" w14:paraId="43D4E36F" w14:textId="77777777" w:rsidTr="00AA27AE">
              <w:trPr>
                <w:trHeight w:val="347"/>
              </w:trPr>
              <w:tc>
                <w:tcPr>
                  <w:tcW w:w="1263" w:type="dxa"/>
                  <w:tcBorders>
                    <w:top w:val="single" w:sz="4" w:space="0" w:color="auto"/>
                    <w:left w:val="single" w:sz="4" w:space="0" w:color="auto"/>
                    <w:bottom w:val="single" w:sz="4" w:space="0" w:color="auto"/>
                    <w:right w:val="single" w:sz="4" w:space="0" w:color="auto"/>
                  </w:tcBorders>
                  <w:vAlign w:val="center"/>
                </w:tcPr>
                <w:p w14:paraId="7EC7A831" w14:textId="77777777" w:rsidR="006A740C" w:rsidRPr="004513FD" w:rsidRDefault="006A740C" w:rsidP="006A740C">
                  <w:pPr>
                    <w:spacing w:after="0" w:line="240" w:lineRule="auto"/>
                    <w:jc w:val="center"/>
                    <w:rPr>
                      <w:rFonts w:ascii="Arial" w:eastAsia="Calibri" w:hAnsi="Arial" w:cs="Arial"/>
                      <w:sz w:val="20"/>
                      <w:szCs w:val="20"/>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C8C530A"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8.500,00</w:t>
                  </w:r>
                </w:p>
              </w:tc>
              <w:tc>
                <w:tcPr>
                  <w:tcW w:w="1263" w:type="dxa"/>
                  <w:tcBorders>
                    <w:top w:val="single" w:sz="4" w:space="0" w:color="auto"/>
                    <w:left w:val="single" w:sz="4" w:space="0" w:color="auto"/>
                    <w:bottom w:val="single" w:sz="4" w:space="0" w:color="auto"/>
                    <w:right w:val="single" w:sz="4" w:space="0" w:color="auto"/>
                  </w:tcBorders>
                  <w:vAlign w:val="center"/>
                </w:tcPr>
                <w:p w14:paraId="3E5A8E8F" w14:textId="77777777" w:rsidR="006A740C" w:rsidRPr="004513FD" w:rsidRDefault="006A740C" w:rsidP="006A740C">
                  <w:pPr>
                    <w:spacing w:after="0" w:line="240" w:lineRule="auto"/>
                    <w:jc w:val="center"/>
                    <w:rPr>
                      <w:rFonts w:ascii="Arial" w:eastAsia="Calibri" w:hAnsi="Arial" w:cs="Arial"/>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tcPr>
                <w:p w14:paraId="331BDB51" w14:textId="77777777" w:rsidR="006A740C" w:rsidRPr="004513FD" w:rsidRDefault="006A740C" w:rsidP="006A740C">
                  <w:pPr>
                    <w:spacing w:after="0" w:line="240" w:lineRule="auto"/>
                    <w:jc w:val="center"/>
                    <w:rPr>
                      <w:rFonts w:ascii="Arial" w:eastAsia="Calibri" w:hAnsi="Arial" w:cs="Arial"/>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4EB98452"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16%</w:t>
                  </w:r>
                </w:p>
              </w:tc>
              <w:tc>
                <w:tcPr>
                  <w:tcW w:w="1263" w:type="dxa"/>
                  <w:tcBorders>
                    <w:top w:val="single" w:sz="4" w:space="0" w:color="auto"/>
                    <w:left w:val="single" w:sz="4" w:space="0" w:color="auto"/>
                    <w:bottom w:val="single" w:sz="4" w:space="0" w:color="auto"/>
                    <w:right w:val="single" w:sz="4" w:space="0" w:color="auto"/>
                  </w:tcBorders>
                  <w:vAlign w:val="center"/>
                </w:tcPr>
                <w:p w14:paraId="3E162C15" w14:textId="77777777" w:rsidR="006A740C" w:rsidRPr="004513FD" w:rsidRDefault="006A740C" w:rsidP="006A740C">
                  <w:pPr>
                    <w:spacing w:after="0" w:line="240" w:lineRule="auto"/>
                    <w:jc w:val="center"/>
                    <w:rPr>
                      <w:rFonts w:ascii="Arial" w:eastAsia="Calibri"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73A609DA" w14:textId="77777777" w:rsidR="006A740C" w:rsidRPr="004513FD" w:rsidRDefault="006A740C" w:rsidP="006A740C">
                  <w:pPr>
                    <w:spacing w:after="0" w:line="240" w:lineRule="auto"/>
                    <w:jc w:val="center"/>
                    <w:rPr>
                      <w:rFonts w:ascii="Arial" w:eastAsia="Calibri" w:hAnsi="Arial" w:cs="Arial"/>
                      <w:sz w:val="20"/>
                      <w:szCs w:val="20"/>
                    </w:rPr>
                  </w:pPr>
                </w:p>
              </w:tc>
            </w:tr>
            <w:tr w:rsidR="006A740C" w:rsidRPr="004513FD" w14:paraId="4E9FD323" w14:textId="77777777" w:rsidTr="00AA27AE">
              <w:trPr>
                <w:trHeight w:val="347"/>
              </w:trPr>
              <w:tc>
                <w:tcPr>
                  <w:tcW w:w="1263" w:type="dxa"/>
                  <w:tcBorders>
                    <w:top w:val="single" w:sz="4" w:space="0" w:color="auto"/>
                    <w:left w:val="single" w:sz="4" w:space="0" w:color="auto"/>
                    <w:bottom w:val="single" w:sz="4" w:space="0" w:color="auto"/>
                    <w:right w:val="single" w:sz="4" w:space="0" w:color="auto"/>
                  </w:tcBorders>
                  <w:vAlign w:val="center"/>
                  <w:hideMark/>
                </w:tcPr>
                <w:p w14:paraId="59260140"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8.500,00</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20ACB9E"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25.000,00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13323E4C"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1.360,00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098CB18B"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583E35B"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26%</w:t>
                  </w:r>
                </w:p>
              </w:tc>
              <w:tc>
                <w:tcPr>
                  <w:tcW w:w="1263" w:type="dxa"/>
                  <w:tcBorders>
                    <w:top w:val="single" w:sz="4" w:space="0" w:color="auto"/>
                    <w:left w:val="single" w:sz="4" w:space="0" w:color="auto"/>
                    <w:bottom w:val="single" w:sz="4" w:space="0" w:color="auto"/>
                    <w:right w:val="single" w:sz="4" w:space="0" w:color="auto"/>
                  </w:tcBorders>
                  <w:vAlign w:val="center"/>
                  <w:hideMark/>
                </w:tcPr>
                <w:p w14:paraId="5FB60D4C"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nad</w:t>
                  </w:r>
                </w:p>
              </w:tc>
              <w:tc>
                <w:tcPr>
                  <w:tcW w:w="1265" w:type="dxa"/>
                  <w:tcBorders>
                    <w:top w:val="single" w:sz="4" w:space="0" w:color="auto"/>
                    <w:left w:val="single" w:sz="4" w:space="0" w:color="auto"/>
                    <w:bottom w:val="single" w:sz="4" w:space="0" w:color="auto"/>
                    <w:right w:val="single" w:sz="4" w:space="0" w:color="auto"/>
                  </w:tcBorders>
                  <w:vAlign w:val="center"/>
                  <w:hideMark/>
                </w:tcPr>
                <w:p w14:paraId="66290488"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8.500,00</w:t>
                  </w:r>
                </w:p>
              </w:tc>
            </w:tr>
            <w:tr w:rsidR="006A740C" w:rsidRPr="004513FD" w14:paraId="400E1C35" w14:textId="77777777" w:rsidTr="00AA27AE">
              <w:trPr>
                <w:trHeight w:val="327"/>
              </w:trPr>
              <w:tc>
                <w:tcPr>
                  <w:tcW w:w="1263" w:type="dxa"/>
                  <w:tcBorders>
                    <w:top w:val="single" w:sz="4" w:space="0" w:color="auto"/>
                    <w:left w:val="single" w:sz="4" w:space="0" w:color="auto"/>
                    <w:bottom w:val="single" w:sz="4" w:space="0" w:color="auto"/>
                    <w:right w:val="single" w:sz="4" w:space="0" w:color="auto"/>
                  </w:tcBorders>
                  <w:vAlign w:val="center"/>
                  <w:hideMark/>
                </w:tcPr>
                <w:p w14:paraId="6473B79C"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25.000,00</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657C9F7"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50.000,00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0EBF0F5"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5.650,00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6687B3E1"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F0CA683"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33%</w:t>
                  </w:r>
                </w:p>
              </w:tc>
              <w:tc>
                <w:tcPr>
                  <w:tcW w:w="1263" w:type="dxa"/>
                  <w:tcBorders>
                    <w:top w:val="single" w:sz="4" w:space="0" w:color="auto"/>
                    <w:left w:val="single" w:sz="4" w:space="0" w:color="auto"/>
                    <w:bottom w:val="single" w:sz="4" w:space="0" w:color="auto"/>
                    <w:right w:val="single" w:sz="4" w:space="0" w:color="auto"/>
                  </w:tcBorders>
                  <w:vAlign w:val="center"/>
                  <w:hideMark/>
                </w:tcPr>
                <w:p w14:paraId="235CDF63"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nad</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CF28CBE"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25.000,00</w:t>
                  </w:r>
                </w:p>
              </w:tc>
            </w:tr>
            <w:tr w:rsidR="006A740C" w:rsidRPr="004513FD" w14:paraId="1092D229" w14:textId="77777777" w:rsidTr="00AA27AE">
              <w:trPr>
                <w:trHeight w:val="347"/>
              </w:trPr>
              <w:tc>
                <w:tcPr>
                  <w:tcW w:w="1263" w:type="dxa"/>
                  <w:tcBorders>
                    <w:top w:val="single" w:sz="4" w:space="0" w:color="auto"/>
                    <w:left w:val="single" w:sz="4" w:space="0" w:color="auto"/>
                    <w:bottom w:val="single" w:sz="4" w:space="0" w:color="auto"/>
                    <w:right w:val="single" w:sz="4" w:space="0" w:color="auto"/>
                  </w:tcBorders>
                  <w:vAlign w:val="center"/>
                  <w:hideMark/>
                </w:tcPr>
                <w:p w14:paraId="785CE628"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50.000,00</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EF6829F"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72.000,00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1FDCB6D"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13.900,00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072013F"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w:t>
                  </w:r>
                </w:p>
              </w:tc>
              <w:tc>
                <w:tcPr>
                  <w:tcW w:w="1263" w:type="dxa"/>
                  <w:tcBorders>
                    <w:top w:val="single" w:sz="4" w:space="0" w:color="auto"/>
                    <w:left w:val="single" w:sz="4" w:space="0" w:color="auto"/>
                    <w:bottom w:val="single" w:sz="4" w:space="0" w:color="auto"/>
                    <w:right w:val="single" w:sz="4" w:space="0" w:color="auto"/>
                  </w:tcBorders>
                  <w:vAlign w:val="center"/>
                  <w:hideMark/>
                </w:tcPr>
                <w:p w14:paraId="20A6900D"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39%</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0F1051C"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nad</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95DDA77"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50.000,00</w:t>
                  </w:r>
                </w:p>
              </w:tc>
            </w:tr>
            <w:tr w:rsidR="006A740C" w:rsidRPr="004513FD" w14:paraId="446FCEAE" w14:textId="77777777" w:rsidTr="00AA27AE">
              <w:trPr>
                <w:trHeight w:val="366"/>
              </w:trPr>
              <w:tc>
                <w:tcPr>
                  <w:tcW w:w="1263" w:type="dxa"/>
                  <w:tcBorders>
                    <w:top w:val="single" w:sz="4" w:space="0" w:color="auto"/>
                    <w:left w:val="single" w:sz="4" w:space="0" w:color="auto"/>
                    <w:bottom w:val="single" w:sz="4" w:space="0" w:color="auto"/>
                    <w:right w:val="single" w:sz="4" w:space="0" w:color="auto"/>
                  </w:tcBorders>
                  <w:vAlign w:val="center"/>
                  <w:hideMark/>
                </w:tcPr>
                <w:p w14:paraId="6B953AF2"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72.000,00</w:t>
                  </w:r>
                </w:p>
              </w:tc>
              <w:tc>
                <w:tcPr>
                  <w:tcW w:w="1264" w:type="dxa"/>
                  <w:tcBorders>
                    <w:top w:val="single" w:sz="4" w:space="0" w:color="auto"/>
                    <w:left w:val="single" w:sz="4" w:space="0" w:color="auto"/>
                    <w:bottom w:val="single" w:sz="4" w:space="0" w:color="auto"/>
                    <w:right w:val="single" w:sz="4" w:space="0" w:color="auto"/>
                  </w:tcBorders>
                  <w:vAlign w:val="center"/>
                </w:tcPr>
                <w:p w14:paraId="57033DC3" w14:textId="77777777" w:rsidR="006A740C" w:rsidRPr="004513FD" w:rsidRDefault="006A740C" w:rsidP="006A740C">
                  <w:pPr>
                    <w:spacing w:after="0" w:line="240" w:lineRule="auto"/>
                    <w:jc w:val="center"/>
                    <w:rPr>
                      <w:rFonts w:ascii="Arial" w:eastAsia="Calibri" w:hAnsi="Arial" w:cs="Arial"/>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326558C1"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22.480,00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50AA1B4"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3EA5C12" w14:textId="22F8A266" w:rsidR="006A740C" w:rsidRPr="004513FD" w:rsidRDefault="006A740C" w:rsidP="006A740C">
                  <w:pPr>
                    <w:spacing w:after="0" w:line="240" w:lineRule="auto"/>
                    <w:jc w:val="center"/>
                    <w:rPr>
                      <w:rFonts w:ascii="Arial" w:eastAsia="Calibri" w:hAnsi="Arial" w:cs="Arial"/>
                      <w:sz w:val="20"/>
                      <w:szCs w:val="20"/>
                    </w:rPr>
                  </w:pPr>
                  <w:r>
                    <w:rPr>
                      <w:rFonts w:ascii="Arial" w:eastAsia="Calibri" w:hAnsi="Arial" w:cs="Arial"/>
                      <w:sz w:val="20"/>
                      <w:szCs w:val="20"/>
                    </w:rPr>
                    <w:t>45</w:t>
                  </w:r>
                  <w:r w:rsidRPr="004513FD">
                    <w:rPr>
                      <w:rFonts w:ascii="Arial" w:eastAsia="Calibri" w:hAnsi="Arial" w:cs="Arial"/>
                      <w:sz w:val="20"/>
                      <w:szCs w:val="20"/>
                    </w:rPr>
                    <w:t>%</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0DAE4BF"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nad</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88654CC" w14:textId="77777777" w:rsidR="006A740C" w:rsidRPr="004513FD" w:rsidRDefault="006A740C" w:rsidP="006A740C">
                  <w:pPr>
                    <w:spacing w:after="0" w:line="240" w:lineRule="auto"/>
                    <w:jc w:val="center"/>
                    <w:rPr>
                      <w:rFonts w:ascii="Arial" w:eastAsia="Calibri" w:hAnsi="Arial" w:cs="Arial"/>
                      <w:sz w:val="20"/>
                      <w:szCs w:val="20"/>
                    </w:rPr>
                  </w:pPr>
                  <w:r w:rsidRPr="004513FD">
                    <w:rPr>
                      <w:rFonts w:ascii="Arial" w:eastAsia="Calibri" w:hAnsi="Arial" w:cs="Arial"/>
                      <w:sz w:val="20"/>
                      <w:szCs w:val="20"/>
                    </w:rPr>
                    <w:t>72.000,00</w:t>
                  </w:r>
                </w:p>
              </w:tc>
            </w:tr>
          </w:tbl>
          <w:p w14:paraId="60DE8759" w14:textId="77777777" w:rsidR="006A740C" w:rsidRPr="006A740C" w:rsidRDefault="006A740C" w:rsidP="006A740C">
            <w:pPr>
              <w:spacing w:after="0" w:line="276" w:lineRule="auto"/>
              <w:jc w:val="both"/>
              <w:rPr>
                <w:rFonts w:ascii="Arial" w:eastAsia="Calibri" w:hAnsi="Arial" w:cs="Arial"/>
                <w:sz w:val="20"/>
                <w:szCs w:val="20"/>
              </w:rPr>
            </w:pPr>
          </w:p>
          <w:p w14:paraId="66A165C0" w14:textId="77777777" w:rsidR="006A740C" w:rsidRPr="006A740C"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(2) Zneski neto letnih davčnih osnov iz prejšnjega odstavka se enkrat letno uskladijo s koeficientom rasti cen življenjskih potrebščin v Sloveniji za mesec oktober tekočega leta v primerjavi z mesecem oktobrom prejšnjega leta, po podatkih Statističnega urada Republike Slovenije, če je sprememba rasti cen pozitivna; temu ustrezno se zneski dohodnine izračunajo.</w:t>
            </w:r>
          </w:p>
          <w:p w14:paraId="5B6AE6A9" w14:textId="5B1C49DE" w:rsidR="00420505" w:rsidRDefault="006A740C" w:rsidP="006A740C">
            <w:pPr>
              <w:spacing w:after="0" w:line="276" w:lineRule="auto"/>
              <w:jc w:val="both"/>
              <w:rPr>
                <w:rFonts w:ascii="Arial" w:eastAsia="Calibri" w:hAnsi="Arial" w:cs="Arial"/>
                <w:sz w:val="20"/>
                <w:szCs w:val="20"/>
              </w:rPr>
            </w:pPr>
            <w:r w:rsidRPr="006A740C">
              <w:rPr>
                <w:rFonts w:ascii="Arial" w:eastAsia="Calibri" w:hAnsi="Arial" w:cs="Arial"/>
                <w:sz w:val="20"/>
                <w:szCs w:val="20"/>
              </w:rPr>
              <w:t>(3) Usklajene zneske iz prejšnjega odstavka določi minister, pristojen za finance, najpozneje v decembru tekočega leta za naslednje leto.</w:t>
            </w:r>
          </w:p>
          <w:p w14:paraId="674AA403" w14:textId="3582E32D" w:rsidR="00994CA3" w:rsidRDefault="00994CA3" w:rsidP="006A740C">
            <w:pPr>
              <w:spacing w:after="0" w:line="276" w:lineRule="auto"/>
              <w:jc w:val="both"/>
              <w:rPr>
                <w:rFonts w:ascii="Arial" w:eastAsia="Calibri" w:hAnsi="Arial" w:cs="Arial"/>
                <w:sz w:val="20"/>
                <w:szCs w:val="20"/>
              </w:rPr>
            </w:pPr>
          </w:p>
          <w:p w14:paraId="79521840" w14:textId="5D794676" w:rsidR="00994CA3" w:rsidRDefault="00994CA3" w:rsidP="006A740C">
            <w:pPr>
              <w:spacing w:after="0" w:line="276" w:lineRule="auto"/>
              <w:jc w:val="both"/>
              <w:rPr>
                <w:rFonts w:ascii="Arial" w:eastAsia="Calibri" w:hAnsi="Arial" w:cs="Arial"/>
                <w:sz w:val="20"/>
                <w:szCs w:val="20"/>
              </w:rPr>
            </w:pPr>
          </w:p>
          <w:p w14:paraId="1090F669" w14:textId="77777777" w:rsidR="00994CA3" w:rsidRDefault="00994CA3" w:rsidP="006A740C">
            <w:pPr>
              <w:spacing w:after="0" w:line="276" w:lineRule="auto"/>
              <w:jc w:val="both"/>
              <w:rPr>
                <w:rFonts w:ascii="Arial" w:eastAsia="Calibri" w:hAnsi="Arial" w:cs="Arial"/>
                <w:sz w:val="20"/>
                <w:szCs w:val="20"/>
              </w:rPr>
            </w:pPr>
          </w:p>
          <w:p w14:paraId="732BC2A7" w14:textId="77777777" w:rsidR="00420505" w:rsidRDefault="00420505" w:rsidP="006A740C">
            <w:pPr>
              <w:spacing w:after="0" w:line="276" w:lineRule="auto"/>
              <w:jc w:val="both"/>
              <w:rPr>
                <w:rFonts w:ascii="Arial" w:eastAsia="Calibri" w:hAnsi="Arial" w:cs="Arial"/>
                <w:sz w:val="20"/>
                <w:szCs w:val="20"/>
              </w:rPr>
            </w:pPr>
          </w:p>
          <w:p w14:paraId="47479B92" w14:textId="26316572" w:rsidR="002316EF" w:rsidRDefault="002316EF" w:rsidP="002E1213">
            <w:pPr>
              <w:spacing w:after="0" w:line="276" w:lineRule="auto"/>
              <w:jc w:val="center"/>
              <w:rPr>
                <w:rFonts w:ascii="Arial" w:eastAsia="Calibri" w:hAnsi="Arial" w:cs="Arial"/>
                <w:sz w:val="20"/>
                <w:szCs w:val="20"/>
              </w:rPr>
            </w:pPr>
          </w:p>
          <w:p w14:paraId="34CB03C2" w14:textId="77777777" w:rsidR="002E1213" w:rsidRPr="00B42EBD" w:rsidRDefault="002E1213" w:rsidP="00B56E7D">
            <w:pPr>
              <w:spacing w:after="0" w:line="276" w:lineRule="auto"/>
              <w:jc w:val="center"/>
              <w:rPr>
                <w:rFonts w:ascii="Arial" w:eastAsia="Calibri" w:hAnsi="Arial" w:cs="Arial"/>
                <w:b/>
                <w:bCs/>
                <w:sz w:val="20"/>
                <w:szCs w:val="20"/>
              </w:rPr>
            </w:pPr>
            <w:r w:rsidRPr="00B42EBD">
              <w:rPr>
                <w:rFonts w:ascii="Arial" w:eastAsia="Calibri" w:hAnsi="Arial" w:cs="Arial"/>
                <w:b/>
                <w:bCs/>
                <w:sz w:val="20"/>
                <w:szCs w:val="20"/>
              </w:rPr>
              <w:lastRenderedPageBreak/>
              <w:t>123. člen</w:t>
            </w:r>
          </w:p>
          <w:p w14:paraId="44AA4414" w14:textId="77777777" w:rsidR="002E1213" w:rsidRPr="00B42EBD" w:rsidRDefault="002E1213" w:rsidP="00EA472C">
            <w:pPr>
              <w:spacing w:after="0" w:line="276" w:lineRule="auto"/>
              <w:jc w:val="center"/>
              <w:rPr>
                <w:rFonts w:ascii="Arial" w:eastAsia="Calibri" w:hAnsi="Arial" w:cs="Arial"/>
                <w:b/>
                <w:bCs/>
                <w:sz w:val="20"/>
                <w:szCs w:val="20"/>
              </w:rPr>
            </w:pPr>
            <w:r w:rsidRPr="00B42EBD">
              <w:rPr>
                <w:rFonts w:ascii="Arial" w:eastAsia="Calibri" w:hAnsi="Arial" w:cs="Arial"/>
                <w:b/>
                <w:bCs/>
                <w:sz w:val="20"/>
                <w:szCs w:val="20"/>
              </w:rPr>
              <w:t>(odmera in poračun dohodnine na letni ravni)</w:t>
            </w:r>
          </w:p>
          <w:p w14:paraId="530299B1" w14:textId="77777777" w:rsidR="002E1213" w:rsidRPr="002E1213" w:rsidRDefault="002E1213" w:rsidP="00B42EBD">
            <w:pPr>
              <w:spacing w:after="0" w:line="276" w:lineRule="auto"/>
              <w:jc w:val="both"/>
              <w:rPr>
                <w:rFonts w:ascii="Arial" w:eastAsia="Calibri" w:hAnsi="Arial" w:cs="Arial"/>
                <w:sz w:val="20"/>
                <w:szCs w:val="20"/>
              </w:rPr>
            </w:pPr>
          </w:p>
          <w:p w14:paraId="25CF00C1" w14:textId="77777777" w:rsidR="002E1213" w:rsidRPr="002E1213" w:rsidRDefault="002E1213" w:rsidP="00B42EBD">
            <w:pPr>
              <w:spacing w:after="0" w:line="276" w:lineRule="auto"/>
              <w:jc w:val="both"/>
              <w:rPr>
                <w:rFonts w:ascii="Arial" w:eastAsia="Calibri" w:hAnsi="Arial" w:cs="Arial"/>
                <w:sz w:val="20"/>
                <w:szCs w:val="20"/>
              </w:rPr>
            </w:pPr>
            <w:r w:rsidRPr="002E1213">
              <w:rPr>
                <w:rFonts w:ascii="Arial" w:eastAsia="Calibri" w:hAnsi="Arial" w:cs="Arial"/>
                <w:sz w:val="20"/>
                <w:szCs w:val="20"/>
              </w:rPr>
              <w:t>(1) Od dohodkov, ki se vštevajo v letno davčno osnovo, dohodnino na letni ravni za zavezanca odmeri davčni organ na podlagi napovedi, ki jo vloži zavezanec. Odmera in poračun dohodnine se za posamezno davčno leto opravita po preteku leta, z odločbo davčnega organa, v rokih in na način, določen s tem zakonom in zakonom, ki ureja davčni postopek.</w:t>
            </w:r>
          </w:p>
          <w:p w14:paraId="2ECCB732" w14:textId="77777777" w:rsidR="002E1213" w:rsidRPr="002E1213" w:rsidRDefault="002E1213" w:rsidP="00B42EBD">
            <w:pPr>
              <w:spacing w:after="0" w:line="276" w:lineRule="auto"/>
              <w:jc w:val="both"/>
              <w:rPr>
                <w:rFonts w:ascii="Arial" w:eastAsia="Calibri" w:hAnsi="Arial" w:cs="Arial"/>
                <w:sz w:val="20"/>
                <w:szCs w:val="20"/>
              </w:rPr>
            </w:pPr>
            <w:r w:rsidRPr="002E1213">
              <w:rPr>
                <w:rFonts w:ascii="Arial" w:eastAsia="Calibri" w:hAnsi="Arial" w:cs="Arial"/>
                <w:sz w:val="20"/>
                <w:szCs w:val="20"/>
              </w:rPr>
              <w:t>(2) Od dohodnine, odmerjene zavezancu za posamezno davčno leto od dohodkov, ki se vštevajo v letno davčno osnovo, se odšteje med letom plačana dohodnina od teh dohodkov.</w:t>
            </w:r>
          </w:p>
          <w:p w14:paraId="5CCE5348" w14:textId="77777777" w:rsidR="002E1213" w:rsidRPr="002E1213" w:rsidRDefault="002E1213" w:rsidP="00B42EBD">
            <w:pPr>
              <w:spacing w:after="0" w:line="276" w:lineRule="auto"/>
              <w:jc w:val="both"/>
              <w:rPr>
                <w:rFonts w:ascii="Arial" w:eastAsia="Calibri" w:hAnsi="Arial" w:cs="Arial"/>
                <w:sz w:val="20"/>
                <w:szCs w:val="20"/>
              </w:rPr>
            </w:pPr>
            <w:r w:rsidRPr="002E1213">
              <w:rPr>
                <w:rFonts w:ascii="Arial" w:eastAsia="Calibri" w:hAnsi="Arial" w:cs="Arial"/>
                <w:sz w:val="20"/>
                <w:szCs w:val="20"/>
              </w:rPr>
              <w:t>(3) Med letom plačana dohodnina se šteje za akontacijo dohodnine. V primeru dohodkov iz drugega stavka prvega odstavka 109. člena tega zakona se plačan dokončni davek iz VIII. poglavja tega zakona šteje za akontacijo dohodnine od teh dohodkov.</w:t>
            </w:r>
          </w:p>
          <w:p w14:paraId="500D8C9F" w14:textId="4B8AD1CD" w:rsidR="002E1213" w:rsidRDefault="002E1213" w:rsidP="00B42EBD">
            <w:pPr>
              <w:spacing w:after="0" w:line="276" w:lineRule="auto"/>
              <w:jc w:val="both"/>
              <w:rPr>
                <w:rFonts w:ascii="Arial" w:eastAsia="Calibri" w:hAnsi="Arial" w:cs="Arial"/>
                <w:sz w:val="20"/>
                <w:szCs w:val="20"/>
              </w:rPr>
            </w:pPr>
            <w:r w:rsidRPr="002E1213">
              <w:rPr>
                <w:rFonts w:ascii="Arial" w:eastAsia="Calibri" w:hAnsi="Arial" w:cs="Arial"/>
                <w:sz w:val="20"/>
                <w:szCs w:val="20"/>
              </w:rPr>
              <w:t>(4) Če je znesek odmerjene dohodnine na letni ravni večji od zneska med letom plačane akontacije dohodnine, zavezanec doplača razliko dohodnine. Če je znesek odmerjene dohodnine na letni ravni manjši od zneska med letom plačane akontacije dohodnine, se zavezancu razlika dohodnine vrne.</w:t>
            </w:r>
          </w:p>
          <w:p w14:paraId="279F70ED" w14:textId="77777777" w:rsidR="009251B4" w:rsidRDefault="009251B4" w:rsidP="00B42EBD">
            <w:pPr>
              <w:spacing w:after="0" w:line="276" w:lineRule="auto"/>
              <w:jc w:val="both"/>
              <w:rPr>
                <w:rFonts w:ascii="Arial" w:eastAsia="Calibri" w:hAnsi="Arial" w:cs="Arial"/>
                <w:sz w:val="20"/>
                <w:szCs w:val="20"/>
              </w:rPr>
            </w:pPr>
          </w:p>
          <w:p w14:paraId="1E8AF29E" w14:textId="77777777" w:rsidR="00246D5E" w:rsidRPr="00246D5E" w:rsidRDefault="00246D5E" w:rsidP="00246D5E">
            <w:pPr>
              <w:spacing w:after="0" w:line="276" w:lineRule="auto"/>
              <w:jc w:val="center"/>
              <w:rPr>
                <w:rFonts w:ascii="Arial" w:eastAsia="Calibri" w:hAnsi="Arial" w:cs="Arial"/>
                <w:sz w:val="20"/>
                <w:szCs w:val="20"/>
              </w:rPr>
            </w:pPr>
          </w:p>
          <w:p w14:paraId="3945FD8E" w14:textId="7DA06B70" w:rsidR="002E1213" w:rsidRPr="0064652C" w:rsidRDefault="00246D5E" w:rsidP="0064652C">
            <w:pPr>
              <w:spacing w:after="0" w:line="276" w:lineRule="auto"/>
              <w:jc w:val="both"/>
              <w:rPr>
                <w:rFonts w:ascii="Arial" w:eastAsia="Calibri" w:hAnsi="Arial" w:cs="Arial"/>
                <w:b/>
                <w:bCs/>
                <w:sz w:val="20"/>
                <w:szCs w:val="20"/>
              </w:rPr>
            </w:pPr>
            <w:r w:rsidRPr="0064652C">
              <w:rPr>
                <w:rFonts w:ascii="Arial" w:eastAsia="Calibri" w:hAnsi="Arial" w:cs="Arial"/>
                <w:b/>
                <w:bCs/>
                <w:sz w:val="20"/>
                <w:szCs w:val="20"/>
              </w:rPr>
              <w:t>VII.A POSEBNA PRAVILA V ZVEZI Z UVELJAVLJANJEM ODLOČITVE ZAVEZANCA O VŠTEVANJU DAVČNIH OSNOV OD DOHODKOV IZ KAPITALA IN DOHODKOV IZ ODDAJANJA PREMOŽENJA V NAJEM V LETNO DAVČNO OSNOVO</w:t>
            </w:r>
          </w:p>
          <w:p w14:paraId="0E469D1A" w14:textId="77777777" w:rsidR="00246D5E" w:rsidRPr="002316EF" w:rsidRDefault="00246D5E" w:rsidP="00246D5E">
            <w:pPr>
              <w:spacing w:after="0" w:line="276" w:lineRule="auto"/>
              <w:jc w:val="center"/>
              <w:rPr>
                <w:rFonts w:ascii="Arial" w:eastAsia="Calibri" w:hAnsi="Arial" w:cs="Arial"/>
                <w:sz w:val="20"/>
                <w:szCs w:val="20"/>
              </w:rPr>
            </w:pPr>
          </w:p>
          <w:p w14:paraId="21280BE7" w14:textId="77777777" w:rsidR="002316EF" w:rsidRPr="00B42EBD" w:rsidRDefault="002316EF" w:rsidP="00B42EBD">
            <w:pPr>
              <w:spacing w:after="0" w:line="276" w:lineRule="auto"/>
              <w:jc w:val="center"/>
              <w:rPr>
                <w:rFonts w:ascii="Arial" w:eastAsia="Calibri" w:hAnsi="Arial" w:cs="Arial"/>
                <w:b/>
                <w:bCs/>
                <w:sz w:val="20"/>
                <w:szCs w:val="20"/>
              </w:rPr>
            </w:pPr>
            <w:r w:rsidRPr="00B42EBD">
              <w:rPr>
                <w:rFonts w:ascii="Arial" w:eastAsia="Calibri" w:hAnsi="Arial" w:cs="Arial"/>
                <w:b/>
                <w:bCs/>
                <w:sz w:val="20"/>
                <w:szCs w:val="20"/>
              </w:rPr>
              <w:t>a131.a člen</w:t>
            </w:r>
          </w:p>
          <w:p w14:paraId="185D6AEC" w14:textId="77777777" w:rsidR="002316EF" w:rsidRPr="002316EF" w:rsidRDefault="002316EF" w:rsidP="002316EF">
            <w:pPr>
              <w:spacing w:after="0" w:line="276" w:lineRule="auto"/>
              <w:jc w:val="both"/>
              <w:rPr>
                <w:rFonts w:ascii="Arial" w:eastAsia="Calibri" w:hAnsi="Arial" w:cs="Arial"/>
                <w:sz w:val="20"/>
                <w:szCs w:val="20"/>
              </w:rPr>
            </w:pPr>
          </w:p>
          <w:p w14:paraId="52DB9695" w14:textId="77777777" w:rsidR="002316EF" w:rsidRPr="002316EF" w:rsidRDefault="002316EF" w:rsidP="002316EF">
            <w:pPr>
              <w:spacing w:after="0" w:line="276" w:lineRule="auto"/>
              <w:jc w:val="both"/>
              <w:rPr>
                <w:rFonts w:ascii="Arial" w:eastAsia="Calibri" w:hAnsi="Arial" w:cs="Arial"/>
                <w:sz w:val="20"/>
                <w:szCs w:val="20"/>
              </w:rPr>
            </w:pPr>
            <w:r w:rsidRPr="002316EF">
              <w:rPr>
                <w:rFonts w:ascii="Arial" w:eastAsia="Calibri" w:hAnsi="Arial" w:cs="Arial"/>
                <w:sz w:val="20"/>
                <w:szCs w:val="20"/>
              </w:rPr>
              <w:t>(uveljavljanje odločitve o vštevanju davčnih osnov od dohodkov iz kapitala in dohodkov iz oddajanja premoženja v najem v letno davčno osnovo)</w:t>
            </w:r>
          </w:p>
          <w:p w14:paraId="45949D5A" w14:textId="77777777" w:rsidR="002316EF" w:rsidRPr="002316EF" w:rsidRDefault="002316EF" w:rsidP="002316EF">
            <w:pPr>
              <w:spacing w:after="0" w:line="276" w:lineRule="auto"/>
              <w:jc w:val="both"/>
              <w:rPr>
                <w:rFonts w:ascii="Arial" w:eastAsia="Calibri" w:hAnsi="Arial" w:cs="Arial"/>
                <w:sz w:val="20"/>
                <w:szCs w:val="20"/>
              </w:rPr>
            </w:pPr>
            <w:r w:rsidRPr="002316EF">
              <w:rPr>
                <w:rFonts w:ascii="Arial" w:eastAsia="Calibri" w:hAnsi="Arial" w:cs="Arial"/>
                <w:sz w:val="20"/>
                <w:szCs w:val="20"/>
              </w:rPr>
              <w:t>(1) Zavezanec rezident, ki se skladno s prvim odstavkom 109. člena tega zakona odloči za vštevanje davčnih osnov od dohodkov iz kapitala in dohodkov iz oddajanja premoženja v najem v letno davčno osnovo, to odločitev uveljavlja v ugovoru zoper informativni izračun dohodnine, z dopolnitvijo informativnega izračuna v skladu s petim odstavkom 267. člena ZDavP-2.</w:t>
            </w:r>
          </w:p>
          <w:p w14:paraId="59D81363" w14:textId="77777777" w:rsidR="002316EF" w:rsidRPr="002316EF" w:rsidRDefault="002316EF" w:rsidP="002316EF">
            <w:pPr>
              <w:spacing w:after="0" w:line="276" w:lineRule="auto"/>
              <w:jc w:val="both"/>
              <w:rPr>
                <w:rFonts w:ascii="Arial" w:eastAsia="Calibri" w:hAnsi="Arial" w:cs="Arial"/>
                <w:sz w:val="20"/>
                <w:szCs w:val="20"/>
              </w:rPr>
            </w:pPr>
            <w:r w:rsidRPr="002316EF">
              <w:rPr>
                <w:rFonts w:ascii="Arial" w:eastAsia="Calibri" w:hAnsi="Arial" w:cs="Arial"/>
                <w:sz w:val="20"/>
                <w:szCs w:val="20"/>
              </w:rPr>
              <w:t>(2) Če zavezancu rezidentu informativni izračun ni bil vročen do roka za vročitev informativnega izračuna iz šestega odstavka 267. člena ZDavP-2, odločitev za vštevanje davčnih osnov od dohodkov iz kapitala in dohodkov iz oddajanja premoženja v najem v letno davčno osnovo uveljavlja z vložitvijo napovedi za odmero dohodnine v skladu s šestim odstavkom 267. člena ZDavP-2.</w:t>
            </w:r>
          </w:p>
          <w:p w14:paraId="50940F78" w14:textId="77777777" w:rsidR="002316EF" w:rsidRPr="002316EF" w:rsidRDefault="002316EF" w:rsidP="002316EF">
            <w:pPr>
              <w:spacing w:after="0" w:line="276" w:lineRule="auto"/>
              <w:jc w:val="both"/>
              <w:rPr>
                <w:rFonts w:ascii="Arial" w:eastAsia="Calibri" w:hAnsi="Arial" w:cs="Arial"/>
                <w:sz w:val="20"/>
                <w:szCs w:val="20"/>
              </w:rPr>
            </w:pPr>
            <w:r w:rsidRPr="002316EF">
              <w:rPr>
                <w:rFonts w:ascii="Arial" w:eastAsia="Calibri" w:hAnsi="Arial" w:cs="Arial"/>
                <w:sz w:val="20"/>
                <w:szCs w:val="20"/>
              </w:rPr>
              <w:t xml:space="preserve">(3) Zavezanec rezident odločitve za vštevanje davčnih osnov od dohodkov iz kapitala in dohodkov iz oddajanja premoženja v najem v letno davčno osnovo ne more uveljavljati z vložitvijo davčne napovedi za odmero dohodnine na podlagi </w:t>
            </w:r>
            <w:proofErr w:type="spellStart"/>
            <w:r w:rsidRPr="002316EF">
              <w:rPr>
                <w:rFonts w:ascii="Arial" w:eastAsia="Calibri" w:hAnsi="Arial" w:cs="Arial"/>
                <w:sz w:val="20"/>
                <w:szCs w:val="20"/>
              </w:rPr>
              <w:t>samoprijave</w:t>
            </w:r>
            <w:proofErr w:type="spellEnd"/>
            <w:r w:rsidRPr="002316EF">
              <w:rPr>
                <w:rFonts w:ascii="Arial" w:eastAsia="Calibri" w:hAnsi="Arial" w:cs="Arial"/>
                <w:sz w:val="20"/>
                <w:szCs w:val="20"/>
              </w:rPr>
              <w:t xml:space="preserve"> iz 63. člena ZDavP-2.</w:t>
            </w:r>
          </w:p>
          <w:p w14:paraId="4E724E49" w14:textId="77777777" w:rsidR="002316EF" w:rsidRPr="002316EF" w:rsidRDefault="002316EF" w:rsidP="002316EF">
            <w:pPr>
              <w:spacing w:after="0" w:line="276" w:lineRule="auto"/>
              <w:jc w:val="both"/>
              <w:rPr>
                <w:rFonts w:ascii="Arial" w:eastAsia="Calibri" w:hAnsi="Arial" w:cs="Arial"/>
                <w:sz w:val="20"/>
                <w:szCs w:val="20"/>
              </w:rPr>
            </w:pPr>
            <w:r w:rsidRPr="002316EF">
              <w:rPr>
                <w:rFonts w:ascii="Arial" w:eastAsia="Calibri" w:hAnsi="Arial" w:cs="Arial"/>
                <w:sz w:val="20"/>
                <w:szCs w:val="20"/>
              </w:rPr>
              <w:t>(4) Davčni organ pri sestavi informativnega izračuna dohodnine ne upošteva podatkov o dohodkih iz kapitala in dohodkih iz oddajanja premoženja v najem zavezanca rezidenta.</w:t>
            </w:r>
          </w:p>
          <w:p w14:paraId="2B859343" w14:textId="77777777" w:rsidR="002316EF" w:rsidRPr="002316EF" w:rsidRDefault="002316EF" w:rsidP="002316EF">
            <w:pPr>
              <w:spacing w:after="0" w:line="276" w:lineRule="auto"/>
              <w:jc w:val="both"/>
              <w:rPr>
                <w:rFonts w:ascii="Arial" w:eastAsia="Calibri" w:hAnsi="Arial" w:cs="Arial"/>
                <w:sz w:val="20"/>
                <w:szCs w:val="20"/>
              </w:rPr>
            </w:pPr>
            <w:r w:rsidRPr="002316EF">
              <w:rPr>
                <w:rFonts w:ascii="Arial" w:eastAsia="Calibri" w:hAnsi="Arial" w:cs="Arial"/>
                <w:sz w:val="20"/>
                <w:szCs w:val="20"/>
              </w:rPr>
              <w:t>(5) Pri vštevanju davčnih osnov od dohodkov iz kapitala in dohodkov iz oddajanja premoženja v najem v letno davčno osnovo se dohodnina – izračunana od teh dohodkov z obračunom davčnega odtegljaja iz 1. točke prvega odstavka 325. člena ZDavP-2 in poračunana z odločbo iz tretjega odstavka 330. člena ZDavP-2, ali izračunana v odločbi, ki jo izda davčni organ, na podlagi napovedi zavezanca iz 2. točke prvega odstavka in šestega odstavka 325. člena ZDavP-2 – šteje za akontacijo dohodnine iz 272. člena ZDavP-2.</w:t>
            </w:r>
          </w:p>
          <w:p w14:paraId="62593A16" w14:textId="2B2A3AF2" w:rsidR="002316EF" w:rsidRDefault="002316EF" w:rsidP="002316EF">
            <w:pPr>
              <w:spacing w:after="0" w:line="276" w:lineRule="auto"/>
              <w:jc w:val="both"/>
              <w:rPr>
                <w:rFonts w:ascii="Arial" w:eastAsia="Calibri" w:hAnsi="Arial" w:cs="Arial"/>
                <w:sz w:val="20"/>
                <w:szCs w:val="20"/>
              </w:rPr>
            </w:pPr>
            <w:r w:rsidRPr="002316EF">
              <w:rPr>
                <w:rFonts w:ascii="Arial" w:eastAsia="Calibri" w:hAnsi="Arial" w:cs="Arial"/>
                <w:sz w:val="20"/>
                <w:szCs w:val="20"/>
              </w:rPr>
              <w:t>(6) Zavezanec rezident, ki se odloči za vštevanje davčnih osnov od dohodkov iz kapitala in dohodkov iz oddajanja premoženja v najem v letno davčno osnovo, uveljavlja odbitek davka, plačanega v tujini od teh dohodkov, ali oprostitev plačila davka od teh dohodkov po mednarodni pogodbi, kot je določeno v 328. in 329. členu ZDavP-2. V primerih, ko davčni organ začasno odločbo iz četrtega odstavka 328. člena ZDavP-2 razveljavi in jo nadomesti z novo odločbo, z novo odločbo nadomesti tudi odločbo o odmeri dohodnine, ki vsebuje podatke iz razveljavljene odločbe.</w:t>
            </w:r>
          </w:p>
          <w:p w14:paraId="0E242F4F" w14:textId="77777777" w:rsidR="00BC088D" w:rsidRDefault="00BC088D" w:rsidP="002316EF">
            <w:pPr>
              <w:spacing w:after="0" w:line="276" w:lineRule="auto"/>
              <w:jc w:val="both"/>
              <w:rPr>
                <w:rFonts w:ascii="Arial" w:eastAsia="Calibri" w:hAnsi="Arial" w:cs="Arial"/>
                <w:sz w:val="20"/>
                <w:szCs w:val="20"/>
              </w:rPr>
            </w:pPr>
          </w:p>
          <w:p w14:paraId="363197FB" w14:textId="77777777" w:rsidR="002316EF" w:rsidRDefault="002316EF" w:rsidP="006A740C">
            <w:pPr>
              <w:spacing w:after="0" w:line="276" w:lineRule="auto"/>
              <w:jc w:val="both"/>
              <w:rPr>
                <w:rFonts w:ascii="Arial" w:eastAsia="Calibri" w:hAnsi="Arial" w:cs="Arial"/>
                <w:sz w:val="20"/>
                <w:szCs w:val="20"/>
              </w:rPr>
            </w:pPr>
          </w:p>
          <w:p w14:paraId="02D0F028" w14:textId="77777777" w:rsidR="00E364A0" w:rsidRPr="00A678A6" w:rsidRDefault="00E364A0" w:rsidP="00A678A6">
            <w:pPr>
              <w:spacing w:after="0" w:line="276" w:lineRule="auto"/>
              <w:jc w:val="center"/>
              <w:rPr>
                <w:rFonts w:ascii="Arial" w:eastAsia="Calibri" w:hAnsi="Arial" w:cs="Arial"/>
                <w:b/>
                <w:sz w:val="20"/>
                <w:szCs w:val="20"/>
              </w:rPr>
            </w:pPr>
            <w:r w:rsidRPr="00A678A6">
              <w:rPr>
                <w:rFonts w:ascii="Arial" w:eastAsia="Calibri" w:hAnsi="Arial" w:cs="Arial"/>
                <w:b/>
                <w:sz w:val="20"/>
                <w:szCs w:val="20"/>
                <w:lang w:val="x-none"/>
              </w:rPr>
              <w:lastRenderedPageBreak/>
              <w:t>135.č člen</w:t>
            </w:r>
          </w:p>
          <w:p w14:paraId="2499F2B8" w14:textId="40F111B9" w:rsidR="00E364A0" w:rsidRDefault="00E364A0" w:rsidP="00E364A0">
            <w:pPr>
              <w:spacing w:after="0" w:line="276" w:lineRule="auto"/>
              <w:jc w:val="center"/>
              <w:rPr>
                <w:rFonts w:ascii="Arial" w:eastAsia="Calibri" w:hAnsi="Arial" w:cs="Arial"/>
                <w:b/>
                <w:bCs/>
                <w:sz w:val="20"/>
                <w:szCs w:val="20"/>
                <w:lang w:val="x-none"/>
              </w:rPr>
            </w:pPr>
            <w:r w:rsidRPr="00A678A6">
              <w:rPr>
                <w:rFonts w:ascii="Arial" w:eastAsia="Calibri" w:hAnsi="Arial" w:cs="Arial"/>
                <w:b/>
                <w:sz w:val="20"/>
                <w:szCs w:val="20"/>
                <w:lang w:val="x-none"/>
              </w:rPr>
              <w:t>(stopnja dohodnine od dohodka iz oddajanja premoženja v najem)</w:t>
            </w:r>
          </w:p>
          <w:p w14:paraId="7B41C5BD" w14:textId="77777777" w:rsidR="00E364A0" w:rsidRPr="00A678A6" w:rsidRDefault="00E364A0" w:rsidP="00A678A6">
            <w:pPr>
              <w:spacing w:after="0" w:line="276" w:lineRule="auto"/>
              <w:jc w:val="both"/>
              <w:rPr>
                <w:rFonts w:ascii="Arial" w:eastAsia="Calibri" w:hAnsi="Arial" w:cs="Arial"/>
                <w:sz w:val="20"/>
                <w:szCs w:val="20"/>
              </w:rPr>
            </w:pPr>
          </w:p>
          <w:p w14:paraId="41013B90" w14:textId="3A31F9D0" w:rsidR="00E364A0" w:rsidRPr="00E364A0" w:rsidRDefault="00E364A0" w:rsidP="00E364A0">
            <w:pPr>
              <w:spacing w:after="0" w:line="276" w:lineRule="auto"/>
              <w:jc w:val="both"/>
              <w:rPr>
                <w:rFonts w:ascii="Arial" w:eastAsia="Calibri" w:hAnsi="Arial" w:cs="Arial"/>
                <w:sz w:val="20"/>
                <w:szCs w:val="20"/>
              </w:rPr>
            </w:pPr>
            <w:r w:rsidRPr="00E364A0">
              <w:rPr>
                <w:rFonts w:ascii="Arial" w:eastAsia="Calibri" w:hAnsi="Arial" w:cs="Arial"/>
                <w:sz w:val="20"/>
                <w:szCs w:val="20"/>
                <w:lang w:val="x-none"/>
              </w:rPr>
              <w:t xml:space="preserve">Od dohodka iz oddajanja premoženja v </w:t>
            </w:r>
            <w:r w:rsidRPr="00E364A0" w:rsidDel="008E2F74">
              <w:rPr>
                <w:rFonts w:ascii="Arial" w:eastAsia="Calibri" w:hAnsi="Arial" w:cs="Arial"/>
                <w:sz w:val="20"/>
                <w:szCs w:val="20"/>
                <w:lang w:val="x-none"/>
              </w:rPr>
              <w:t xml:space="preserve">najem se </w:t>
            </w:r>
            <w:r w:rsidRPr="00E364A0">
              <w:rPr>
                <w:rFonts w:ascii="Arial" w:eastAsia="Calibri" w:hAnsi="Arial" w:cs="Arial"/>
                <w:sz w:val="20"/>
                <w:szCs w:val="20"/>
                <w:lang w:val="x-none"/>
              </w:rPr>
              <w:t xml:space="preserve">dohodnina izračuna in plača od davčne osnove, ugotovljene v skladu z določbami III.5.1. poglavja tega zakona, po stopnji </w:t>
            </w:r>
            <w:r w:rsidRPr="00E364A0">
              <w:rPr>
                <w:rFonts w:ascii="Arial" w:eastAsia="Calibri" w:hAnsi="Arial" w:cs="Arial"/>
                <w:sz w:val="20"/>
                <w:szCs w:val="20"/>
              </w:rPr>
              <w:t>15</w:t>
            </w:r>
            <w:r w:rsidRPr="00E364A0">
              <w:rPr>
                <w:rFonts w:ascii="Arial" w:eastAsia="Calibri" w:hAnsi="Arial" w:cs="Arial" w:hint="eastAsia"/>
                <w:sz w:val="20"/>
                <w:szCs w:val="20"/>
                <w:lang w:val="x-none"/>
              </w:rPr>
              <w:t> </w:t>
            </w:r>
            <w:r w:rsidRPr="00E364A0">
              <w:rPr>
                <w:rFonts w:ascii="Arial" w:eastAsia="Calibri" w:hAnsi="Arial" w:cs="Arial"/>
                <w:sz w:val="20"/>
                <w:szCs w:val="20"/>
                <w:lang w:val="x-none"/>
              </w:rPr>
              <w:t>% in se šteje kot dokončni davek.</w:t>
            </w:r>
          </w:p>
          <w:p w14:paraId="0384A496" w14:textId="77777777" w:rsidR="006A740C" w:rsidRPr="006A740C" w:rsidRDefault="006A740C" w:rsidP="006A740C">
            <w:pPr>
              <w:spacing w:after="0" w:line="276" w:lineRule="auto"/>
              <w:jc w:val="center"/>
              <w:rPr>
                <w:rFonts w:ascii="Arial" w:eastAsia="Calibri" w:hAnsi="Arial" w:cs="Arial"/>
                <w:b/>
                <w:bCs/>
                <w:sz w:val="20"/>
                <w:szCs w:val="20"/>
              </w:rPr>
            </w:pPr>
          </w:p>
          <w:p w14:paraId="1C074E0E" w14:textId="77777777" w:rsidR="00DD1916" w:rsidRPr="006A740C" w:rsidRDefault="00DD1916" w:rsidP="00DD1916">
            <w:pPr>
              <w:spacing w:after="0" w:line="276" w:lineRule="auto"/>
              <w:jc w:val="center"/>
              <w:rPr>
                <w:rFonts w:ascii="Arial" w:eastAsia="Calibri" w:hAnsi="Arial" w:cs="Arial"/>
                <w:b/>
                <w:bCs/>
                <w:sz w:val="20"/>
                <w:szCs w:val="20"/>
              </w:rPr>
            </w:pPr>
            <w:r w:rsidRPr="006A740C">
              <w:rPr>
                <w:rFonts w:ascii="Arial" w:eastAsia="Calibri" w:hAnsi="Arial" w:cs="Arial"/>
                <w:b/>
                <w:bCs/>
                <w:sz w:val="20"/>
                <w:szCs w:val="20"/>
              </w:rPr>
              <w:t>142. člen</w:t>
            </w:r>
          </w:p>
          <w:p w14:paraId="5F4A3B5D" w14:textId="77777777" w:rsidR="00DD1916" w:rsidRPr="006A740C" w:rsidRDefault="00DD1916" w:rsidP="00DD1916">
            <w:pPr>
              <w:spacing w:after="0" w:line="276" w:lineRule="auto"/>
              <w:jc w:val="center"/>
              <w:rPr>
                <w:rFonts w:ascii="Arial" w:eastAsia="Calibri" w:hAnsi="Arial" w:cs="Arial"/>
                <w:b/>
                <w:bCs/>
                <w:sz w:val="20"/>
                <w:szCs w:val="20"/>
              </w:rPr>
            </w:pPr>
            <w:r w:rsidRPr="006A740C">
              <w:rPr>
                <w:rFonts w:ascii="Arial" w:eastAsia="Calibri" w:hAnsi="Arial" w:cs="Arial"/>
                <w:b/>
                <w:bCs/>
                <w:sz w:val="20"/>
                <w:szCs w:val="20"/>
              </w:rPr>
              <w:t>(namenitev dela dohodnine za donacije)</w:t>
            </w:r>
          </w:p>
          <w:p w14:paraId="3DD4352E" w14:textId="77777777" w:rsidR="00DD1916" w:rsidRPr="006A740C" w:rsidRDefault="00DD1916" w:rsidP="00DD1916">
            <w:pPr>
              <w:spacing w:after="0" w:line="276" w:lineRule="auto"/>
              <w:jc w:val="both"/>
              <w:rPr>
                <w:rFonts w:ascii="Arial" w:eastAsia="Calibri" w:hAnsi="Arial" w:cs="Arial"/>
                <w:sz w:val="20"/>
                <w:szCs w:val="20"/>
              </w:rPr>
            </w:pPr>
          </w:p>
          <w:p w14:paraId="1108E9C0" w14:textId="77777777" w:rsidR="00DD1916" w:rsidRPr="006A740C" w:rsidRDefault="00DD1916" w:rsidP="00DD1916">
            <w:pPr>
              <w:spacing w:after="0" w:line="276" w:lineRule="auto"/>
              <w:jc w:val="both"/>
              <w:rPr>
                <w:rFonts w:ascii="Arial" w:eastAsia="Calibri" w:hAnsi="Arial" w:cs="Arial"/>
                <w:sz w:val="20"/>
                <w:szCs w:val="20"/>
              </w:rPr>
            </w:pPr>
            <w:r w:rsidRPr="006A740C">
              <w:rPr>
                <w:rFonts w:ascii="Arial" w:eastAsia="Calibri" w:hAnsi="Arial" w:cs="Arial"/>
                <w:sz w:val="20"/>
                <w:szCs w:val="20"/>
              </w:rPr>
              <w:t>(1) Rezident lahko zahteva, da se do 0,5% dohodnine, odmerjene po tem zakonu, od dohodkov, ki se vštevajo v letno davčno osnovo, nameni za financiranje upravičencev do donacij.</w:t>
            </w:r>
          </w:p>
          <w:p w14:paraId="1DFC1B88" w14:textId="77777777" w:rsidR="00DD1916" w:rsidRPr="006A740C" w:rsidRDefault="00DD1916" w:rsidP="00DD1916">
            <w:pPr>
              <w:spacing w:after="0" w:line="276" w:lineRule="auto"/>
              <w:jc w:val="both"/>
              <w:rPr>
                <w:rFonts w:ascii="Arial" w:eastAsia="Calibri" w:hAnsi="Arial" w:cs="Arial"/>
                <w:sz w:val="20"/>
                <w:szCs w:val="20"/>
              </w:rPr>
            </w:pPr>
            <w:r w:rsidRPr="006A740C">
              <w:rPr>
                <w:rFonts w:ascii="Arial" w:eastAsia="Calibri" w:hAnsi="Arial" w:cs="Arial"/>
                <w:sz w:val="20"/>
                <w:szCs w:val="20"/>
              </w:rPr>
              <w:t>(2) Upravičenci do donacij iz namenitve dela dohodnine za posamezno leto so nevladne organizacije, politične stranke, reprezentativni sindikati ter registrirane cerkve in druge verske skupnosti, ki na dan 31. decembra prejšnjega leta izpolnjujejo pogoje iz tega člena.</w:t>
            </w:r>
          </w:p>
          <w:p w14:paraId="6BB8ED65" w14:textId="77777777" w:rsidR="00DD1916" w:rsidRPr="006A740C" w:rsidRDefault="00DD1916" w:rsidP="00DD1916">
            <w:pPr>
              <w:spacing w:after="0" w:line="276" w:lineRule="auto"/>
              <w:jc w:val="both"/>
              <w:rPr>
                <w:rFonts w:ascii="Arial" w:eastAsia="Calibri" w:hAnsi="Arial" w:cs="Arial"/>
                <w:sz w:val="20"/>
                <w:szCs w:val="20"/>
              </w:rPr>
            </w:pPr>
            <w:r w:rsidRPr="006A740C">
              <w:rPr>
                <w:rFonts w:ascii="Arial" w:eastAsia="Calibri" w:hAnsi="Arial" w:cs="Arial"/>
                <w:sz w:val="20"/>
                <w:szCs w:val="20"/>
              </w:rPr>
              <w:t>(3) Za nevladne organizacije po drugem odstavku tega člena se štejejo tiste nevladne organizacije, ki imajo v skladu z zakonom, ki ureja nevladne organizacije, status nevladne organizacije v javnem interesu.</w:t>
            </w:r>
          </w:p>
          <w:p w14:paraId="3078365A" w14:textId="77777777" w:rsidR="00DD1916" w:rsidRPr="006A740C" w:rsidRDefault="00DD1916" w:rsidP="00DD1916">
            <w:pPr>
              <w:spacing w:after="0" w:line="276" w:lineRule="auto"/>
              <w:jc w:val="both"/>
              <w:rPr>
                <w:rFonts w:ascii="Arial" w:eastAsia="Calibri" w:hAnsi="Arial" w:cs="Arial"/>
                <w:sz w:val="20"/>
                <w:szCs w:val="20"/>
              </w:rPr>
            </w:pPr>
            <w:r w:rsidRPr="006A740C">
              <w:rPr>
                <w:rFonts w:ascii="Arial" w:eastAsia="Calibri" w:hAnsi="Arial" w:cs="Arial"/>
                <w:sz w:val="20"/>
                <w:szCs w:val="20"/>
              </w:rPr>
              <w:t>(4) Za politične stranke, reprezentativne sindikate ter registrirane cerkve in druge verske skupnosti po drugem odstavku tega člena se štejejo subjekti, ki imajo v skladu z zakonom, ki ureja politične stranke, reprezentativne sindikate oziroma versko svobodo, status politične stranke, reprezentativnega sindikata oziroma registrirane cerkve in druge verske skupnosti.</w:t>
            </w:r>
          </w:p>
          <w:p w14:paraId="0EC9DB83" w14:textId="77777777" w:rsidR="00DD1916" w:rsidRPr="006A740C" w:rsidRDefault="00DD1916" w:rsidP="00DD1916">
            <w:pPr>
              <w:spacing w:after="0" w:line="276" w:lineRule="auto"/>
              <w:jc w:val="both"/>
              <w:rPr>
                <w:rFonts w:ascii="Arial" w:eastAsia="Calibri" w:hAnsi="Arial" w:cs="Arial"/>
                <w:sz w:val="20"/>
                <w:szCs w:val="20"/>
              </w:rPr>
            </w:pPr>
            <w:r w:rsidRPr="006A740C">
              <w:rPr>
                <w:rFonts w:ascii="Arial" w:eastAsia="Calibri" w:hAnsi="Arial" w:cs="Arial"/>
                <w:sz w:val="20"/>
                <w:szCs w:val="20"/>
              </w:rPr>
              <w:t>(5) Agencija Republike Slovenije za javnopravne evidence in storitve, ki je v skladu z zakonom, ki ureja nevladne organizacije, pristojna za vodenje Evidence nevladnih organizacij v javnem interesu, Finančni upravi Republike Slovenije brezplačno, enkrat letno zagotovi podatke iz te evidence, potrebne za namene priprave in objave seznama upravičencev do donacij.</w:t>
            </w:r>
          </w:p>
          <w:p w14:paraId="70F6E8A2" w14:textId="77777777" w:rsidR="00DD1916" w:rsidRPr="006A740C" w:rsidRDefault="00DD1916" w:rsidP="00DD1916">
            <w:pPr>
              <w:spacing w:after="0" w:line="276" w:lineRule="auto"/>
              <w:jc w:val="both"/>
              <w:rPr>
                <w:rFonts w:ascii="Arial" w:eastAsia="Calibri" w:hAnsi="Arial" w:cs="Arial"/>
                <w:sz w:val="20"/>
                <w:szCs w:val="20"/>
              </w:rPr>
            </w:pPr>
            <w:r w:rsidRPr="006A740C">
              <w:rPr>
                <w:rFonts w:ascii="Arial" w:eastAsia="Calibri" w:hAnsi="Arial" w:cs="Arial"/>
                <w:sz w:val="20"/>
                <w:szCs w:val="20"/>
              </w:rPr>
              <w:t>(6) Organ, ki je v skladu z zakonom, ki ureja versko svobodo, pristojen za vodenje Registra cerkva in drugih verskih skupnosti v Republiki Sloveniji, ter organ, ki je v skladu z zakonom, ki ureja politične stranke, pristojen za vodenje Registra strank, ministrstvu, pristojnem za finance, brezplačno, enkrat letno zagotovi podatke iz teh registrov, potrebne za namene priprave seznama upravičencev do donacij.</w:t>
            </w:r>
          </w:p>
          <w:p w14:paraId="4B4789F5" w14:textId="77777777" w:rsidR="00DD1916" w:rsidRPr="006A740C" w:rsidRDefault="00DD1916" w:rsidP="00DD1916">
            <w:pPr>
              <w:spacing w:after="0" w:line="276" w:lineRule="auto"/>
              <w:jc w:val="both"/>
              <w:rPr>
                <w:rFonts w:ascii="Arial" w:eastAsia="Calibri" w:hAnsi="Arial" w:cs="Arial"/>
                <w:sz w:val="20"/>
                <w:szCs w:val="20"/>
              </w:rPr>
            </w:pPr>
            <w:r w:rsidRPr="006A740C">
              <w:rPr>
                <w:rFonts w:ascii="Arial" w:eastAsia="Calibri" w:hAnsi="Arial" w:cs="Arial"/>
                <w:sz w:val="20"/>
                <w:szCs w:val="20"/>
              </w:rPr>
              <w:t>(7) Organ, ki je v skladu z zakonom, ki ureja reprezentativnost sindikatov, pristojen za odločanje o reprezentativnosti sindikatov, ministrstvu, pristojnem za finance, brezplačno, enkrat letno zagotovi podatke, potrebne za namene priprave seznama upravičencev do donacij.</w:t>
            </w:r>
          </w:p>
          <w:p w14:paraId="7C861A72" w14:textId="128466A1" w:rsidR="006A740C" w:rsidRPr="004513FD" w:rsidRDefault="00DD1916" w:rsidP="00DD1916">
            <w:pPr>
              <w:spacing w:after="0" w:line="276" w:lineRule="auto"/>
              <w:jc w:val="both"/>
              <w:rPr>
                <w:rFonts w:ascii="Arial" w:eastAsia="Calibri" w:hAnsi="Arial" w:cs="Arial"/>
                <w:sz w:val="20"/>
                <w:szCs w:val="20"/>
              </w:rPr>
            </w:pPr>
            <w:r w:rsidRPr="006A740C">
              <w:rPr>
                <w:rFonts w:ascii="Arial" w:eastAsia="Calibri" w:hAnsi="Arial" w:cs="Arial"/>
                <w:sz w:val="20"/>
                <w:szCs w:val="20"/>
              </w:rPr>
              <w:t>(8) Vlada določi podrobnejši način izvajanja tega člena in določi seznam upravičencev do donacij po tem členu.</w:t>
            </w:r>
          </w:p>
        </w:tc>
      </w:tr>
      <w:tr w:rsidR="004513FD" w:rsidRPr="004513FD" w14:paraId="08E27D85" w14:textId="77777777" w:rsidTr="13B2E1A2">
        <w:trPr>
          <w:trHeight w:val="2629"/>
        </w:trPr>
        <w:tc>
          <w:tcPr>
            <w:tcW w:w="9072" w:type="dxa"/>
            <w:shd w:val="clear" w:color="auto" w:fill="auto"/>
          </w:tcPr>
          <w:p w14:paraId="52092E33" w14:textId="3F6798F6" w:rsidR="004513FD" w:rsidRDefault="004513FD" w:rsidP="00AE0FEF">
            <w:pPr>
              <w:spacing w:after="0" w:line="276" w:lineRule="auto"/>
              <w:jc w:val="both"/>
              <w:rPr>
                <w:rFonts w:ascii="Arial" w:eastAsia="Calibri" w:hAnsi="Arial" w:cs="Arial"/>
                <w:sz w:val="20"/>
                <w:szCs w:val="20"/>
              </w:rPr>
            </w:pPr>
          </w:p>
          <w:p w14:paraId="0463E4DF" w14:textId="77777777" w:rsidR="00AE0FEF" w:rsidRDefault="00AE0FEF" w:rsidP="00AE0FEF">
            <w:pPr>
              <w:spacing w:after="0" w:line="276" w:lineRule="auto"/>
              <w:jc w:val="both"/>
              <w:rPr>
                <w:rFonts w:ascii="Arial" w:eastAsia="Calibri" w:hAnsi="Arial" w:cs="Arial"/>
                <w:sz w:val="20"/>
                <w:szCs w:val="20"/>
              </w:rPr>
            </w:pPr>
          </w:p>
          <w:p w14:paraId="1457EC45" w14:textId="77777777" w:rsidR="00AE0FEF" w:rsidRDefault="00AE0FEF" w:rsidP="00AE0FEF">
            <w:pPr>
              <w:spacing w:after="0" w:line="276" w:lineRule="auto"/>
              <w:jc w:val="both"/>
              <w:rPr>
                <w:rFonts w:ascii="Arial" w:eastAsia="Calibri" w:hAnsi="Arial" w:cs="Arial"/>
                <w:sz w:val="20"/>
                <w:szCs w:val="20"/>
              </w:rPr>
            </w:pPr>
            <w:r>
              <w:rPr>
                <w:rFonts w:ascii="Arial" w:eastAsia="Calibri" w:hAnsi="Arial" w:cs="Arial"/>
                <w:sz w:val="20"/>
                <w:szCs w:val="20"/>
              </w:rPr>
              <w:t xml:space="preserve">b) </w:t>
            </w:r>
            <w:r w:rsidRPr="00AE0FEF">
              <w:rPr>
                <w:rFonts w:ascii="Arial" w:eastAsia="Calibri" w:hAnsi="Arial" w:cs="Arial"/>
                <w:sz w:val="20"/>
                <w:szCs w:val="20"/>
              </w:rPr>
              <w:t>ZAKON O SPREMEMBAH IN DOPOLNITVAH ZAKONA O DOHODNINI (ZDoh-2Z)</w:t>
            </w:r>
          </w:p>
          <w:p w14:paraId="6C085AA1" w14:textId="77777777" w:rsidR="00AE0FEF" w:rsidRPr="00AE0FEF" w:rsidRDefault="00AE0FEF" w:rsidP="00AE0FEF">
            <w:pPr>
              <w:spacing w:after="0" w:line="276" w:lineRule="auto"/>
              <w:jc w:val="both"/>
              <w:rPr>
                <w:rFonts w:ascii="Arial" w:eastAsia="Calibri" w:hAnsi="Arial" w:cs="Arial"/>
                <w:sz w:val="20"/>
                <w:szCs w:val="20"/>
              </w:rPr>
            </w:pPr>
          </w:p>
          <w:p w14:paraId="1789B1A6" w14:textId="29EBB226" w:rsidR="00AE0FEF" w:rsidRPr="00AE0FEF" w:rsidRDefault="00AE0FEF" w:rsidP="00AE0FEF">
            <w:pPr>
              <w:spacing w:after="0" w:line="276" w:lineRule="auto"/>
              <w:jc w:val="center"/>
              <w:rPr>
                <w:rFonts w:ascii="Arial" w:eastAsia="Calibri" w:hAnsi="Arial" w:cs="Arial"/>
                <w:b/>
                <w:bCs/>
                <w:sz w:val="20"/>
                <w:szCs w:val="20"/>
              </w:rPr>
            </w:pPr>
            <w:r w:rsidRPr="00AE0FEF">
              <w:rPr>
                <w:rFonts w:ascii="Arial" w:eastAsia="Calibri" w:hAnsi="Arial" w:cs="Arial"/>
                <w:b/>
                <w:bCs/>
                <w:sz w:val="20"/>
                <w:szCs w:val="20"/>
              </w:rPr>
              <w:t>28. člen</w:t>
            </w:r>
          </w:p>
          <w:p w14:paraId="1870FB28" w14:textId="60F4073B" w:rsidR="00AE0FEF" w:rsidRPr="00AE0FEF" w:rsidRDefault="00AE0FEF" w:rsidP="00AE0FEF">
            <w:pPr>
              <w:spacing w:after="0" w:line="276" w:lineRule="auto"/>
              <w:jc w:val="center"/>
              <w:rPr>
                <w:rFonts w:ascii="Arial" w:eastAsia="Calibri" w:hAnsi="Arial" w:cs="Arial"/>
                <w:b/>
                <w:bCs/>
                <w:sz w:val="20"/>
                <w:szCs w:val="20"/>
              </w:rPr>
            </w:pPr>
            <w:r w:rsidRPr="00AE0FEF">
              <w:rPr>
                <w:rFonts w:ascii="Arial" w:eastAsia="Calibri" w:hAnsi="Arial" w:cs="Arial"/>
                <w:b/>
                <w:bCs/>
                <w:sz w:val="20"/>
                <w:szCs w:val="20"/>
              </w:rPr>
              <w:t>(postopno dvigovanje splošne olajšave)</w:t>
            </w:r>
          </w:p>
          <w:p w14:paraId="0CC64F4F" w14:textId="77777777" w:rsidR="00AE0FEF" w:rsidRPr="00AE0FEF" w:rsidRDefault="00AE0FEF" w:rsidP="00AE0FEF">
            <w:pPr>
              <w:spacing w:after="0" w:line="276" w:lineRule="auto"/>
              <w:jc w:val="center"/>
              <w:rPr>
                <w:rFonts w:ascii="Arial" w:eastAsia="Calibri" w:hAnsi="Arial" w:cs="Arial"/>
                <w:sz w:val="20"/>
                <w:szCs w:val="20"/>
              </w:rPr>
            </w:pPr>
          </w:p>
          <w:p w14:paraId="415FFCCE" w14:textId="77777777" w:rsidR="00AE0FEF" w:rsidRPr="00AE0FEF" w:rsidRDefault="00AE0FEF" w:rsidP="00AE0FEF">
            <w:pPr>
              <w:spacing w:after="0" w:line="276" w:lineRule="auto"/>
              <w:jc w:val="both"/>
              <w:rPr>
                <w:rFonts w:ascii="Arial" w:eastAsia="Calibri" w:hAnsi="Arial" w:cs="Arial"/>
                <w:sz w:val="20"/>
                <w:szCs w:val="20"/>
              </w:rPr>
            </w:pPr>
            <w:r w:rsidRPr="00AE0FEF">
              <w:rPr>
                <w:rFonts w:ascii="Arial" w:eastAsia="Calibri" w:hAnsi="Arial" w:cs="Arial"/>
                <w:sz w:val="20"/>
                <w:szCs w:val="20"/>
              </w:rPr>
              <w:t>Ne glede na prvi odstavek spremenjenega 111. člena zakona znaša za davčno leto 2022 splošna olajšava 4.500 eurov, za davčno leto 2023 5.500 eurov in za davčno leto 2024 6.500 eurov.</w:t>
            </w:r>
          </w:p>
          <w:p w14:paraId="78109E0F" w14:textId="77777777" w:rsidR="00AE0FEF" w:rsidRDefault="00AE0FEF" w:rsidP="00AE0FEF">
            <w:pPr>
              <w:spacing w:after="0" w:line="276" w:lineRule="auto"/>
              <w:jc w:val="center"/>
              <w:rPr>
                <w:rFonts w:ascii="Arial" w:eastAsia="Calibri" w:hAnsi="Arial" w:cs="Arial"/>
                <w:sz w:val="20"/>
                <w:szCs w:val="20"/>
              </w:rPr>
            </w:pPr>
          </w:p>
          <w:p w14:paraId="1A724B6C" w14:textId="2EDD3A41" w:rsidR="00AE0FEF" w:rsidRPr="00AE0FEF" w:rsidRDefault="00AE0FEF" w:rsidP="00AE0FEF">
            <w:pPr>
              <w:spacing w:after="0" w:line="276" w:lineRule="auto"/>
              <w:jc w:val="center"/>
              <w:rPr>
                <w:rFonts w:ascii="Arial" w:eastAsia="Calibri" w:hAnsi="Arial" w:cs="Arial"/>
                <w:b/>
                <w:bCs/>
                <w:sz w:val="20"/>
                <w:szCs w:val="20"/>
              </w:rPr>
            </w:pPr>
            <w:r w:rsidRPr="00AE0FEF">
              <w:rPr>
                <w:rFonts w:ascii="Arial" w:eastAsia="Calibri" w:hAnsi="Arial" w:cs="Arial"/>
                <w:b/>
                <w:bCs/>
                <w:sz w:val="20"/>
                <w:szCs w:val="20"/>
              </w:rPr>
              <w:t>29. člen</w:t>
            </w:r>
          </w:p>
          <w:p w14:paraId="2DC426E2" w14:textId="308CAC79" w:rsidR="00AE0FEF" w:rsidRPr="00AE0FEF" w:rsidRDefault="00AE0FEF" w:rsidP="00AE0FEF">
            <w:pPr>
              <w:spacing w:after="0" w:line="276" w:lineRule="auto"/>
              <w:jc w:val="center"/>
              <w:rPr>
                <w:rFonts w:ascii="Arial" w:eastAsia="Calibri" w:hAnsi="Arial" w:cs="Arial"/>
                <w:b/>
                <w:bCs/>
                <w:sz w:val="20"/>
                <w:szCs w:val="20"/>
              </w:rPr>
            </w:pPr>
            <w:r w:rsidRPr="00AE0FEF">
              <w:rPr>
                <w:rFonts w:ascii="Arial" w:eastAsia="Calibri" w:hAnsi="Arial" w:cs="Arial"/>
                <w:b/>
                <w:bCs/>
                <w:sz w:val="20"/>
                <w:szCs w:val="20"/>
              </w:rPr>
              <w:t>(prva uskladitev olajšav in lestvice za odmero dohodnine)</w:t>
            </w:r>
          </w:p>
          <w:p w14:paraId="1FC15DB9" w14:textId="77777777" w:rsidR="00AE0FEF" w:rsidRPr="00AE0FEF" w:rsidRDefault="00AE0FEF" w:rsidP="00AE0FEF">
            <w:pPr>
              <w:spacing w:after="0" w:line="276" w:lineRule="auto"/>
              <w:jc w:val="center"/>
              <w:rPr>
                <w:rFonts w:ascii="Arial" w:eastAsia="Calibri" w:hAnsi="Arial" w:cs="Arial"/>
                <w:sz w:val="20"/>
                <w:szCs w:val="20"/>
              </w:rPr>
            </w:pPr>
          </w:p>
          <w:p w14:paraId="59146BDD" w14:textId="77777777" w:rsidR="00AE0FEF" w:rsidRPr="00AE0FEF" w:rsidRDefault="00AE0FEF" w:rsidP="00AE0FEF">
            <w:pPr>
              <w:spacing w:after="0" w:line="276" w:lineRule="auto"/>
              <w:jc w:val="both"/>
              <w:rPr>
                <w:rFonts w:ascii="Arial" w:eastAsia="Calibri" w:hAnsi="Arial" w:cs="Arial"/>
                <w:sz w:val="20"/>
                <w:szCs w:val="20"/>
              </w:rPr>
            </w:pPr>
            <w:r w:rsidRPr="00AE0FEF">
              <w:rPr>
                <w:rFonts w:ascii="Arial" w:eastAsia="Calibri" w:hAnsi="Arial" w:cs="Arial"/>
                <w:sz w:val="20"/>
                <w:szCs w:val="20"/>
              </w:rPr>
              <w:t>(1) Prva uskladitev v skladu s spremenjenim 118. členom zakona ter drugim in tretjim odstavkom spremenjenega 122. člena zakona se opravi za leto 2022.</w:t>
            </w:r>
          </w:p>
          <w:p w14:paraId="451704BC" w14:textId="77777777" w:rsidR="00AE0FEF" w:rsidRDefault="00AE0FEF" w:rsidP="004513FD">
            <w:pPr>
              <w:spacing w:before="240" w:after="100" w:line="276" w:lineRule="auto"/>
              <w:jc w:val="both"/>
              <w:rPr>
                <w:rFonts w:ascii="Arial" w:eastAsia="Calibri" w:hAnsi="Arial" w:cs="Arial"/>
                <w:sz w:val="20"/>
                <w:szCs w:val="20"/>
              </w:rPr>
            </w:pPr>
            <w:r w:rsidRPr="00AE0FEF">
              <w:rPr>
                <w:rFonts w:ascii="Arial" w:eastAsia="Calibri" w:hAnsi="Arial" w:cs="Arial"/>
                <w:sz w:val="20"/>
                <w:szCs w:val="20"/>
              </w:rPr>
              <w:lastRenderedPageBreak/>
              <w:t>(2) Ne glede na prejšnji odstavek se prva uskladitev zneska splošne olajšave iz spremenjenega 111. člena zakona v skladu s spremenjenim 118. členom zakona opravi za davčno leto, ki sledi davčnemu letu, v katerem se v skladu z 28. členom tega zakona začne uporabljati splošna olajšava, določena v prvem odstavku spremenjenega 111. člena zakona.</w:t>
            </w:r>
          </w:p>
          <w:p w14:paraId="184ACE8C" w14:textId="24AABCBA" w:rsidR="00AE0FEF" w:rsidRPr="00FE4C22" w:rsidRDefault="00AE0FEF" w:rsidP="004513FD">
            <w:pPr>
              <w:spacing w:before="240" w:after="100" w:line="276" w:lineRule="auto"/>
              <w:jc w:val="both"/>
              <w:rPr>
                <w:rFonts w:ascii="Arial" w:eastAsia="Calibri" w:hAnsi="Arial" w:cs="Arial"/>
                <w:sz w:val="20"/>
                <w:szCs w:val="20"/>
              </w:rPr>
            </w:pPr>
          </w:p>
        </w:tc>
      </w:tr>
    </w:tbl>
    <w:p w14:paraId="0929D361" w14:textId="71A8580A" w:rsidR="00130AA9" w:rsidRDefault="00130AA9">
      <w:r>
        <w:lastRenderedPageBreak/>
        <w:br/>
      </w:r>
    </w:p>
    <w:p w14:paraId="632B2A39" w14:textId="77777777" w:rsidR="00336281" w:rsidRDefault="00336281">
      <w:pPr>
        <w:rPr>
          <w:rFonts w:ascii="Arial" w:eastAsia="Times New Roman" w:hAnsi="Arial" w:cs="Arial"/>
          <w:b/>
          <w:sz w:val="20"/>
          <w:szCs w:val="20"/>
          <w:lang w:eastAsia="sl-SI"/>
        </w:rPr>
      </w:pPr>
      <w:r>
        <w:rPr>
          <w:rFonts w:ascii="Arial" w:eastAsia="Times New Roman" w:hAnsi="Arial" w:cs="Arial"/>
          <w:b/>
          <w:sz w:val="20"/>
          <w:szCs w:val="20"/>
          <w:lang w:eastAsia="sl-SI"/>
        </w:rPr>
        <w:br w:type="page"/>
      </w:r>
    </w:p>
    <w:p w14:paraId="5F6CC3D9" w14:textId="1507B158" w:rsidR="00462A9F" w:rsidRPr="00462A9F" w:rsidRDefault="00462A9F" w:rsidP="00462A9F">
      <w:pPr>
        <w:rPr>
          <w:rFonts w:ascii="Arial" w:eastAsia="Times New Roman" w:hAnsi="Arial" w:cs="Arial"/>
          <w:b/>
          <w:sz w:val="20"/>
          <w:szCs w:val="20"/>
          <w:lang w:eastAsia="sl-SI"/>
        </w:rPr>
      </w:pPr>
      <w:r w:rsidRPr="00462A9F">
        <w:rPr>
          <w:rFonts w:ascii="Arial" w:eastAsia="Times New Roman" w:hAnsi="Arial" w:cs="Arial"/>
          <w:b/>
          <w:sz w:val="20"/>
          <w:szCs w:val="20"/>
          <w:lang w:eastAsia="sl-SI"/>
        </w:rPr>
        <w:lastRenderedPageBreak/>
        <w:t>V. PREDLOG, DA SE PREDLOG ZAKONA OBRAVNAVA PO NUJNEM OZIROMA SKRAJŠANEM POSTOPKU</w:t>
      </w:r>
    </w:p>
    <w:p w14:paraId="6AA2513E" w14:textId="2B3167A8" w:rsidR="00462A9F" w:rsidRPr="00F32E28" w:rsidRDefault="00C830EC" w:rsidP="00462A9F">
      <w:pPr>
        <w:jc w:val="both"/>
        <w:rPr>
          <w:rFonts w:ascii="Arial" w:eastAsia="Times New Roman" w:hAnsi="Arial" w:cs="Arial"/>
          <w:bCs/>
          <w:sz w:val="20"/>
          <w:szCs w:val="20"/>
          <w:lang w:eastAsia="sl-SI"/>
        </w:rPr>
      </w:pPr>
      <w:r w:rsidRPr="00C830EC">
        <w:rPr>
          <w:rFonts w:ascii="Arial" w:eastAsia="Times New Roman" w:hAnsi="Arial" w:cs="Arial"/>
          <w:bCs/>
          <w:sz w:val="20"/>
          <w:szCs w:val="20"/>
          <w:lang w:eastAsia="sl-SI"/>
        </w:rPr>
        <w:t>V skladu s prvim odstavkom 143.</w:t>
      </w:r>
      <w:r w:rsidR="0029742B">
        <w:rPr>
          <w:rFonts w:ascii="Arial" w:eastAsia="Times New Roman" w:hAnsi="Arial" w:cs="Arial"/>
          <w:bCs/>
          <w:sz w:val="20"/>
          <w:szCs w:val="20"/>
          <w:lang w:eastAsia="sl-SI"/>
        </w:rPr>
        <w:t> </w:t>
      </w:r>
      <w:r w:rsidRPr="00C830EC">
        <w:rPr>
          <w:rFonts w:ascii="Arial" w:eastAsia="Times New Roman" w:hAnsi="Arial" w:cs="Arial"/>
          <w:bCs/>
          <w:sz w:val="20"/>
          <w:szCs w:val="20"/>
          <w:lang w:eastAsia="sl-SI"/>
        </w:rPr>
        <w:t>člena Poslovnika Državnega zbora RS (Uradni list RS, št.</w:t>
      </w:r>
      <w:r w:rsidR="0029742B">
        <w:rPr>
          <w:rFonts w:ascii="Arial" w:eastAsia="Times New Roman" w:hAnsi="Arial" w:cs="Arial"/>
          <w:bCs/>
          <w:sz w:val="20"/>
          <w:szCs w:val="20"/>
          <w:lang w:eastAsia="sl-SI"/>
        </w:rPr>
        <w:t> </w:t>
      </w:r>
      <w:r w:rsidRPr="00C830EC">
        <w:rPr>
          <w:rFonts w:ascii="Arial" w:eastAsia="Times New Roman" w:hAnsi="Arial" w:cs="Arial"/>
          <w:bCs/>
          <w:sz w:val="20"/>
          <w:szCs w:val="20"/>
          <w:lang w:eastAsia="sl-SI"/>
        </w:rPr>
        <w:t xml:space="preserve">92/07 – uradno prečiščeno besedilo, 105/10, 80/13, 38/17, 36/20, 105/21 – </w:t>
      </w:r>
      <w:proofErr w:type="spellStart"/>
      <w:r w:rsidRPr="00C830EC">
        <w:rPr>
          <w:rFonts w:ascii="Arial" w:eastAsia="Times New Roman" w:hAnsi="Arial" w:cs="Arial"/>
          <w:bCs/>
          <w:sz w:val="20"/>
          <w:szCs w:val="20"/>
          <w:lang w:eastAsia="sl-SI"/>
        </w:rPr>
        <w:t>odl</w:t>
      </w:r>
      <w:proofErr w:type="spellEnd"/>
      <w:r w:rsidRPr="00C830EC">
        <w:rPr>
          <w:rFonts w:ascii="Arial" w:eastAsia="Times New Roman" w:hAnsi="Arial" w:cs="Arial"/>
          <w:bCs/>
          <w:sz w:val="20"/>
          <w:szCs w:val="20"/>
          <w:lang w:eastAsia="sl-SI"/>
        </w:rPr>
        <w:t xml:space="preserve">. US in 111/21) vlada predlaga obravnavo predloga zakona po nujnem postopku, ker bi v primeru </w:t>
      </w:r>
      <w:r w:rsidR="0029742B">
        <w:rPr>
          <w:rFonts w:ascii="Arial" w:eastAsia="Times New Roman" w:hAnsi="Arial" w:cs="Arial"/>
          <w:bCs/>
          <w:sz w:val="20"/>
          <w:szCs w:val="20"/>
          <w:lang w:eastAsia="sl-SI"/>
        </w:rPr>
        <w:t>poznejšega</w:t>
      </w:r>
      <w:r w:rsidRPr="00C830EC">
        <w:rPr>
          <w:rFonts w:ascii="Arial" w:eastAsia="Times New Roman" w:hAnsi="Arial" w:cs="Arial"/>
          <w:bCs/>
          <w:sz w:val="20"/>
          <w:szCs w:val="20"/>
          <w:lang w:eastAsia="sl-SI"/>
        </w:rPr>
        <w:t xml:space="preserve"> sprejetja predloga zakona lahko nastale težko popravljive posledice za državo. Namreč v luči napovedanih makroekonomskih gibanj in tveganj, povezanih tako z visoko inflacijo kot vojno v Ukrajini, je pomembno, da določimo ustrezno fiskalno pot konsolidacije, ki ne bo imela učinkov na rast in investicije. Predlagane rešitve v predlogu zakona, ki imajo finančni vpliv, so tako prilagojene javnofinančnim zmožnostim, s tem pa se lahko usmerja</w:t>
      </w:r>
      <w:r w:rsidR="0029742B">
        <w:rPr>
          <w:rFonts w:ascii="Arial" w:eastAsia="Times New Roman" w:hAnsi="Arial" w:cs="Arial"/>
          <w:bCs/>
          <w:sz w:val="20"/>
          <w:szCs w:val="20"/>
          <w:lang w:eastAsia="sl-SI"/>
        </w:rPr>
        <w:t>jo</w:t>
      </w:r>
      <w:r w:rsidRPr="00C830EC">
        <w:rPr>
          <w:rFonts w:ascii="Arial" w:eastAsia="Times New Roman" w:hAnsi="Arial" w:cs="Arial"/>
          <w:bCs/>
          <w:sz w:val="20"/>
          <w:szCs w:val="20"/>
          <w:lang w:eastAsia="sl-SI"/>
        </w:rPr>
        <w:t xml:space="preserve"> dodatna sredstva tudi na ukrepe, nujno potrebn</w:t>
      </w:r>
      <w:r w:rsidR="0029742B">
        <w:rPr>
          <w:rFonts w:ascii="Arial" w:eastAsia="Times New Roman" w:hAnsi="Arial" w:cs="Arial"/>
          <w:bCs/>
          <w:sz w:val="20"/>
          <w:szCs w:val="20"/>
          <w:lang w:eastAsia="sl-SI"/>
        </w:rPr>
        <w:t>e</w:t>
      </w:r>
      <w:r w:rsidRPr="00C830EC">
        <w:rPr>
          <w:rFonts w:ascii="Arial" w:eastAsia="Times New Roman" w:hAnsi="Arial" w:cs="Arial"/>
          <w:bCs/>
          <w:sz w:val="20"/>
          <w:szCs w:val="20"/>
          <w:lang w:eastAsia="sl-SI"/>
        </w:rPr>
        <w:t xml:space="preserve"> v aktualnih razmerah. Spremembe je treba uveljaviti čim prej, da bo gospodarstvo in tudi prebivalstvo čim prej in s čim večjo gotovostjo seznanjeno o pogojih poslovanja oziroma delovanja v naslednjem obdobju, da bo lahko tudi davčni vidik pravočasno upoštevalo v okviru svojih načrtov okrevanja oziroma poslovanja. Spremembe zakona pa zahtevajo tudi pripravo in uveljavitev podzakonskih aktov najpozneje do začetka uporabe zakona oziroma čim prej po uveljavitvi zakona zaradi ustreznih prilagoditev davčnega organa </w:t>
      </w:r>
      <w:r w:rsidR="0029742B">
        <w:rPr>
          <w:rFonts w:ascii="Arial" w:eastAsia="Times New Roman" w:hAnsi="Arial" w:cs="Arial"/>
          <w:bCs/>
          <w:sz w:val="20"/>
          <w:szCs w:val="20"/>
          <w:lang w:eastAsia="sl-SI"/>
        </w:rPr>
        <w:t>in tudi</w:t>
      </w:r>
      <w:r w:rsidRPr="00C830EC">
        <w:rPr>
          <w:rFonts w:ascii="Arial" w:eastAsia="Times New Roman" w:hAnsi="Arial" w:cs="Arial"/>
          <w:bCs/>
          <w:sz w:val="20"/>
          <w:szCs w:val="20"/>
          <w:lang w:eastAsia="sl-SI"/>
        </w:rPr>
        <w:t xml:space="preserve"> zavezancev za davek.</w:t>
      </w:r>
    </w:p>
    <w:p w14:paraId="75BE5FB6" w14:textId="256EAA16" w:rsidR="00B36760" w:rsidRDefault="00B36760">
      <w:pPr>
        <w:rPr>
          <w:rFonts w:ascii="Arial" w:eastAsia="Times New Roman" w:hAnsi="Arial" w:cs="Arial"/>
          <w:b/>
          <w:sz w:val="20"/>
          <w:szCs w:val="20"/>
          <w:lang w:eastAsia="sl-SI"/>
        </w:rPr>
      </w:pPr>
      <w:r>
        <w:rPr>
          <w:rFonts w:ascii="Arial" w:eastAsia="Times New Roman" w:hAnsi="Arial" w:cs="Arial"/>
          <w:b/>
          <w:sz w:val="20"/>
          <w:szCs w:val="20"/>
          <w:lang w:eastAsia="sl-SI"/>
        </w:rPr>
        <w:br w:type="page"/>
      </w:r>
    </w:p>
    <w:p w14:paraId="64C9AF85" w14:textId="77777777" w:rsidR="00C830EC" w:rsidRDefault="00C830EC">
      <w:pPr>
        <w:sectPr w:rsidR="00C830EC" w:rsidSect="00AA27AE">
          <w:headerReference w:type="first" r:id="rId17"/>
          <w:pgSz w:w="11906" w:h="16838"/>
          <w:pgMar w:top="1417" w:right="1417" w:bottom="1417" w:left="1417" w:header="708" w:footer="708" w:gutter="0"/>
          <w:cols w:space="708"/>
          <w:docGrid w:linePitch="360"/>
        </w:sectPr>
      </w:pPr>
    </w:p>
    <w:p w14:paraId="78ED1330" w14:textId="77777777" w:rsidR="00130AA9" w:rsidRPr="00D942E3" w:rsidRDefault="00130AA9" w:rsidP="00130AA9">
      <w:pPr>
        <w:rPr>
          <w:rFonts w:ascii="Arial" w:eastAsia="Times New Roman" w:hAnsi="Arial" w:cs="Arial"/>
          <w:b/>
          <w:sz w:val="20"/>
          <w:szCs w:val="20"/>
          <w:lang w:eastAsia="sl-SI"/>
        </w:rPr>
      </w:pPr>
      <w:r w:rsidRPr="00D942E3">
        <w:rPr>
          <w:rFonts w:ascii="Arial" w:eastAsia="Times New Roman" w:hAnsi="Arial" w:cs="Arial"/>
          <w:b/>
          <w:sz w:val="20"/>
          <w:szCs w:val="20"/>
          <w:lang w:eastAsia="sl-SI"/>
        </w:rPr>
        <w:lastRenderedPageBreak/>
        <w:t>VI. PRILOGE</w:t>
      </w:r>
    </w:p>
    <w:p w14:paraId="3A060DC7" w14:textId="77777777" w:rsidR="00C830EC" w:rsidRPr="00FD48D4" w:rsidRDefault="00C830EC" w:rsidP="00C830EC">
      <w:pPr>
        <w:suppressAutoHyphens/>
        <w:overflowPunct w:val="0"/>
        <w:autoSpaceDE w:val="0"/>
        <w:autoSpaceDN w:val="0"/>
        <w:adjustRightInd w:val="0"/>
        <w:spacing w:after="0" w:line="260" w:lineRule="exact"/>
        <w:textAlignment w:val="baseline"/>
        <w:outlineLvl w:val="3"/>
        <w:rPr>
          <w:rFonts w:ascii="Arial" w:eastAsia="Calibri" w:hAnsi="Arial" w:cs="Times New Roman"/>
          <w:bCs/>
          <w:sz w:val="20"/>
          <w:u w:val="single"/>
        </w:rPr>
      </w:pPr>
      <w:r>
        <w:rPr>
          <w:rFonts w:ascii="Arial" w:eastAsia="Times New Roman" w:hAnsi="Arial" w:cs="Arial"/>
          <w:b/>
          <w:sz w:val="20"/>
          <w:szCs w:val="20"/>
          <w:lang w:eastAsia="sl-SI"/>
        </w:rPr>
        <w:softHyphen/>
      </w:r>
      <w:r w:rsidRPr="00FD48D4">
        <w:rPr>
          <w:rFonts w:ascii="Arial" w:eastAsia="Times New Roman" w:hAnsi="Arial" w:cs="Arial"/>
          <w:bCs/>
          <w:sz w:val="20"/>
          <w:szCs w:val="20"/>
          <w:u w:val="single"/>
          <w:lang w:eastAsia="sl-SI"/>
        </w:rPr>
        <w:t xml:space="preserve">– </w:t>
      </w:r>
      <w:r w:rsidRPr="00FD48D4">
        <w:rPr>
          <w:rFonts w:ascii="Arial" w:eastAsia="Calibri" w:hAnsi="Arial" w:cs="Arial"/>
          <w:bCs/>
          <w:sz w:val="20"/>
          <w:szCs w:val="20"/>
          <w:u w:val="single"/>
        </w:rPr>
        <w:t>Poročilo o prejetih pripombah, predlogih in mnenjih na predlog Zakona o spremembah in dopolnitvah Zakona o dohodnini ter o njihovem upoštevanju – zainteresirana javnost</w:t>
      </w:r>
    </w:p>
    <w:tbl>
      <w:tblPr>
        <w:tblW w:w="1601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2903"/>
        <w:gridCol w:w="4894"/>
        <w:gridCol w:w="1553"/>
        <w:gridCol w:w="6101"/>
      </w:tblGrid>
      <w:tr w:rsidR="00C86DCA" w:rsidRPr="001A4710" w14:paraId="08ADBABB" w14:textId="77777777" w:rsidTr="2F2CE5B4">
        <w:trPr>
          <w:trHeight w:val="300"/>
          <w:tblHeader/>
        </w:trPr>
        <w:tc>
          <w:tcPr>
            <w:tcW w:w="567" w:type="dxa"/>
            <w:shd w:val="clear" w:color="auto" w:fill="C5D9F1"/>
            <w:vAlign w:val="center"/>
            <w:hideMark/>
          </w:tcPr>
          <w:p w14:paraId="43112086" w14:textId="77777777" w:rsidR="00FD48D4" w:rsidRPr="001A4710" w:rsidRDefault="00FD48D4" w:rsidP="000D3A59">
            <w:pPr>
              <w:spacing w:after="0" w:line="240" w:lineRule="auto"/>
              <w:jc w:val="center"/>
              <w:rPr>
                <w:rFonts w:ascii="Arial" w:eastAsia="Times New Roman" w:hAnsi="Arial" w:cs="Arial"/>
                <w:b/>
                <w:bCs/>
                <w:color w:val="000000"/>
                <w:sz w:val="20"/>
                <w:szCs w:val="20"/>
                <w:lang w:eastAsia="sl-SI"/>
              </w:rPr>
            </w:pPr>
            <w:proofErr w:type="spellStart"/>
            <w:r w:rsidRPr="001A4710">
              <w:rPr>
                <w:rFonts w:ascii="Arial" w:eastAsia="Times New Roman" w:hAnsi="Arial" w:cs="Arial"/>
                <w:b/>
                <w:bCs/>
                <w:color w:val="000000"/>
                <w:sz w:val="20"/>
                <w:szCs w:val="20"/>
                <w:lang w:eastAsia="sl-SI"/>
              </w:rPr>
              <w:t>Zap</w:t>
            </w:r>
            <w:proofErr w:type="spellEnd"/>
            <w:r w:rsidRPr="001A4710">
              <w:rPr>
                <w:rFonts w:ascii="Arial" w:eastAsia="Times New Roman" w:hAnsi="Arial" w:cs="Arial"/>
                <w:b/>
                <w:bCs/>
                <w:color w:val="000000"/>
                <w:sz w:val="20"/>
                <w:szCs w:val="20"/>
                <w:lang w:eastAsia="sl-SI"/>
              </w:rPr>
              <w:t>. št.</w:t>
            </w:r>
          </w:p>
        </w:tc>
        <w:tc>
          <w:tcPr>
            <w:tcW w:w="2903" w:type="dxa"/>
            <w:shd w:val="clear" w:color="auto" w:fill="C5D9F1"/>
            <w:vAlign w:val="center"/>
          </w:tcPr>
          <w:p w14:paraId="031995DE" w14:textId="77777777" w:rsidR="00FD48D4" w:rsidRPr="001A4710" w:rsidRDefault="00FD48D4" w:rsidP="000D3A59">
            <w:pPr>
              <w:spacing w:after="0" w:line="240" w:lineRule="auto"/>
              <w:jc w:val="center"/>
              <w:rPr>
                <w:rFonts w:ascii="Arial" w:hAnsi="Arial" w:cs="Arial"/>
                <w:b/>
                <w:sz w:val="20"/>
                <w:szCs w:val="20"/>
                <w:lang w:eastAsia="sl-SI"/>
              </w:rPr>
            </w:pPr>
            <w:r w:rsidRPr="001A4710">
              <w:rPr>
                <w:rFonts w:ascii="Arial" w:hAnsi="Arial" w:cs="Arial"/>
                <w:b/>
                <w:sz w:val="20"/>
                <w:szCs w:val="20"/>
                <w:lang w:eastAsia="sl-SI"/>
              </w:rPr>
              <w:t>Predlagatelj</w:t>
            </w:r>
          </w:p>
        </w:tc>
        <w:tc>
          <w:tcPr>
            <w:tcW w:w="4894" w:type="dxa"/>
            <w:shd w:val="clear" w:color="auto" w:fill="C5D9F1"/>
            <w:vAlign w:val="center"/>
            <w:hideMark/>
          </w:tcPr>
          <w:p w14:paraId="07970951" w14:textId="77777777" w:rsidR="00FD48D4" w:rsidRPr="001A4710" w:rsidRDefault="00FD48D4" w:rsidP="000D3A59">
            <w:pPr>
              <w:spacing w:after="0" w:line="240" w:lineRule="auto"/>
              <w:jc w:val="center"/>
              <w:rPr>
                <w:rFonts w:ascii="Arial" w:hAnsi="Arial" w:cs="Arial"/>
                <w:b/>
                <w:sz w:val="20"/>
                <w:szCs w:val="20"/>
                <w:lang w:eastAsia="sl-SI"/>
              </w:rPr>
            </w:pPr>
            <w:r w:rsidRPr="001A4710">
              <w:rPr>
                <w:rFonts w:ascii="Arial" w:hAnsi="Arial" w:cs="Arial"/>
                <w:b/>
                <w:sz w:val="20"/>
                <w:szCs w:val="20"/>
                <w:lang w:eastAsia="sl-SI"/>
              </w:rPr>
              <w:t>Pripomba/predlog</w:t>
            </w:r>
          </w:p>
        </w:tc>
        <w:tc>
          <w:tcPr>
            <w:tcW w:w="1553" w:type="dxa"/>
            <w:shd w:val="clear" w:color="auto" w:fill="C5D9F1"/>
            <w:vAlign w:val="center"/>
            <w:hideMark/>
          </w:tcPr>
          <w:p w14:paraId="484D2D96" w14:textId="77777777" w:rsidR="00FD48D4" w:rsidRPr="001A4710" w:rsidRDefault="00FD48D4" w:rsidP="000D3A59">
            <w:pPr>
              <w:spacing w:after="0" w:line="240" w:lineRule="auto"/>
              <w:jc w:val="center"/>
              <w:rPr>
                <w:rFonts w:ascii="Arial" w:hAnsi="Arial" w:cs="Arial"/>
                <w:b/>
                <w:sz w:val="20"/>
                <w:szCs w:val="20"/>
                <w:lang w:eastAsia="sl-SI"/>
              </w:rPr>
            </w:pPr>
            <w:r w:rsidRPr="001A4710">
              <w:rPr>
                <w:rFonts w:ascii="Arial" w:hAnsi="Arial" w:cs="Arial"/>
                <w:b/>
                <w:sz w:val="20"/>
                <w:szCs w:val="20"/>
                <w:lang w:eastAsia="sl-SI"/>
              </w:rPr>
              <w:t>Stališče do predloga</w:t>
            </w:r>
          </w:p>
        </w:tc>
        <w:tc>
          <w:tcPr>
            <w:tcW w:w="6101" w:type="dxa"/>
            <w:shd w:val="clear" w:color="auto" w:fill="C5D9F1"/>
            <w:vAlign w:val="center"/>
            <w:hideMark/>
          </w:tcPr>
          <w:p w14:paraId="53DAB710" w14:textId="77777777" w:rsidR="00FD48D4" w:rsidRPr="001A4710" w:rsidRDefault="00FD48D4" w:rsidP="000D3A59">
            <w:pPr>
              <w:spacing w:after="0" w:line="240" w:lineRule="auto"/>
              <w:jc w:val="center"/>
              <w:rPr>
                <w:rFonts w:ascii="Arial" w:hAnsi="Arial" w:cs="Arial"/>
                <w:b/>
                <w:sz w:val="20"/>
                <w:szCs w:val="20"/>
                <w:lang w:eastAsia="sl-SI"/>
              </w:rPr>
            </w:pPr>
            <w:r w:rsidRPr="001A4710">
              <w:rPr>
                <w:rFonts w:ascii="Arial" w:hAnsi="Arial" w:cs="Arial"/>
                <w:b/>
                <w:sz w:val="20"/>
                <w:szCs w:val="20"/>
                <w:lang w:eastAsia="sl-SI"/>
              </w:rPr>
              <w:t>Obrazložitev stališča</w:t>
            </w:r>
          </w:p>
        </w:tc>
      </w:tr>
      <w:tr w:rsidR="00FD48D4" w:rsidRPr="001A4710" w14:paraId="4D2A9F9B" w14:textId="77777777" w:rsidTr="2F2CE5B4">
        <w:trPr>
          <w:trHeight w:val="932"/>
        </w:trPr>
        <w:tc>
          <w:tcPr>
            <w:tcW w:w="567" w:type="dxa"/>
            <w:shd w:val="clear" w:color="auto" w:fill="auto"/>
            <w:noWrap/>
          </w:tcPr>
          <w:p w14:paraId="0BE14A37"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tc>
        <w:tc>
          <w:tcPr>
            <w:tcW w:w="2903" w:type="dxa"/>
          </w:tcPr>
          <w:p w14:paraId="5CE8CEE2"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Dušan Jeraj </w:t>
            </w:r>
            <w:proofErr w:type="spellStart"/>
            <w:r w:rsidRPr="001A4710">
              <w:rPr>
                <w:rFonts w:ascii="Arial" w:hAnsi="Arial" w:cs="Arial"/>
                <w:b/>
                <w:sz w:val="20"/>
                <w:szCs w:val="20"/>
                <w:lang w:eastAsia="sl-SI"/>
              </w:rPr>
              <w:t>iConsult</w:t>
            </w:r>
            <w:proofErr w:type="spellEnd"/>
            <w:r w:rsidRPr="001A4710">
              <w:rPr>
                <w:rFonts w:ascii="Arial" w:hAnsi="Arial" w:cs="Arial"/>
                <w:b/>
                <w:sz w:val="20"/>
                <w:szCs w:val="20"/>
                <w:lang w:eastAsia="sl-SI"/>
              </w:rPr>
              <w:t xml:space="preserve"> </w:t>
            </w:r>
            <w:proofErr w:type="spellStart"/>
            <w:r w:rsidRPr="001A4710">
              <w:rPr>
                <w:rFonts w:ascii="Arial" w:hAnsi="Arial" w:cs="Arial"/>
                <w:b/>
                <w:sz w:val="20"/>
                <w:szCs w:val="20"/>
                <w:lang w:eastAsia="sl-SI"/>
              </w:rPr>
              <w:t>d.o.o</w:t>
            </w:r>
            <w:proofErr w:type="spellEnd"/>
            <w:r w:rsidRPr="001A4710">
              <w:rPr>
                <w:rFonts w:ascii="Arial" w:hAnsi="Arial" w:cs="Arial"/>
                <w:b/>
                <w:sz w:val="20"/>
                <w:szCs w:val="20"/>
                <w:lang w:eastAsia="sl-SI"/>
              </w:rPr>
              <w:t xml:space="preserve">. </w:t>
            </w:r>
          </w:p>
          <w:p w14:paraId="6A55A910"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7343B96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Sprememba v povezavi z obdavčitvijo izplačil vrednosti delnic ali deležev v primeru odsvojitve delnic ali deležev v okviru pridobivanja lastnih delnic oziroma deležev družbe ni smiselna, saj bi naj bili zavezanci v podobnih položajih različno davčno obravnavani.</w:t>
            </w:r>
          </w:p>
          <w:p w14:paraId="082CA885"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Če se vztraja pri spremembi, se predlaga ureditev prehodne določbe (upravičena pričakovanja). Predlaga se:</w:t>
            </w:r>
          </w:p>
          <w:p w14:paraId="3449B2C9"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a) da 6. točka 90. člena ZDoh-2 velja samo za družbenike v enoosebnih družbah oziroma v primerih, kjer se, kljub prodaji lastnega poslovnega deleža, razmerja med družbeniki ne spremenijo ali  </w:t>
            </w:r>
          </w:p>
          <w:p w14:paraId="0A5C92E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b) da se namesto rešitve, ki je bila sprejeta v letu 2019, sprejme besedilo, kot je bilo predlagano v predlogu ZDoh-2V v letu 2019, in sicer: </w:t>
            </w:r>
          </w:p>
          <w:p w14:paraId="1C7C5F25"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»6. izplačana vrednost delnic ali deležev v primeru odsvojitve delnic ali deležev v okviru pridobivanja lastnih delnic oziroma deležev družbe, razen v primeru, ko družba pridobiva lastne delnice prek borze. Kadar je pridobivanje lastnih delnic ali deležev opravljeno iz utemeljenih poslovnih razlogov in ne z namenom pridobitve ugodnejše davčne obravnave doseženega dohodka, se transakcija obravnava po poglavju III.6.3. tega zakona, če je davčni zavezanec pri davčnem organu preden je družba pridobila lastne delnice oziroma deleže vložil zahtevek za tovrstno obravnavo in je davčni organ takemu zahtevku ugodil.« Pri čemer bi morali navedeno rešitev nadgraditi z upoštevanje nabavne vrednosti deleža, ki je predmet prodaje.</w:t>
            </w:r>
          </w:p>
        </w:tc>
        <w:tc>
          <w:tcPr>
            <w:tcW w:w="1553" w:type="dxa"/>
            <w:shd w:val="clear" w:color="auto" w:fill="auto"/>
            <w:noWrap/>
          </w:tcPr>
          <w:p w14:paraId="6A5ABCE5"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360D8EB5"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Sprememba oz. ponovna uvedba obdavčevanja izplačanih vrednosti delnic ali deležev v primeru odsvojitve delnic ali deležev v okviru pridobivanja lastnih delnic oziroma deležev družbe (razen v primeru, ko družba pridobiva lastne delnice na organiziranem trgu), kot dividend, se uvaja zaradi zagotovitve primerljive opredelitve dohodka (dividend), kot velja po ZDDPO-2, ter enake obravnave tovrstnega dohodka fizičnih oseb s primerljivimi dohodki. Pri tem je treba upoštevati, da lahko rezerve za lastne deleže družba, ki je pridobila lastne deleže, oblikuje samo iz zneskov čistega dobička poslovnega leta in prenesenega dobička, ter iz statutarnih rezerv, če statut določa, da jih je dovoljeno uporabiti za te namene, ter iz zneska drugih rezerv iz dobička, ki presega morebitni znesek prenesene izgube, ki je ni bilo mogoče pokriti iz morebitnega čistega dobička poslovnega leta (drugi in peti odstavek 64. člena ZGD-1). S predlagano rešitvijo se tudi zasleduje cilj preprečevanja zniževanja kapitalske oziroma investicijske sposobnosti podjetij. Gre torej za ukrep, ki je v javnem interesu in s katerim se gradi učinkovita davčna politika. Predlagana rešitev upošteva dejstvo, da lastne deleže lahko pridobiva tudi družba z več družbeniki, in da se lahko tudi v tem primeru delež družbenika ali njegov del proda družbi za znesek, ki ustreza vrednosti prenesenih dobičkov iz preteklih let ter da se tudi v tem primeru družbenik lahko na ta način izogne manj ugodni obdavčitvi dividend (prenesenih dobičkov) v primerjavi z obdavčitvijo kapitalskih dobičkov. Predlagana rešitev tudi vsebuje objektivna merila za opredelitev relevantnega dohodka kot dohodka iz poglavja III.6.2. ZDoh-2, ki so vnaprej znana in določna.</w:t>
            </w:r>
          </w:p>
          <w:p w14:paraId="412896B6" w14:textId="77777777" w:rsidR="00FD48D4" w:rsidRPr="001A4710" w:rsidRDefault="00FD48D4" w:rsidP="000D3A59">
            <w:pPr>
              <w:spacing w:after="0" w:line="240" w:lineRule="auto"/>
              <w:jc w:val="both"/>
              <w:rPr>
                <w:rFonts w:ascii="Arial" w:hAnsi="Arial" w:cs="Arial"/>
                <w:sz w:val="20"/>
                <w:szCs w:val="20"/>
                <w:lang w:eastAsia="sl-SI"/>
              </w:rPr>
            </w:pPr>
          </w:p>
        </w:tc>
      </w:tr>
      <w:tr w:rsidR="00FD48D4" w:rsidRPr="001A4710" w14:paraId="09F3C163" w14:textId="77777777" w:rsidTr="2F2CE5B4">
        <w:trPr>
          <w:trHeight w:val="392"/>
        </w:trPr>
        <w:tc>
          <w:tcPr>
            <w:tcW w:w="567" w:type="dxa"/>
            <w:shd w:val="clear" w:color="auto" w:fill="auto"/>
            <w:noWrap/>
          </w:tcPr>
          <w:p w14:paraId="7739CED4"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7FC08CD4"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1</w:t>
            </w:r>
          </w:p>
          <w:p w14:paraId="18E79DEC"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 </w:t>
            </w:r>
          </w:p>
        </w:tc>
        <w:tc>
          <w:tcPr>
            <w:tcW w:w="4894" w:type="dxa"/>
            <w:shd w:val="clear" w:color="auto" w:fill="auto"/>
            <w:noWrap/>
          </w:tcPr>
          <w:p w14:paraId="08A238C9"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Predlog, da se pusti davčno stopnjo na 20%, da se bodo dvignile neto plače. </w:t>
            </w:r>
          </w:p>
        </w:tc>
        <w:tc>
          <w:tcPr>
            <w:tcW w:w="1553" w:type="dxa"/>
            <w:shd w:val="clear" w:color="auto" w:fill="auto"/>
            <w:noWrap/>
          </w:tcPr>
          <w:p w14:paraId="52692686"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26F7C2AA" w14:textId="77777777" w:rsidR="00FD48D4" w:rsidRPr="001A4710" w:rsidRDefault="00FD48D4" w:rsidP="000D3A59">
            <w:pPr>
              <w:pStyle w:val="Odstavekseznama"/>
              <w:ind w:left="36" w:hanging="36"/>
              <w:jc w:val="both"/>
              <w:rPr>
                <w:rFonts w:ascii="Arial" w:hAnsi="Arial" w:cs="Arial"/>
                <w:sz w:val="20"/>
                <w:szCs w:val="20"/>
              </w:rPr>
            </w:pPr>
            <w:r w:rsidRPr="001A4710">
              <w:rPr>
                <w:rFonts w:ascii="Arial" w:hAnsi="Arial" w:cs="Arial"/>
                <w:sz w:val="20"/>
                <w:szCs w:val="20"/>
              </w:rPr>
              <w:t xml:space="preserve">Pripomba je nejasna in ni mogoče opredeliti, na kaj se ta nanaša. </w:t>
            </w:r>
          </w:p>
        </w:tc>
      </w:tr>
      <w:tr w:rsidR="00FD48D4" w:rsidRPr="001A4710" w14:paraId="69EA075C" w14:textId="77777777" w:rsidTr="2F2CE5B4">
        <w:trPr>
          <w:trHeight w:val="255"/>
        </w:trPr>
        <w:tc>
          <w:tcPr>
            <w:tcW w:w="567" w:type="dxa"/>
            <w:shd w:val="clear" w:color="auto" w:fill="auto"/>
            <w:noWrap/>
          </w:tcPr>
          <w:p w14:paraId="674EAD55"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505C82D3"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2</w:t>
            </w:r>
          </w:p>
          <w:p w14:paraId="0813B68B"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 </w:t>
            </w:r>
          </w:p>
        </w:tc>
        <w:tc>
          <w:tcPr>
            <w:tcW w:w="4894" w:type="dxa"/>
            <w:shd w:val="clear" w:color="auto" w:fill="auto"/>
            <w:noWrap/>
          </w:tcPr>
          <w:p w14:paraId="774E9675"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V povezavi z dohodki iz oddajanja premoženja v najem se predlaga možnost izbire zavezanca, da se pri oddaji letne napovedi lahko odloči za sintetično obdavčitev po progresivni lestvici</w:t>
            </w:r>
          </w:p>
        </w:tc>
        <w:tc>
          <w:tcPr>
            <w:tcW w:w="1553" w:type="dxa"/>
            <w:shd w:val="clear" w:color="auto" w:fill="auto"/>
            <w:noWrap/>
          </w:tcPr>
          <w:p w14:paraId="1CEF0DE7"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9F5131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rPr>
              <w:t xml:space="preserve">Z novelo ZDoh-2Z je bila </w:t>
            </w:r>
            <w:r w:rsidRPr="001A4710">
              <w:rPr>
                <w:rFonts w:ascii="Arial" w:hAnsi="Arial" w:cs="Arial"/>
                <w:sz w:val="20"/>
                <w:szCs w:val="20"/>
                <w:lang w:eastAsia="sl-SI"/>
              </w:rPr>
              <w:t>s 1. 1. 2022</w:t>
            </w:r>
            <w:r w:rsidRPr="001A4710">
              <w:rPr>
                <w:rFonts w:ascii="Arial" w:hAnsi="Arial" w:cs="Arial"/>
                <w:sz w:val="20"/>
                <w:szCs w:val="20"/>
              </w:rPr>
              <w:t xml:space="preserve"> uvedena možnost, da se rezidenti lahko odločijo za vštevanje davčnih osnov od dohodkov iz kapitala in dohodkov iz oddajanja premoženja v najem v letno davčno osnovo ter sintetično obdavčitev po progresivni davčni lestvici in z možnostjo upoštevanja davčnih olajšav. Zaradi zasledovanja pravičnejše obravnave zavezancev s podobnimi dohodki in enostavnosti sistema, se predlaga, da se navedena možnost izbire s 1. 1. 2023 odpravi.</w:t>
            </w:r>
          </w:p>
        </w:tc>
      </w:tr>
      <w:tr w:rsidR="00FD48D4" w:rsidRPr="001A4710" w14:paraId="6420A67D" w14:textId="77777777" w:rsidTr="2F2CE5B4">
        <w:trPr>
          <w:trHeight w:val="255"/>
        </w:trPr>
        <w:tc>
          <w:tcPr>
            <w:tcW w:w="567" w:type="dxa"/>
            <w:shd w:val="clear" w:color="auto" w:fill="auto"/>
            <w:noWrap/>
          </w:tcPr>
          <w:p w14:paraId="5229427E"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13E8AF19"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3</w:t>
            </w:r>
          </w:p>
          <w:p w14:paraId="609204F5"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5CD511A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Splošno nasprotovanje predlogu zakona.</w:t>
            </w:r>
          </w:p>
        </w:tc>
        <w:tc>
          <w:tcPr>
            <w:tcW w:w="1553" w:type="dxa"/>
            <w:shd w:val="clear" w:color="auto" w:fill="auto"/>
            <w:noWrap/>
          </w:tcPr>
          <w:p w14:paraId="75132E06"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7BD98DC5"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Za zagotavljanje javnofinančne stabilnosti, ki je bila načeta zaradi intenzivne pomoči države vsem spektrom družbe v času pandemije virusa covid-19 in ki je na preizkušnji zaradi izjemnih inflacijskih pritiskov in energetske krize, ki prav tako zahtevajo intenzivno pomoč države in redistribucijo prihodkov na najbolj ranljive segmente družbe na ravni gospodinjstev in gospodarstva, se popravljajo določeni ukrepi Zakona o spremembah in dopolnitvah Zakona o dohodnini (ZDoh-2Z), ki bi, če bi ostal v veljavi nespremenjen, intenzivno posegel v prihodke državnega proračuna, s tem pa onemogočil nadaljnjo pomoč države v bodočih ekonomsko negotovih časih. V programu za delo koalicije 15. vlade za obdobje 2022-2026 so predvideni tudi določeni ukrepi z zasledovanjem posebnih ciljev, za katere se ta zavzema. Tudi ti cilji so v določeni meri že naslovljeni s predlogom tega zakona.</w:t>
            </w:r>
          </w:p>
        </w:tc>
      </w:tr>
      <w:tr w:rsidR="00FD48D4" w:rsidRPr="001A4710" w14:paraId="163C83A3" w14:textId="77777777" w:rsidTr="2F2CE5B4">
        <w:trPr>
          <w:trHeight w:val="255"/>
        </w:trPr>
        <w:tc>
          <w:tcPr>
            <w:tcW w:w="567" w:type="dxa"/>
            <w:shd w:val="clear" w:color="auto" w:fill="auto"/>
            <w:noWrap/>
          </w:tcPr>
          <w:p w14:paraId="53A00737"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3D41A1D9"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4</w:t>
            </w:r>
          </w:p>
          <w:p w14:paraId="19EAC5A5"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 </w:t>
            </w:r>
          </w:p>
        </w:tc>
        <w:tc>
          <w:tcPr>
            <w:tcW w:w="4894" w:type="dxa"/>
            <w:shd w:val="clear" w:color="auto" w:fill="auto"/>
            <w:noWrap/>
          </w:tcPr>
          <w:p w14:paraId="5EAD0D2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ohranitev trenutno veljavnega načina postopnega dvigovanja splošne olajšave na 7.500 EUR.</w:t>
            </w:r>
          </w:p>
        </w:tc>
        <w:tc>
          <w:tcPr>
            <w:tcW w:w="1553" w:type="dxa"/>
            <w:shd w:val="clear" w:color="auto" w:fill="auto"/>
            <w:noWrap/>
          </w:tcPr>
          <w:p w14:paraId="2FDF6711"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2881CA59"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Cilj splošne olajšave je treba zasledovati tudi ob upoštevanju javnofinančne stabilnosti, torej z ustreznimi mehanizmi nadomestitve prekomernega izpada javnofinančnih prihodkov. Iz tega razloga se skladno z inflacijskimi gibanji predlaga, da se višina splošne olajšave določi na 5.000 EUR in se odpravi postopno zvišanje na 7.500 EUR.  </w:t>
            </w:r>
          </w:p>
        </w:tc>
      </w:tr>
      <w:tr w:rsidR="00244C4E" w:rsidRPr="001A4710" w14:paraId="345DAD52" w14:textId="77777777" w:rsidTr="00833C5D">
        <w:trPr>
          <w:trHeight w:val="2432"/>
        </w:trPr>
        <w:tc>
          <w:tcPr>
            <w:tcW w:w="567" w:type="dxa"/>
            <w:vMerge w:val="restart"/>
            <w:shd w:val="clear" w:color="auto" w:fill="auto"/>
            <w:noWrap/>
          </w:tcPr>
          <w:p w14:paraId="2A92CCBF"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val="restart"/>
          </w:tcPr>
          <w:p w14:paraId="5CC58EA1"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Anonimen 1</w:t>
            </w:r>
          </w:p>
          <w:p w14:paraId="21FDAF20"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1C342309"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ohranitev trenutno veljavnega načina usklajevanja lestvice za odmero dohodnine in olajšav</w:t>
            </w:r>
            <w:r w:rsidRPr="001A4710">
              <w:rPr>
                <w:rFonts w:ascii="Arial" w:hAnsi="Arial" w:cs="Arial"/>
                <w:b/>
                <w:bCs/>
                <w:sz w:val="20"/>
                <w:szCs w:val="20"/>
                <w:lang w:eastAsia="sl-SI"/>
              </w:rPr>
              <w:t xml:space="preserve"> </w:t>
            </w:r>
          </w:p>
          <w:p w14:paraId="1730E3E4" w14:textId="77777777" w:rsidR="00FD48D4" w:rsidRPr="001A4710" w:rsidRDefault="00FD48D4" w:rsidP="000D3A59">
            <w:pPr>
              <w:spacing w:after="0" w:line="240" w:lineRule="auto"/>
              <w:jc w:val="both"/>
              <w:rPr>
                <w:rFonts w:ascii="Arial" w:hAnsi="Arial" w:cs="Arial"/>
                <w:sz w:val="20"/>
                <w:szCs w:val="20"/>
                <w:lang w:eastAsia="sl-SI"/>
              </w:rPr>
            </w:pPr>
          </w:p>
        </w:tc>
        <w:tc>
          <w:tcPr>
            <w:tcW w:w="1553" w:type="dxa"/>
            <w:shd w:val="clear" w:color="auto" w:fill="auto"/>
            <w:noWrap/>
          </w:tcPr>
          <w:p w14:paraId="49A37094"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E22B3F0" w14:textId="1A8EDFB9"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Predlog zakona predvideva </w:t>
            </w:r>
            <w:r w:rsidR="0011468E">
              <w:rPr>
                <w:rFonts w:ascii="Arial" w:hAnsi="Arial" w:cs="Arial"/>
                <w:sz w:val="20"/>
                <w:szCs w:val="20"/>
                <w:lang w:eastAsia="sl-SI"/>
              </w:rPr>
              <w:t xml:space="preserve">spremembo načina </w:t>
            </w:r>
            <w:r w:rsidRPr="001A4710">
              <w:rPr>
                <w:rFonts w:ascii="Arial" w:hAnsi="Arial" w:cs="Arial"/>
                <w:sz w:val="20"/>
                <w:szCs w:val="20"/>
                <w:lang w:eastAsia="sl-SI"/>
              </w:rPr>
              <w:t>usklajevanj</w:t>
            </w:r>
            <w:r w:rsidR="0011468E">
              <w:rPr>
                <w:rFonts w:ascii="Arial" w:hAnsi="Arial" w:cs="Arial"/>
                <w:sz w:val="20"/>
                <w:szCs w:val="20"/>
                <w:lang w:eastAsia="sl-SI"/>
              </w:rPr>
              <w:t>a</w:t>
            </w:r>
            <w:r w:rsidRPr="001A4710">
              <w:rPr>
                <w:rFonts w:ascii="Arial" w:hAnsi="Arial" w:cs="Arial"/>
                <w:sz w:val="20"/>
                <w:szCs w:val="20"/>
                <w:lang w:eastAsia="sl-SI"/>
              </w:rPr>
              <w:t xml:space="preserve"> višin zneskov olajšav in neto letnih davčnih osnov</w:t>
            </w:r>
            <w:r w:rsidR="0011468E">
              <w:rPr>
                <w:rFonts w:ascii="Arial" w:hAnsi="Arial" w:cs="Arial"/>
                <w:sz w:val="20"/>
                <w:szCs w:val="20"/>
                <w:lang w:eastAsia="sl-SI"/>
              </w:rPr>
              <w:t>.</w:t>
            </w:r>
            <w:r w:rsidR="0011468E" w:rsidRPr="0011468E">
              <w:rPr>
                <w:rFonts w:ascii="Arial" w:hAnsi="Arial" w:cs="Arial"/>
                <w:sz w:val="20"/>
                <w:szCs w:val="20"/>
                <w:lang w:eastAsia="sl-SI"/>
              </w:rPr>
              <w:t xml:space="preserve"> Določa se, da se uskladitev opravi na podlagi vsakoletnega razmisleka ob pripravi zakona, ki ureja izvrševanje proračuna, ob upoštevanju ciljev ekonomske politike vlade in po prehodnem posvetu vlade s socialnimi partnerji, in sicer z določitvijo koeficienta, s katerim se uskladijo zneski olajšav</w:t>
            </w:r>
            <w:r w:rsidR="0011468E">
              <w:rPr>
                <w:rFonts w:ascii="Arial" w:hAnsi="Arial" w:cs="Arial"/>
                <w:sz w:val="20"/>
                <w:szCs w:val="20"/>
                <w:lang w:eastAsia="sl-SI"/>
              </w:rPr>
              <w:t xml:space="preserve"> in neto davčnih osnov</w:t>
            </w:r>
            <w:r w:rsidR="0011468E" w:rsidRPr="0011468E">
              <w:rPr>
                <w:rFonts w:ascii="Arial" w:hAnsi="Arial" w:cs="Arial"/>
                <w:sz w:val="20"/>
                <w:szCs w:val="20"/>
                <w:lang w:eastAsia="sl-SI"/>
              </w:rPr>
              <w:t xml:space="preserve">. Koeficient se mora določiti najmanj v višini 50 % rasti povprečnih mesečnih plač zaposlenih v Sloveniji za mesec junij tekočega leta v primerjavi z mesecem junijem prejšnjega leta, po podatkih Statističnega urada Republike Slovenije, če je ta pozitivna. </w:t>
            </w:r>
            <w:r w:rsidRPr="001A4710">
              <w:rPr>
                <w:rFonts w:ascii="Arial" w:hAnsi="Arial" w:cs="Arial"/>
                <w:sz w:val="20"/>
                <w:szCs w:val="20"/>
                <w:lang w:eastAsia="sl-SI"/>
              </w:rPr>
              <w:t>S tem se vzpostavi mehanizem usklajevanja, ki upošteva tudi cilje ekonomske politike vlade v okviru vsakokratnih družbenoekonomskih razmer in javnofinančnih razmer. S predlagano spremembo se zasleduje cilj javnofinančne stabilnosti, ki bo še posebej pomembna v prihajajočih negotovih časih.</w:t>
            </w:r>
          </w:p>
        </w:tc>
      </w:tr>
      <w:tr w:rsidR="00244C4E" w:rsidRPr="001A4710" w14:paraId="63F87518" w14:textId="77777777" w:rsidTr="2F2CE5B4">
        <w:trPr>
          <w:trHeight w:val="255"/>
        </w:trPr>
        <w:tc>
          <w:tcPr>
            <w:tcW w:w="567" w:type="dxa"/>
            <w:vMerge/>
            <w:shd w:val="clear" w:color="auto" w:fill="auto"/>
            <w:noWrap/>
          </w:tcPr>
          <w:p w14:paraId="08CEDFEF"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tcPr>
          <w:p w14:paraId="03718FB2"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36A25829"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Pri sistemu </w:t>
            </w:r>
            <w:proofErr w:type="spellStart"/>
            <w:r w:rsidRPr="001A4710">
              <w:rPr>
                <w:rFonts w:ascii="Arial" w:hAnsi="Arial" w:cs="Arial"/>
                <w:sz w:val="20"/>
                <w:szCs w:val="20"/>
                <w:lang w:eastAsia="sl-SI"/>
              </w:rPr>
              <w:t>t.i</w:t>
            </w:r>
            <w:proofErr w:type="spellEnd"/>
            <w:r w:rsidRPr="001A4710">
              <w:rPr>
                <w:rFonts w:ascii="Arial" w:hAnsi="Arial" w:cs="Arial"/>
                <w:sz w:val="20"/>
                <w:szCs w:val="20"/>
                <w:lang w:eastAsia="sl-SI"/>
              </w:rPr>
              <w:t xml:space="preserve">. </w:t>
            </w:r>
            <w:proofErr w:type="spellStart"/>
            <w:r w:rsidRPr="001A4710">
              <w:rPr>
                <w:rFonts w:ascii="Arial" w:hAnsi="Arial" w:cs="Arial"/>
                <w:sz w:val="20"/>
                <w:szCs w:val="20"/>
                <w:lang w:eastAsia="sl-SI"/>
              </w:rPr>
              <w:t>normirancev</w:t>
            </w:r>
            <w:proofErr w:type="spellEnd"/>
            <w:r w:rsidRPr="001A4710">
              <w:rPr>
                <w:rFonts w:ascii="Arial" w:hAnsi="Arial" w:cs="Arial"/>
                <w:sz w:val="20"/>
                <w:szCs w:val="20"/>
                <w:lang w:eastAsia="sl-SI"/>
              </w:rPr>
              <w:t xml:space="preserve"> gre za večje sistemsko odstopanje.</w:t>
            </w:r>
          </w:p>
          <w:p w14:paraId="0D1CF51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 </w:t>
            </w:r>
          </w:p>
          <w:p w14:paraId="2AF31ED1" w14:textId="77777777" w:rsidR="00FD48D4" w:rsidRPr="001A4710" w:rsidRDefault="00FD48D4" w:rsidP="00FD48D4">
            <w:pPr>
              <w:pStyle w:val="Odstavekseznama"/>
              <w:numPr>
                <w:ilvl w:val="0"/>
                <w:numId w:val="34"/>
              </w:numPr>
              <w:contextualSpacing/>
              <w:jc w:val="both"/>
              <w:rPr>
                <w:rFonts w:ascii="Arial" w:hAnsi="Arial" w:cs="Arial"/>
                <w:i/>
                <w:sz w:val="20"/>
                <w:szCs w:val="20"/>
              </w:rPr>
            </w:pPr>
            <w:r w:rsidRPr="001A4710">
              <w:rPr>
                <w:rFonts w:ascii="Arial" w:hAnsi="Arial" w:cs="Arial"/>
                <w:i/>
                <w:sz w:val="20"/>
                <w:szCs w:val="20"/>
              </w:rPr>
              <w:t>Postavitev praga za tekoče leto poslovanja:</w:t>
            </w:r>
          </w:p>
          <w:p w14:paraId="4BF1F8E3" w14:textId="77777777" w:rsidR="00FD48D4" w:rsidRPr="001A4710" w:rsidRDefault="00FD48D4" w:rsidP="00FD48D4">
            <w:pPr>
              <w:pStyle w:val="Odstavekseznama"/>
              <w:numPr>
                <w:ilvl w:val="1"/>
                <w:numId w:val="34"/>
              </w:numPr>
              <w:contextualSpacing/>
              <w:jc w:val="both"/>
              <w:rPr>
                <w:rFonts w:ascii="Arial" w:hAnsi="Arial" w:cs="Arial"/>
                <w:sz w:val="20"/>
                <w:szCs w:val="20"/>
              </w:rPr>
            </w:pPr>
            <w:r w:rsidRPr="001A4710">
              <w:rPr>
                <w:rFonts w:ascii="Arial" w:hAnsi="Arial" w:cs="Arial"/>
                <w:sz w:val="20"/>
                <w:szCs w:val="20"/>
              </w:rPr>
              <w:t>Če je pri zavezancu polno zavarovana vsaj ena oseba 9 mesecev v letu se določi prag 50.000 EUR prihodkov v tekočem letu ali</w:t>
            </w:r>
          </w:p>
          <w:p w14:paraId="1CE608D0" w14:textId="77777777" w:rsidR="00FD48D4" w:rsidRPr="001A4710" w:rsidRDefault="00FD48D4" w:rsidP="00FD48D4">
            <w:pPr>
              <w:pStyle w:val="Odstavekseznama"/>
              <w:numPr>
                <w:ilvl w:val="1"/>
                <w:numId w:val="34"/>
              </w:numPr>
              <w:contextualSpacing/>
              <w:jc w:val="both"/>
              <w:rPr>
                <w:rFonts w:ascii="Arial" w:hAnsi="Arial" w:cs="Arial"/>
                <w:sz w:val="20"/>
                <w:szCs w:val="20"/>
              </w:rPr>
            </w:pPr>
            <w:r w:rsidRPr="001A4710">
              <w:rPr>
                <w:rFonts w:ascii="Arial" w:hAnsi="Arial" w:cs="Arial"/>
                <w:sz w:val="20"/>
                <w:szCs w:val="20"/>
              </w:rPr>
              <w:t>prag 25.000 EUR prihodkov, če nima nobene osebe zavarovane</w:t>
            </w:r>
          </w:p>
          <w:p w14:paraId="3FECE011" w14:textId="77777777" w:rsidR="00FD48D4" w:rsidRPr="001A4710" w:rsidRDefault="00FD48D4" w:rsidP="00FD48D4">
            <w:pPr>
              <w:pStyle w:val="Odstavekseznama"/>
              <w:numPr>
                <w:ilvl w:val="0"/>
                <w:numId w:val="34"/>
              </w:numPr>
              <w:contextualSpacing/>
              <w:jc w:val="both"/>
              <w:rPr>
                <w:rFonts w:ascii="Arial" w:hAnsi="Arial" w:cs="Arial"/>
                <w:i/>
                <w:sz w:val="20"/>
                <w:szCs w:val="20"/>
              </w:rPr>
            </w:pPr>
            <w:r w:rsidRPr="001A4710">
              <w:rPr>
                <w:rFonts w:ascii="Arial" w:hAnsi="Arial" w:cs="Arial"/>
                <w:i/>
                <w:sz w:val="20"/>
                <w:szCs w:val="20"/>
              </w:rPr>
              <w:t>dvig efektivne davčne stopnje:</w:t>
            </w:r>
          </w:p>
          <w:p w14:paraId="7D5CB11B" w14:textId="77777777" w:rsidR="00FD48D4" w:rsidRPr="001A4710" w:rsidRDefault="00FD48D4" w:rsidP="00FD48D4">
            <w:pPr>
              <w:pStyle w:val="Odstavekseznama"/>
              <w:numPr>
                <w:ilvl w:val="1"/>
                <w:numId w:val="34"/>
              </w:numPr>
              <w:contextualSpacing/>
              <w:jc w:val="both"/>
              <w:rPr>
                <w:rFonts w:ascii="Arial" w:hAnsi="Arial" w:cs="Arial"/>
                <w:sz w:val="20"/>
                <w:szCs w:val="20"/>
              </w:rPr>
            </w:pPr>
            <w:r w:rsidRPr="001A4710">
              <w:rPr>
                <w:rFonts w:ascii="Arial" w:hAnsi="Arial" w:cs="Arial"/>
                <w:sz w:val="20"/>
                <w:szCs w:val="20"/>
              </w:rPr>
              <w:t xml:space="preserve">na 20%, če je zavarovana pri njemu vsaj ena oseba 9 mesecev v letu ali </w:t>
            </w:r>
          </w:p>
          <w:p w14:paraId="68035D34" w14:textId="77777777" w:rsidR="00FD48D4" w:rsidRPr="001A4710" w:rsidRDefault="00FD48D4" w:rsidP="00FD48D4">
            <w:pPr>
              <w:pStyle w:val="Odstavekseznama"/>
              <w:numPr>
                <w:ilvl w:val="1"/>
                <w:numId w:val="34"/>
              </w:numPr>
              <w:contextualSpacing/>
              <w:jc w:val="both"/>
              <w:rPr>
                <w:rFonts w:ascii="Arial" w:hAnsi="Arial" w:cs="Arial"/>
                <w:sz w:val="20"/>
                <w:szCs w:val="20"/>
              </w:rPr>
            </w:pPr>
            <w:r w:rsidRPr="001A4710">
              <w:rPr>
                <w:rFonts w:ascii="Arial" w:hAnsi="Arial" w:cs="Arial"/>
                <w:sz w:val="20"/>
                <w:szCs w:val="20"/>
              </w:rPr>
              <w:t>če ni pri njemu zavarovana nobena oseba se efektivna davčna stopnja dvigne na 35%</w:t>
            </w:r>
          </w:p>
          <w:p w14:paraId="641B9298" w14:textId="77777777" w:rsidR="00FD48D4" w:rsidRPr="001A4710" w:rsidRDefault="00FD48D4" w:rsidP="000D3A59">
            <w:pPr>
              <w:spacing w:after="0" w:line="240" w:lineRule="auto"/>
              <w:jc w:val="both"/>
              <w:rPr>
                <w:rFonts w:ascii="Arial" w:hAnsi="Arial" w:cs="Arial"/>
                <w:b/>
                <w:bCs/>
                <w:sz w:val="20"/>
                <w:szCs w:val="20"/>
                <w:lang w:eastAsia="sl-SI"/>
              </w:rPr>
            </w:pPr>
            <w:r w:rsidRPr="001A4710">
              <w:rPr>
                <w:rFonts w:ascii="Arial" w:hAnsi="Arial" w:cs="Arial"/>
                <w:sz w:val="20"/>
                <w:szCs w:val="20"/>
                <w:lang w:eastAsia="sl-SI"/>
              </w:rPr>
              <w:t xml:space="preserve">CILJ: naj bo v birokratski razbremenitvi </w:t>
            </w:r>
            <w:proofErr w:type="spellStart"/>
            <w:r w:rsidRPr="001A4710">
              <w:rPr>
                <w:rFonts w:ascii="Arial" w:hAnsi="Arial" w:cs="Arial"/>
                <w:sz w:val="20"/>
                <w:szCs w:val="20"/>
                <w:lang w:eastAsia="sl-SI"/>
              </w:rPr>
              <w:t>normirancev</w:t>
            </w:r>
            <w:proofErr w:type="spellEnd"/>
            <w:r w:rsidRPr="001A4710">
              <w:rPr>
                <w:rFonts w:ascii="Arial" w:hAnsi="Arial" w:cs="Arial"/>
                <w:sz w:val="20"/>
                <w:szCs w:val="20"/>
                <w:lang w:eastAsia="sl-SI"/>
              </w:rPr>
              <w:t xml:space="preserve"> in ne v omogočanju davčnih koristi preko zlorabe instituta.</w:t>
            </w:r>
          </w:p>
        </w:tc>
        <w:tc>
          <w:tcPr>
            <w:tcW w:w="1553" w:type="dxa"/>
            <w:shd w:val="clear" w:color="auto" w:fill="auto"/>
            <w:noWrap/>
          </w:tcPr>
          <w:p w14:paraId="10D3B0FB"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delno upošteva</w:t>
            </w:r>
          </w:p>
        </w:tc>
        <w:tc>
          <w:tcPr>
            <w:tcW w:w="6101" w:type="dxa"/>
            <w:shd w:val="clear" w:color="auto" w:fill="auto"/>
            <w:noWrap/>
          </w:tcPr>
          <w:p w14:paraId="243945E8"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Z namenom zmanjšanja negativnih učinkov sistema ter neutemeljene, nesorazmerne ugodne obravnave zavezancev v določenih dejavnosti se predlaga prenovitev sistema priznavanja normiranih odhodkov v delu pogojev za vstop v sistem in višini normiranih odhodkov.</w:t>
            </w:r>
          </w:p>
          <w:p w14:paraId="443B9C03" w14:textId="6F4AE29B"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Spreminja se višina odhodkov, ki se priznava pri ugotavljanju davčne osnove v sistemu normiranih odhodkov. Višina priznanih normiranih odhodkov se določi v odvisnosti od doseženih prihodkov in obveznega zavarovanja po zakonu, ki ureja pokojninsko in invalidsko zavarovanje, pri zavezancu (v zvezi z dejavnostjo zavezanca), v davčnem letu, za katerega se ugotavlja davčna osnova. Za zavezance, ki izpolnjujejo pogoj, da je pri zavezancu v skladu z zakonom, ki ureja pokojninsko in invalidsko zavarovanje, obvezno zavarovana na podlagi delovnega razmerja ali samozaposlitve, vsaj ena oseba za polni delovni čas neprekinjeno najmanj devet mesecev, se priznajo normiranih odhodki v višini 80 % prihodkov na prihodke do </w:t>
            </w:r>
            <w:r w:rsidR="00545DD6">
              <w:rPr>
                <w:rFonts w:ascii="Arial" w:hAnsi="Arial" w:cs="Arial"/>
                <w:sz w:val="20"/>
                <w:szCs w:val="20"/>
                <w:lang w:eastAsia="sl-SI"/>
              </w:rPr>
              <w:t>3</w:t>
            </w:r>
            <w:r w:rsidRPr="001A4710">
              <w:rPr>
                <w:rFonts w:ascii="Arial" w:hAnsi="Arial" w:cs="Arial"/>
                <w:sz w:val="20"/>
                <w:szCs w:val="20"/>
                <w:lang w:eastAsia="sl-SI"/>
              </w:rPr>
              <w:t xml:space="preserve">5.000 EUR, v višini </w:t>
            </w:r>
            <w:r w:rsidR="0011468E">
              <w:rPr>
                <w:rFonts w:ascii="Arial" w:hAnsi="Arial" w:cs="Arial"/>
                <w:sz w:val="20"/>
                <w:szCs w:val="20"/>
                <w:lang w:eastAsia="sl-SI"/>
              </w:rPr>
              <w:t>4</w:t>
            </w:r>
            <w:r w:rsidRPr="001A4710">
              <w:rPr>
                <w:rFonts w:ascii="Arial" w:hAnsi="Arial" w:cs="Arial"/>
                <w:sz w:val="20"/>
                <w:szCs w:val="20"/>
                <w:lang w:eastAsia="sl-SI"/>
              </w:rPr>
              <w:t xml:space="preserve">0 % prihodkov na prihodke nad </w:t>
            </w:r>
            <w:r w:rsidR="00545DD6">
              <w:rPr>
                <w:rFonts w:ascii="Arial" w:hAnsi="Arial" w:cs="Arial"/>
                <w:sz w:val="20"/>
                <w:szCs w:val="20"/>
                <w:lang w:eastAsia="sl-SI"/>
              </w:rPr>
              <w:t>3</w:t>
            </w:r>
            <w:r w:rsidRPr="001A4710">
              <w:rPr>
                <w:rFonts w:ascii="Arial" w:hAnsi="Arial" w:cs="Arial"/>
                <w:sz w:val="20"/>
                <w:szCs w:val="20"/>
                <w:lang w:eastAsia="sl-SI"/>
              </w:rPr>
              <w:t xml:space="preserve">5.000 EUR do 100.000 EUR, ter v višini 0 % na prihodke nad 100.000 EUR. Za zavezanca, pri katerem ni bila obvezno zavarovana v skladu z zakonom, ki ureja pokojninsko in invalidsko zavarovanje, na podlagi delovnega razmerja ali </w:t>
            </w:r>
            <w:r w:rsidRPr="001A4710">
              <w:rPr>
                <w:rFonts w:ascii="Arial" w:hAnsi="Arial" w:cs="Arial"/>
                <w:sz w:val="20"/>
                <w:szCs w:val="20"/>
                <w:lang w:eastAsia="sl-SI"/>
              </w:rPr>
              <w:lastRenderedPageBreak/>
              <w:t xml:space="preserve">samozaposlitve vsaj ena oseba za polni delovni čas neprekinjeno najmanj devet mesecev, se upoštevajo normiranih odhodki  v višini </w:t>
            </w:r>
            <w:r w:rsidR="00BD0E8A">
              <w:rPr>
                <w:rFonts w:ascii="Arial" w:hAnsi="Arial" w:cs="Arial"/>
                <w:sz w:val="20"/>
                <w:szCs w:val="20"/>
                <w:lang w:eastAsia="sl-SI"/>
              </w:rPr>
              <w:t>4</w:t>
            </w:r>
            <w:r w:rsidRPr="001A4710">
              <w:rPr>
                <w:rFonts w:ascii="Arial" w:hAnsi="Arial" w:cs="Arial"/>
                <w:sz w:val="20"/>
                <w:szCs w:val="20"/>
                <w:lang w:eastAsia="sl-SI"/>
              </w:rPr>
              <w:t>0 % prihodkov, vendar ne več kot 2</w:t>
            </w:r>
            <w:r w:rsidR="00BD0E8A">
              <w:rPr>
                <w:rFonts w:ascii="Arial" w:hAnsi="Arial" w:cs="Arial"/>
                <w:sz w:val="20"/>
                <w:szCs w:val="20"/>
                <w:lang w:eastAsia="sl-SI"/>
              </w:rPr>
              <w:t>0</w:t>
            </w:r>
            <w:r w:rsidRPr="001A4710">
              <w:rPr>
                <w:rFonts w:ascii="Arial" w:hAnsi="Arial" w:cs="Arial"/>
                <w:sz w:val="20"/>
                <w:szCs w:val="20"/>
                <w:lang w:eastAsia="sl-SI"/>
              </w:rPr>
              <w:t>.000 EUR.</w:t>
            </w:r>
          </w:p>
          <w:p w14:paraId="3DDD0AEA" w14:textId="1190B4A8"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Poleg navedenega se jasneje določa pogoj za vstop oziroma obstoj v sistemu normiranih odhodkov, ki je vezan na obvezno pokojninsko in invalidsko zavarovanje zavezanca, ali pri njem zaposlene osebe ter podaljšuje obdobje nepretrgane vključenosti v zavarovanje.</w:t>
            </w:r>
          </w:p>
        </w:tc>
      </w:tr>
      <w:tr w:rsidR="00FD48D4" w:rsidRPr="001A4710" w14:paraId="179AE2FD" w14:textId="77777777" w:rsidTr="2F2CE5B4">
        <w:trPr>
          <w:trHeight w:val="255"/>
        </w:trPr>
        <w:tc>
          <w:tcPr>
            <w:tcW w:w="567" w:type="dxa"/>
            <w:shd w:val="clear" w:color="auto" w:fill="auto"/>
            <w:noWrap/>
          </w:tcPr>
          <w:p w14:paraId="4DB0FB80"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19AD38EA"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5</w:t>
            </w:r>
          </w:p>
          <w:p w14:paraId="256D3390"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695FEAE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Predlagatelj meni, da posebna olajšava za mlade brez ureditve zaposlitvenih razmer nima smisla. </w:t>
            </w:r>
          </w:p>
        </w:tc>
        <w:tc>
          <w:tcPr>
            <w:tcW w:w="1553" w:type="dxa"/>
            <w:shd w:val="clear" w:color="auto" w:fill="auto"/>
            <w:noWrap/>
          </w:tcPr>
          <w:p w14:paraId="1FC2DC8F"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194287A"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S predlagano posebno osebno olajšavo za mlade se vzpostavlja podporni ukrep politikam trga dela na področju mladih, usmerjenih k vzpostavitvi varnih in dostojno plačanih zaposlitev za mlade ter se jim olajša prehod na vključujoč trg dela. S tem ukrepom se zasleduje zmanjšanje obremenitev dohodkov, doseženih iz naslova delovnega razmerja, napram drugih </w:t>
            </w:r>
            <w:proofErr w:type="spellStart"/>
            <w:r w:rsidRPr="001A4710">
              <w:rPr>
                <w:rFonts w:ascii="Arial" w:hAnsi="Arial" w:cs="Arial"/>
                <w:sz w:val="20"/>
                <w:szCs w:val="20"/>
                <w:lang w:eastAsia="sl-SI"/>
              </w:rPr>
              <w:t>prekarnim</w:t>
            </w:r>
            <w:proofErr w:type="spellEnd"/>
            <w:r w:rsidRPr="001A4710">
              <w:rPr>
                <w:rFonts w:ascii="Arial" w:hAnsi="Arial" w:cs="Arial"/>
                <w:sz w:val="20"/>
                <w:szCs w:val="20"/>
                <w:lang w:eastAsia="sl-SI"/>
              </w:rPr>
              <w:t xml:space="preserve"> oblikam dela, saj je davčna obremenitev dela tudi eden izmed elementov, poleg npr. pogojev dela in pravic iz dela, ki vpliva na izbiro oblike dela, ki je največkrat v rokah povpraševalcev po delovni sili.</w:t>
            </w:r>
          </w:p>
          <w:p w14:paraId="7BE19194"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Na ta način se bo vzpostavila davčna spodbuda tudi na ravni delavca, medtem ko je na ravni delodajalca že vzpostavljena davčna spodbuda za zaposlovanje mladih v obliki znižanja davčne osnove davka od dohodkov pravnih oseb ali dohodnine od dohodka iz dejavnosti (olajšava za zaposlovanje). </w:t>
            </w:r>
          </w:p>
        </w:tc>
      </w:tr>
      <w:tr w:rsidR="00FD48D4" w:rsidRPr="001A4710" w14:paraId="3C25F10C" w14:textId="77777777" w:rsidTr="2F2CE5B4">
        <w:trPr>
          <w:trHeight w:val="255"/>
        </w:trPr>
        <w:tc>
          <w:tcPr>
            <w:tcW w:w="567" w:type="dxa"/>
            <w:shd w:val="clear" w:color="auto" w:fill="auto"/>
            <w:noWrap/>
          </w:tcPr>
          <w:p w14:paraId="2C02C014"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008F93A4"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6</w:t>
            </w:r>
          </w:p>
          <w:p w14:paraId="1F1F9BEC"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1AAD800F"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Zaradi zlorab sistema </w:t>
            </w:r>
            <w:proofErr w:type="spellStart"/>
            <w:r w:rsidRPr="001A4710">
              <w:rPr>
                <w:rFonts w:ascii="Arial" w:hAnsi="Arial" w:cs="Arial"/>
                <w:sz w:val="20"/>
                <w:szCs w:val="20"/>
                <w:lang w:eastAsia="sl-SI"/>
              </w:rPr>
              <w:t>t.i</w:t>
            </w:r>
            <w:proofErr w:type="spellEnd"/>
            <w:r w:rsidRPr="001A4710">
              <w:rPr>
                <w:rFonts w:ascii="Arial" w:hAnsi="Arial" w:cs="Arial"/>
                <w:sz w:val="20"/>
                <w:szCs w:val="20"/>
                <w:lang w:eastAsia="sl-SI"/>
              </w:rPr>
              <w:t xml:space="preserve">. </w:t>
            </w:r>
            <w:proofErr w:type="spellStart"/>
            <w:r w:rsidRPr="001A4710">
              <w:rPr>
                <w:rFonts w:ascii="Arial" w:hAnsi="Arial" w:cs="Arial"/>
                <w:sz w:val="20"/>
                <w:szCs w:val="20"/>
                <w:lang w:eastAsia="sl-SI"/>
              </w:rPr>
              <w:t>normirancev</w:t>
            </w:r>
            <w:proofErr w:type="spellEnd"/>
            <w:r w:rsidRPr="001A4710">
              <w:rPr>
                <w:rFonts w:ascii="Arial" w:hAnsi="Arial" w:cs="Arial"/>
                <w:sz w:val="20"/>
                <w:szCs w:val="20"/>
                <w:lang w:eastAsia="sl-SI"/>
              </w:rPr>
              <w:t xml:space="preserve"> je treba urediti status </w:t>
            </w:r>
            <w:proofErr w:type="spellStart"/>
            <w:r w:rsidRPr="001A4710">
              <w:rPr>
                <w:rFonts w:ascii="Arial" w:hAnsi="Arial" w:cs="Arial"/>
                <w:sz w:val="20"/>
                <w:szCs w:val="20"/>
                <w:lang w:eastAsia="sl-SI"/>
              </w:rPr>
              <w:t>normirancev</w:t>
            </w:r>
            <w:proofErr w:type="spellEnd"/>
            <w:r w:rsidRPr="001A4710">
              <w:rPr>
                <w:rFonts w:ascii="Arial" w:hAnsi="Arial" w:cs="Arial"/>
                <w:sz w:val="20"/>
                <w:szCs w:val="20"/>
                <w:lang w:eastAsia="sl-SI"/>
              </w:rPr>
              <w:t xml:space="preserve"> tudi za </w:t>
            </w:r>
            <w:proofErr w:type="spellStart"/>
            <w:r w:rsidRPr="001A4710">
              <w:rPr>
                <w:rFonts w:ascii="Arial" w:hAnsi="Arial" w:cs="Arial"/>
                <w:sz w:val="20"/>
                <w:szCs w:val="20"/>
                <w:lang w:eastAsia="sl-SI"/>
              </w:rPr>
              <w:t>novoregistrirane</w:t>
            </w:r>
            <w:proofErr w:type="spellEnd"/>
            <w:r w:rsidRPr="001A4710">
              <w:rPr>
                <w:rFonts w:ascii="Arial" w:hAnsi="Arial" w:cs="Arial"/>
                <w:sz w:val="20"/>
                <w:szCs w:val="20"/>
                <w:lang w:eastAsia="sl-SI"/>
              </w:rPr>
              <w:t xml:space="preserve">. Začetniki </w:t>
            </w:r>
            <w:proofErr w:type="spellStart"/>
            <w:r w:rsidRPr="001A4710">
              <w:rPr>
                <w:rFonts w:ascii="Arial" w:hAnsi="Arial" w:cs="Arial"/>
                <w:sz w:val="20"/>
                <w:szCs w:val="20"/>
                <w:lang w:eastAsia="sl-SI"/>
              </w:rPr>
              <w:t>s.p</w:t>
            </w:r>
            <w:proofErr w:type="spellEnd"/>
            <w:r w:rsidRPr="001A4710">
              <w:rPr>
                <w:rFonts w:ascii="Arial" w:hAnsi="Arial" w:cs="Arial"/>
                <w:sz w:val="20"/>
                <w:szCs w:val="20"/>
                <w:lang w:eastAsia="sl-SI"/>
              </w:rPr>
              <w:t>. in samozaposleni potrebujejo takšno ureditev, ne pa tisti s 50.000 EUR ali 100.000 EUR prometa.</w:t>
            </w:r>
          </w:p>
        </w:tc>
        <w:tc>
          <w:tcPr>
            <w:tcW w:w="1553" w:type="dxa"/>
            <w:shd w:val="clear" w:color="auto" w:fill="auto"/>
            <w:noWrap/>
          </w:tcPr>
          <w:p w14:paraId="0D167DD5"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delno upošteva</w:t>
            </w:r>
          </w:p>
        </w:tc>
        <w:tc>
          <w:tcPr>
            <w:tcW w:w="6101" w:type="dxa"/>
            <w:shd w:val="clear" w:color="auto" w:fill="auto"/>
            <w:noWrap/>
          </w:tcPr>
          <w:p w14:paraId="32E5FCF4"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glede dopolnitve predlagane rešitve pod točko 6 te tabele.</w:t>
            </w:r>
          </w:p>
        </w:tc>
      </w:tr>
      <w:tr w:rsidR="00FD48D4" w:rsidRPr="001A4710" w14:paraId="3AE82404" w14:textId="77777777" w:rsidTr="2F2CE5B4">
        <w:trPr>
          <w:trHeight w:val="255"/>
        </w:trPr>
        <w:tc>
          <w:tcPr>
            <w:tcW w:w="567" w:type="dxa"/>
            <w:shd w:val="clear" w:color="auto" w:fill="auto"/>
            <w:noWrap/>
          </w:tcPr>
          <w:p w14:paraId="169D37BC"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286FE557"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7</w:t>
            </w:r>
          </w:p>
          <w:p w14:paraId="67BDFD5D"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7EADD2EA"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Nestrinjanje s predlaganim povišanjem stopnje obdavčitve dohodkov iz oddajanja premoženja v najem. Pri obdavčitvi navedenih dohodkov bi se morali upoštevati celotni dohodki določene osebe in obdavčiti le skupne dohodke, ki presegajo nek prag (npr. prag revščine ali minimalni dohodek…). Pri tem pa bi se morale upoštevati tudi splošna in druge davčne olajšave.</w:t>
            </w:r>
          </w:p>
          <w:p w14:paraId="6D815E0E" w14:textId="77777777" w:rsidR="00FD48D4" w:rsidRPr="001A4710" w:rsidRDefault="00FD48D4" w:rsidP="000D3A59">
            <w:pPr>
              <w:spacing w:after="0" w:line="240" w:lineRule="auto"/>
              <w:jc w:val="both"/>
              <w:rPr>
                <w:rFonts w:ascii="Arial" w:hAnsi="Arial" w:cs="Arial"/>
                <w:sz w:val="20"/>
                <w:szCs w:val="20"/>
                <w:lang w:eastAsia="sl-SI"/>
              </w:rPr>
            </w:pPr>
          </w:p>
        </w:tc>
        <w:tc>
          <w:tcPr>
            <w:tcW w:w="1553" w:type="dxa"/>
            <w:shd w:val="clear" w:color="auto" w:fill="auto"/>
            <w:noWrap/>
          </w:tcPr>
          <w:p w14:paraId="17023374"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4A7CA010" w14:textId="77777777" w:rsidR="00FD48D4" w:rsidRPr="001A4710" w:rsidRDefault="00FD48D4" w:rsidP="000D3A59">
            <w:pPr>
              <w:spacing w:after="0" w:line="240" w:lineRule="auto"/>
              <w:contextualSpacing/>
              <w:jc w:val="both"/>
              <w:rPr>
                <w:rFonts w:ascii="Arial" w:hAnsi="Arial" w:cs="Arial"/>
                <w:sz w:val="20"/>
                <w:szCs w:val="20"/>
              </w:rPr>
            </w:pPr>
            <w:r w:rsidRPr="001A4710">
              <w:rPr>
                <w:rFonts w:ascii="Arial" w:hAnsi="Arial" w:cs="Arial"/>
                <w:sz w:val="20"/>
                <w:szCs w:val="20"/>
              </w:rPr>
              <w:t xml:space="preserve">Dohodki iz oddajanja premoženja v najem iz poglavja III:5.1. ZDoh-2 se obdavčujejo po proporcionalni stopnji dohodnine, kot dokončnim davkom (veljavna stopnja je 15 %). Po predlogu se stopnja dohodnine od tovrstnih dohodkov izenačuje s splošno stopnjo dohodnine od dohodkov iz kapitala iz poglavja III.6. ZDoh-2 (tj. stopnja 25 %). V obeh primerih gre namreč za dohodke, ki se obdavčujejo </w:t>
            </w:r>
            <w:proofErr w:type="spellStart"/>
            <w:r w:rsidRPr="001A4710">
              <w:rPr>
                <w:rFonts w:ascii="Arial" w:hAnsi="Arial" w:cs="Arial"/>
                <w:sz w:val="20"/>
                <w:szCs w:val="20"/>
              </w:rPr>
              <w:t>cedularno</w:t>
            </w:r>
            <w:proofErr w:type="spellEnd"/>
            <w:r w:rsidRPr="001A4710">
              <w:rPr>
                <w:rFonts w:ascii="Arial" w:hAnsi="Arial" w:cs="Arial"/>
                <w:sz w:val="20"/>
                <w:szCs w:val="20"/>
              </w:rPr>
              <w:t>. Na ta način se zasleduje ustavno načelo enakosti ter s tem podobna obravnava podobnih dohodkov.</w:t>
            </w:r>
          </w:p>
          <w:p w14:paraId="11D531E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rPr>
              <w:t xml:space="preserve">Z novelo ZDoh-2Z je bila s 1. 1. 2022 uvedena možnost, da se rezidenti lahko odločijo za vštevanje davčnih osnov od dohodkov iz kapitala in dohodkov iz oddajanja premoženja v najem v letno davčno osnovo ter sintetično obdavčitev po progresivni davčni </w:t>
            </w:r>
            <w:r w:rsidRPr="001A4710">
              <w:rPr>
                <w:rFonts w:ascii="Arial" w:hAnsi="Arial" w:cs="Arial"/>
                <w:sz w:val="20"/>
                <w:szCs w:val="20"/>
              </w:rPr>
              <w:lastRenderedPageBreak/>
              <w:t>lestvici in z možnostjo upoštevanja davčnih olajšav. Zaradi zasledovanja pravičnejše obravnave zavezancev s podobnimi dohodki in enostavnosti sistema, se predlaga, da se navedena možnost izbire s 1. 1. 2023 odpravi.</w:t>
            </w:r>
          </w:p>
        </w:tc>
      </w:tr>
      <w:tr w:rsidR="00244C4E" w:rsidRPr="001A4710" w14:paraId="2D737FED" w14:textId="77777777" w:rsidTr="00833C5D">
        <w:trPr>
          <w:trHeight w:val="640"/>
        </w:trPr>
        <w:tc>
          <w:tcPr>
            <w:tcW w:w="567" w:type="dxa"/>
            <w:vMerge w:val="restart"/>
            <w:shd w:val="clear" w:color="auto" w:fill="auto"/>
            <w:noWrap/>
          </w:tcPr>
          <w:p w14:paraId="76BA70A9"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val="restart"/>
          </w:tcPr>
          <w:p w14:paraId="698100F9"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8</w:t>
            </w:r>
          </w:p>
          <w:p w14:paraId="150F3AC9"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044EDAD5"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opustitev predloga za zvišanje davčne stopnje v 5. dohodninskem razredu na 50 %.</w:t>
            </w:r>
          </w:p>
        </w:tc>
        <w:tc>
          <w:tcPr>
            <w:tcW w:w="1553" w:type="dxa"/>
            <w:shd w:val="clear" w:color="auto" w:fill="auto"/>
            <w:noWrap/>
          </w:tcPr>
          <w:p w14:paraId="602DDE7D"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5ABD5BB1"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Predlog zasleduje splošne cilje zakona. Podrobnejše pojasnilo pod točko 4 te tabele. </w:t>
            </w:r>
          </w:p>
        </w:tc>
      </w:tr>
      <w:tr w:rsidR="00244C4E" w:rsidRPr="001A4710" w14:paraId="0642455D" w14:textId="77777777" w:rsidTr="2F2CE5B4">
        <w:trPr>
          <w:trHeight w:val="352"/>
        </w:trPr>
        <w:tc>
          <w:tcPr>
            <w:tcW w:w="567" w:type="dxa"/>
            <w:vMerge/>
            <w:shd w:val="clear" w:color="auto" w:fill="auto"/>
            <w:noWrap/>
          </w:tcPr>
          <w:p w14:paraId="42FF6CC8"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tcPr>
          <w:p w14:paraId="5BFD0BA6" w14:textId="77777777" w:rsidR="00FD48D4" w:rsidRPr="001A4710" w:rsidRDefault="00FD48D4" w:rsidP="000D3A59">
            <w:pPr>
              <w:spacing w:after="0" w:line="240" w:lineRule="auto"/>
              <w:rPr>
                <w:rFonts w:ascii="Arial" w:hAnsi="Arial" w:cs="Arial"/>
                <w:sz w:val="20"/>
                <w:szCs w:val="20"/>
              </w:rPr>
            </w:pPr>
          </w:p>
        </w:tc>
        <w:tc>
          <w:tcPr>
            <w:tcW w:w="4894" w:type="dxa"/>
            <w:shd w:val="clear" w:color="auto" w:fill="auto"/>
            <w:noWrap/>
          </w:tcPr>
          <w:p w14:paraId="15B4B4BA"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Nasprotovanje odpravi avtomatičnega usklajevanja z inflacijo. </w:t>
            </w:r>
          </w:p>
        </w:tc>
        <w:tc>
          <w:tcPr>
            <w:tcW w:w="1553" w:type="dxa"/>
            <w:shd w:val="clear" w:color="auto" w:fill="auto"/>
            <w:noWrap/>
          </w:tcPr>
          <w:p w14:paraId="5085F9BE"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3ECAD460" w14:textId="77777777" w:rsidR="00FD48D4" w:rsidRPr="001A4710" w:rsidRDefault="00FD48D4" w:rsidP="000D3A59">
            <w:pPr>
              <w:spacing w:after="0" w:line="240" w:lineRule="auto"/>
              <w:jc w:val="both"/>
              <w:rPr>
                <w:rFonts w:ascii="Arial" w:hAnsi="Arial" w:cs="Arial"/>
                <w:b/>
                <w:bCs/>
                <w:sz w:val="20"/>
                <w:szCs w:val="20"/>
                <w:lang w:eastAsia="sl-SI"/>
              </w:rPr>
            </w:pPr>
            <w:r w:rsidRPr="001A4710">
              <w:rPr>
                <w:rFonts w:ascii="Arial" w:hAnsi="Arial" w:cs="Arial"/>
                <w:sz w:val="20"/>
                <w:szCs w:val="20"/>
              </w:rPr>
              <w:t>Pojasnilo pod točko 6 te tabele.</w:t>
            </w:r>
          </w:p>
        </w:tc>
      </w:tr>
      <w:tr w:rsidR="00FD48D4" w:rsidRPr="001A4710" w14:paraId="56BAD72E" w14:textId="77777777" w:rsidTr="2F2CE5B4">
        <w:trPr>
          <w:trHeight w:val="255"/>
        </w:trPr>
        <w:tc>
          <w:tcPr>
            <w:tcW w:w="567" w:type="dxa"/>
            <w:shd w:val="clear" w:color="auto" w:fill="auto"/>
            <w:noWrap/>
          </w:tcPr>
          <w:p w14:paraId="376BB623"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3A371CC7"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9</w:t>
            </w:r>
          </w:p>
          <w:p w14:paraId="6F57E3BE"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19C8EDFB"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color w:val="000000"/>
                <w:sz w:val="20"/>
                <w:szCs w:val="20"/>
              </w:rPr>
              <w:t>Nagrada za prostovoljstvo naj se ne šteje med druge dohodke, temveč naj bo oproščena plačila dohodnine.</w:t>
            </w:r>
          </w:p>
        </w:tc>
        <w:tc>
          <w:tcPr>
            <w:tcW w:w="1553" w:type="dxa"/>
            <w:shd w:val="clear" w:color="auto" w:fill="auto"/>
            <w:noWrap/>
          </w:tcPr>
          <w:p w14:paraId="4C5E76B2"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5EFC7390"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Predlog ni vsebina tokratnih predlaganih sprememb ZDoh-2.</w:t>
            </w:r>
          </w:p>
          <w:p w14:paraId="15EA408B"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V skladu s petim odstavkom 108. člena ZDoh-2 so oproščeni določeni dohodki prostovoljcev, ki jih ta doseže z opravljanjem prostovoljskega dela (povračila določenih stroškov, nadomestilo za uporabo lastnih sredstev in tudi nagrada, ki jo prostovoljska organizacija izplača prostovoljcu za izjemne dosežke do določene višine). </w:t>
            </w:r>
          </w:p>
        </w:tc>
      </w:tr>
      <w:tr w:rsidR="00FD48D4" w:rsidRPr="001A4710" w14:paraId="1077D8FC" w14:textId="77777777" w:rsidTr="2F2CE5B4">
        <w:trPr>
          <w:trHeight w:val="255"/>
        </w:trPr>
        <w:tc>
          <w:tcPr>
            <w:tcW w:w="567" w:type="dxa"/>
            <w:shd w:val="clear" w:color="auto" w:fill="auto"/>
            <w:noWrap/>
          </w:tcPr>
          <w:p w14:paraId="58DDF2E0"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55BB5C2E"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Anonimen 2</w:t>
            </w:r>
          </w:p>
          <w:p w14:paraId="0FCC44A1"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2A7187E4"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Sistem </w:t>
            </w:r>
            <w:proofErr w:type="spellStart"/>
            <w:r w:rsidRPr="001A4710">
              <w:rPr>
                <w:rFonts w:ascii="Arial" w:hAnsi="Arial" w:cs="Arial"/>
                <w:sz w:val="20"/>
                <w:szCs w:val="20"/>
                <w:lang w:eastAsia="sl-SI"/>
              </w:rPr>
              <w:t>t.i</w:t>
            </w:r>
            <w:proofErr w:type="spellEnd"/>
            <w:r w:rsidRPr="001A4710">
              <w:rPr>
                <w:rFonts w:ascii="Arial" w:hAnsi="Arial" w:cs="Arial"/>
                <w:sz w:val="20"/>
                <w:szCs w:val="20"/>
                <w:lang w:eastAsia="sl-SI"/>
              </w:rPr>
              <w:t xml:space="preserve">. </w:t>
            </w:r>
            <w:proofErr w:type="spellStart"/>
            <w:r w:rsidRPr="001A4710">
              <w:rPr>
                <w:rFonts w:ascii="Arial" w:hAnsi="Arial" w:cs="Arial"/>
                <w:sz w:val="20"/>
                <w:szCs w:val="20"/>
                <w:lang w:eastAsia="sl-SI"/>
              </w:rPr>
              <w:t>normirancev</w:t>
            </w:r>
            <w:proofErr w:type="spellEnd"/>
            <w:r w:rsidRPr="001A4710">
              <w:rPr>
                <w:rFonts w:ascii="Arial" w:hAnsi="Arial" w:cs="Arial"/>
                <w:sz w:val="20"/>
                <w:szCs w:val="20"/>
                <w:lang w:eastAsia="sl-SI"/>
              </w:rPr>
              <w:t xml:space="preserve"> – predlaga, da se ne spremeni nič do višine 50.000 eur prihodkov, nad 50.000 eur prihodkov pa gredo </w:t>
            </w:r>
            <w:proofErr w:type="spellStart"/>
            <w:r w:rsidRPr="001A4710">
              <w:rPr>
                <w:rFonts w:ascii="Arial" w:hAnsi="Arial" w:cs="Arial"/>
                <w:sz w:val="20"/>
                <w:szCs w:val="20"/>
                <w:lang w:eastAsia="sl-SI"/>
              </w:rPr>
              <w:t>normiranci</w:t>
            </w:r>
            <w:proofErr w:type="spellEnd"/>
            <w:r w:rsidRPr="001A4710">
              <w:rPr>
                <w:rFonts w:ascii="Arial" w:hAnsi="Arial" w:cs="Arial"/>
                <w:sz w:val="20"/>
                <w:szCs w:val="20"/>
                <w:lang w:eastAsia="sl-SI"/>
              </w:rPr>
              <w:t xml:space="preserve"> na dejanske stroške in postanejo zavezanci za DDV. </w:t>
            </w:r>
          </w:p>
          <w:p w14:paraId="60770088"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 še, da ista oseba, družinski člani, prijatelji, znanci ne smejo odpirat novih </w:t>
            </w:r>
            <w:proofErr w:type="spellStart"/>
            <w:r w:rsidRPr="001A4710">
              <w:rPr>
                <w:rFonts w:ascii="Arial" w:hAnsi="Arial" w:cs="Arial"/>
                <w:sz w:val="20"/>
                <w:szCs w:val="20"/>
                <w:lang w:eastAsia="sl-SI"/>
              </w:rPr>
              <w:t>s.p</w:t>
            </w:r>
            <w:proofErr w:type="spellEnd"/>
            <w:r w:rsidRPr="001A4710">
              <w:rPr>
                <w:rFonts w:ascii="Arial" w:hAnsi="Arial" w:cs="Arial"/>
                <w:sz w:val="20"/>
                <w:szCs w:val="20"/>
                <w:lang w:eastAsia="sl-SI"/>
              </w:rPr>
              <w:t xml:space="preserve">., </w:t>
            </w:r>
            <w:proofErr w:type="spellStart"/>
            <w:r w:rsidRPr="001A4710">
              <w:rPr>
                <w:rFonts w:ascii="Arial" w:hAnsi="Arial" w:cs="Arial"/>
                <w:sz w:val="20"/>
                <w:szCs w:val="20"/>
                <w:lang w:eastAsia="sl-SI"/>
              </w:rPr>
              <w:t>d.o.o</w:t>
            </w:r>
            <w:proofErr w:type="spellEnd"/>
            <w:r w:rsidRPr="001A4710">
              <w:rPr>
                <w:rFonts w:ascii="Arial" w:hAnsi="Arial" w:cs="Arial"/>
                <w:sz w:val="20"/>
                <w:szCs w:val="20"/>
                <w:lang w:eastAsia="sl-SI"/>
              </w:rPr>
              <w:t xml:space="preserve">. s podobnimi dejavnostmi, v izogib, da ne bi presegel praga. </w:t>
            </w:r>
          </w:p>
        </w:tc>
        <w:tc>
          <w:tcPr>
            <w:tcW w:w="1553" w:type="dxa"/>
            <w:shd w:val="clear" w:color="auto" w:fill="auto"/>
            <w:noWrap/>
          </w:tcPr>
          <w:p w14:paraId="505C3EEB"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delno upošteva</w:t>
            </w:r>
          </w:p>
        </w:tc>
        <w:tc>
          <w:tcPr>
            <w:tcW w:w="6101" w:type="dxa"/>
            <w:shd w:val="clear" w:color="auto" w:fill="auto"/>
            <w:noWrap/>
          </w:tcPr>
          <w:p w14:paraId="7DE68B38" w14:textId="1017C6BD"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glede dopolnitve predlagane rešitve pod točko 6 te tabele.</w:t>
            </w:r>
          </w:p>
        </w:tc>
      </w:tr>
      <w:tr w:rsidR="00FD48D4" w:rsidRPr="001A4710" w14:paraId="03854E0C" w14:textId="77777777" w:rsidTr="2F2CE5B4">
        <w:trPr>
          <w:trHeight w:val="255"/>
        </w:trPr>
        <w:tc>
          <w:tcPr>
            <w:tcW w:w="567" w:type="dxa"/>
            <w:shd w:val="clear" w:color="auto" w:fill="auto"/>
            <w:noWrap/>
          </w:tcPr>
          <w:p w14:paraId="60CBF5EA"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0BA5FEF5"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10</w:t>
            </w:r>
          </w:p>
          <w:p w14:paraId="7A32B486"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06446960"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 se enotna olajšava v višini 12.000 eur letno za vsakega rezidenta, ki opravlja kakršnokoli delo. Ostale olajšave (npr. VDČ) bi se upoštevale šele nad tem zneskom. </w:t>
            </w:r>
          </w:p>
        </w:tc>
        <w:tc>
          <w:tcPr>
            <w:tcW w:w="1553" w:type="dxa"/>
            <w:shd w:val="clear" w:color="auto" w:fill="auto"/>
            <w:noWrap/>
          </w:tcPr>
          <w:p w14:paraId="098B428C"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3E84B0F4"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rPr>
              <w:t>Pojasnilo pod točko 5 te tabele.</w:t>
            </w:r>
          </w:p>
        </w:tc>
      </w:tr>
      <w:tr w:rsidR="00FD48D4" w:rsidRPr="001A4710" w14:paraId="2094F403" w14:textId="77777777" w:rsidTr="2F2CE5B4">
        <w:trPr>
          <w:trHeight w:val="255"/>
        </w:trPr>
        <w:tc>
          <w:tcPr>
            <w:tcW w:w="567" w:type="dxa"/>
            <w:shd w:val="clear" w:color="auto" w:fill="auto"/>
            <w:noWrap/>
          </w:tcPr>
          <w:p w14:paraId="2C0FC7D3"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7471BC98"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11</w:t>
            </w:r>
          </w:p>
          <w:p w14:paraId="4A5D1658"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702F030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 se, da se uredi področje nadomestila za izgubo dohodka invalidov. Invalidi to prejemajo poleg plače, zaradi omejitev iz naslova invalidnosti. Ta oseba mora vedno na koncu leta doplačati dohodnino v višini dveh mesečnih nadomestil. Zato bi se moralo obdavčitev teh nadomestil urediti drugače (npr. kot obdavčitev pokojnin).  </w:t>
            </w:r>
          </w:p>
        </w:tc>
        <w:tc>
          <w:tcPr>
            <w:tcW w:w="1553" w:type="dxa"/>
            <w:shd w:val="clear" w:color="auto" w:fill="auto"/>
            <w:noWrap/>
          </w:tcPr>
          <w:p w14:paraId="56936A26"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705C088C"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Predlog ni vsebina tokratnih predlaganih sprememb ZDoh-2.</w:t>
            </w:r>
          </w:p>
          <w:p w14:paraId="15C0CD69"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V ZDoh-2 je uveljavljeno načelo, da so obdavčeni vsi dohodki fizične osebe, razen tistih, ki so iz obdavčitve izrecno izvzeti. Nadomestila iz pokojninskega in invalidskega zavarovanja se davčno obravnavajo kot dohodek iz delovnega razmerja v skladu z 8. točko drugega  odstavka 37. člena ZDoh-2. Iz opredelitve navedenih dohodkov, kot je določeno po ZPIZ-2, izhaja, da imajo ti dohodki podobno naravo kot pokojnine, in sicer za delno nezmožnost za delo, za razliko od invalidske pokojnine, ki je določena kot pravica za zavarovance, pri katerih je nastala popolna nezmožnost za delo. </w:t>
            </w:r>
            <w:r w:rsidRPr="001A4710">
              <w:rPr>
                <w:rFonts w:ascii="Arial" w:hAnsi="Arial" w:cs="Arial"/>
                <w:sz w:val="20"/>
                <w:szCs w:val="20"/>
                <w:lang w:eastAsia="sl-SI"/>
              </w:rPr>
              <w:lastRenderedPageBreak/>
              <w:t>V skladu z ZDoh-2 so pokojnine, vključno z invalidsko pokojnino, obdavčene, ravno tako pa tudi navedena nadomestila delovnih invalidov. Ker gre za dohodke, določene v neto znesku, velja zanje posebna davčna obravnava, in sicer se pri obračunu dohodnine upošteva posebna osebna olajšava v obliki znižanja dohodnine v višini 13.5 % odmerjene pokojnine oziroma odmerjenega nadomestila iz obveznega invalidskega zavarovanja, kar pomeni, da je določen del navedenega dohodka neobdavčen in s tem dosežena izenačitev z drugimi dohodki iz zaposlitve, ki so določeni v bruto znesku. Dohodek, ki ga navajate, je tako že obravnavan na primerljiv način kot pokojnina.</w:t>
            </w:r>
          </w:p>
        </w:tc>
      </w:tr>
      <w:tr w:rsidR="00FD48D4" w:rsidRPr="001A4710" w14:paraId="400569A7" w14:textId="77777777" w:rsidTr="2F2CE5B4">
        <w:trPr>
          <w:trHeight w:val="255"/>
        </w:trPr>
        <w:tc>
          <w:tcPr>
            <w:tcW w:w="567" w:type="dxa"/>
            <w:shd w:val="clear" w:color="auto" w:fill="auto"/>
            <w:noWrap/>
          </w:tcPr>
          <w:p w14:paraId="0D61D9C8"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7DEC7417"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Anonimen 3</w:t>
            </w:r>
          </w:p>
          <w:p w14:paraId="732E9D86"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5E5E1198"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Oseba pripominja, da so napačno izračunane socialne posledice, saj bi bilo potrebno oceno narediti tako z davčnega vidika kot tudi z vidika prejemanja socialnih transferjev. Zaradi višjih olajšav se bodo marsikomu znižali prejemki iz naslova socialnih transferjev. Predlaga, da se spremembe davčne zakonodaje pripravi skupaj s spremembami socialne zakonodaje in tako prikaže realno oceno oziroma posledice za socialno področje.  </w:t>
            </w:r>
          </w:p>
        </w:tc>
        <w:tc>
          <w:tcPr>
            <w:tcW w:w="1553" w:type="dxa"/>
            <w:shd w:val="clear" w:color="auto" w:fill="auto"/>
            <w:noWrap/>
          </w:tcPr>
          <w:p w14:paraId="59D5CE0E"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7A4EE71E"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Predlaganega ob pripravi tega zakona ni mogoče oceniti, saj se meje dohodkov za pravice iz naslova socialnih in družinskih transferjev prav tako usklajujejo na letni ravni, vendar v drugih časovnih obdobjih kot je obdobje sprejemanja davčne zakonodaje. Povezava med obema področjema je kompleksna, hkratno spreminjanje obeh področjih pa v osnovi ni ustrezna. Davčna politika je podporna politika drugim politikam, ne pa nujno komplementarni del drugega področja družbenega življenja. </w:t>
            </w:r>
          </w:p>
        </w:tc>
      </w:tr>
      <w:tr w:rsidR="00244C4E" w:rsidRPr="001A4710" w14:paraId="0FFB46C5" w14:textId="77777777" w:rsidTr="00833C5D">
        <w:trPr>
          <w:trHeight w:val="255"/>
        </w:trPr>
        <w:tc>
          <w:tcPr>
            <w:tcW w:w="567" w:type="dxa"/>
            <w:vMerge w:val="restart"/>
            <w:shd w:val="clear" w:color="auto" w:fill="auto"/>
            <w:noWrap/>
          </w:tcPr>
          <w:p w14:paraId="2AB2F9F8"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val="restart"/>
          </w:tcPr>
          <w:p w14:paraId="2F2C71D1"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Reprezentativne delodajalske organizacije, Trgovinska zbornica Slovenije, Gospodarska zbornica Slovenije, Obrtno-podjetniška zbornica Slovenije, Združenje delodajalcev Slovenije in Združenje delodajalcev obrti in podjetnikov Slovenije</w:t>
            </w:r>
          </w:p>
        </w:tc>
        <w:tc>
          <w:tcPr>
            <w:tcW w:w="4894" w:type="dxa"/>
            <w:shd w:val="clear" w:color="auto" w:fill="auto"/>
            <w:noWrap/>
          </w:tcPr>
          <w:p w14:paraId="571726C8"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V celoti nasprotujejo parcialnim spremembam, ki jih prinaša predlog ZDoh-2AA in na podlagi katerega naj bi se še pred njihovo dokončno uveljavitvijo izničili pozitivni učinki zadnjih sprememb ZDoh-2. Predlagajo, da MF predlog ZDoh-2AA umakne iz javne obravnave. </w:t>
            </w:r>
          </w:p>
        </w:tc>
        <w:tc>
          <w:tcPr>
            <w:tcW w:w="1553" w:type="dxa"/>
            <w:shd w:val="clear" w:color="auto" w:fill="auto"/>
            <w:noWrap/>
          </w:tcPr>
          <w:p w14:paraId="2E37A7EA"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28318D0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4 te tabele..</w:t>
            </w:r>
          </w:p>
        </w:tc>
      </w:tr>
      <w:tr w:rsidR="00244C4E" w:rsidRPr="001A4710" w14:paraId="0785BA49" w14:textId="77777777" w:rsidTr="2F2CE5B4">
        <w:trPr>
          <w:trHeight w:val="858"/>
        </w:trPr>
        <w:tc>
          <w:tcPr>
            <w:tcW w:w="567" w:type="dxa"/>
            <w:vMerge/>
            <w:shd w:val="clear" w:color="auto" w:fill="auto"/>
            <w:noWrap/>
          </w:tcPr>
          <w:p w14:paraId="35D69A28" w14:textId="77777777" w:rsidR="00FD48D4" w:rsidRPr="001A4710" w:rsidRDefault="00FD48D4" w:rsidP="00FD48D4">
            <w:pPr>
              <w:pStyle w:val="Odstavekseznama"/>
              <w:numPr>
                <w:ilvl w:val="0"/>
                <w:numId w:val="35"/>
              </w:numPr>
              <w:ind w:hanging="227"/>
              <w:contextualSpacing/>
              <w:rPr>
                <w:rFonts w:ascii="Arial" w:hAnsi="Arial" w:cs="Arial"/>
                <w:b/>
                <w:color w:val="000000"/>
                <w:sz w:val="20"/>
                <w:szCs w:val="20"/>
              </w:rPr>
            </w:pPr>
          </w:p>
        </w:tc>
        <w:tc>
          <w:tcPr>
            <w:tcW w:w="2903" w:type="dxa"/>
            <w:vMerge/>
          </w:tcPr>
          <w:p w14:paraId="04E4B8EA"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5596AE51"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Opozarjajo, da predlog ZDoh-2AA pred začetkom javne objave ni bil obravnavan na ESS.</w:t>
            </w:r>
          </w:p>
        </w:tc>
        <w:tc>
          <w:tcPr>
            <w:tcW w:w="1553" w:type="dxa"/>
            <w:shd w:val="clear" w:color="auto" w:fill="auto"/>
            <w:noWrap/>
          </w:tcPr>
          <w:p w14:paraId="10AA33F1"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upošteva</w:t>
            </w:r>
          </w:p>
        </w:tc>
        <w:tc>
          <w:tcPr>
            <w:tcW w:w="6101" w:type="dxa"/>
            <w:shd w:val="clear" w:color="auto" w:fill="auto"/>
            <w:noWrap/>
          </w:tcPr>
          <w:p w14:paraId="6C976835" w14:textId="30869914"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 opravljeni javni obravnavi je bil predlog zakona 24. avgusta 2022</w:t>
            </w:r>
            <w:r w:rsidR="00B3372D">
              <w:rPr>
                <w:rFonts w:ascii="Arial" w:hAnsi="Arial" w:cs="Arial"/>
                <w:sz w:val="20"/>
                <w:szCs w:val="20"/>
                <w:lang w:eastAsia="sl-SI"/>
              </w:rPr>
              <w:t xml:space="preserve"> in 7. septembra 2022</w:t>
            </w:r>
            <w:r w:rsidRPr="001A4710">
              <w:rPr>
                <w:rFonts w:ascii="Arial" w:hAnsi="Arial" w:cs="Arial"/>
                <w:sz w:val="20"/>
                <w:szCs w:val="20"/>
                <w:lang w:eastAsia="sl-SI"/>
              </w:rPr>
              <w:t xml:space="preserve"> obravnavan na Strokovnem odbora za finance in gospodarstvo za obravnavo novele Zakona o dohodnini, novele Zakona o trošarinah, novele Zakona o davčnem postopku in novele Zakona o finančni upravi pri Ekonomsko-socialnem svetu, 26. avgusta 2022 pa tudi na Ekonomsko-socialnem svetu.</w:t>
            </w:r>
          </w:p>
        </w:tc>
      </w:tr>
      <w:tr w:rsidR="00244C4E" w:rsidRPr="001A4710" w14:paraId="446F1872" w14:textId="77777777" w:rsidTr="00833C5D">
        <w:trPr>
          <w:trHeight w:val="787"/>
        </w:trPr>
        <w:tc>
          <w:tcPr>
            <w:tcW w:w="567" w:type="dxa"/>
            <w:vMerge w:val="restart"/>
            <w:shd w:val="clear" w:color="auto" w:fill="auto"/>
            <w:noWrap/>
          </w:tcPr>
          <w:p w14:paraId="30482DE8"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val="restart"/>
          </w:tcPr>
          <w:p w14:paraId="5C15D746"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12</w:t>
            </w:r>
          </w:p>
          <w:p w14:paraId="4CF088E6"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74872107" w14:textId="07F454AC"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Splošna olajšava in zvišanje davčne stopnje v 5. dohodninskem razredu - splošna olajšava ne pokriva minimalnih življenjskih stroškov, kar je njen namen.</w:t>
            </w:r>
          </w:p>
        </w:tc>
        <w:tc>
          <w:tcPr>
            <w:tcW w:w="1553" w:type="dxa"/>
            <w:shd w:val="clear" w:color="auto" w:fill="auto"/>
            <w:noWrap/>
          </w:tcPr>
          <w:p w14:paraId="7F0AFC2E"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63796D9D" w14:textId="77777777" w:rsidR="00FD48D4" w:rsidRPr="001A4710" w:rsidRDefault="00FD48D4" w:rsidP="000D3A59">
            <w:pPr>
              <w:spacing w:after="0" w:line="240" w:lineRule="auto"/>
              <w:contextualSpacing/>
              <w:jc w:val="both"/>
              <w:rPr>
                <w:rFonts w:ascii="Arial" w:hAnsi="Arial" w:cs="Arial"/>
                <w:sz w:val="20"/>
                <w:szCs w:val="20"/>
                <w:lang w:eastAsia="sl-SI"/>
              </w:rPr>
            </w:pPr>
            <w:r w:rsidRPr="001A4710">
              <w:rPr>
                <w:rFonts w:ascii="Arial" w:hAnsi="Arial" w:cs="Arial"/>
                <w:sz w:val="20"/>
                <w:szCs w:val="20"/>
                <w:lang w:eastAsia="sl-SI"/>
              </w:rPr>
              <w:t>Pojasnilo pod točko 5 te tabele.</w:t>
            </w:r>
          </w:p>
        </w:tc>
      </w:tr>
      <w:tr w:rsidR="00244C4E" w:rsidRPr="001A4710" w14:paraId="036DFE59" w14:textId="77777777" w:rsidTr="2F2CE5B4">
        <w:trPr>
          <w:trHeight w:val="845"/>
        </w:trPr>
        <w:tc>
          <w:tcPr>
            <w:tcW w:w="567" w:type="dxa"/>
            <w:vMerge/>
            <w:shd w:val="clear" w:color="auto" w:fill="auto"/>
            <w:noWrap/>
          </w:tcPr>
          <w:p w14:paraId="7509A347"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0DC9E125"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14CEEFC8"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Usklajevanje z inflacijo – </w:t>
            </w:r>
            <w:proofErr w:type="spellStart"/>
            <w:r w:rsidRPr="001A4710">
              <w:rPr>
                <w:rFonts w:ascii="Arial" w:hAnsi="Arial" w:cs="Arial"/>
                <w:sz w:val="20"/>
                <w:szCs w:val="20"/>
                <w:lang w:eastAsia="sl-SI"/>
              </w:rPr>
              <w:t>neusklajevanje</w:t>
            </w:r>
            <w:proofErr w:type="spellEnd"/>
            <w:r w:rsidRPr="001A4710">
              <w:rPr>
                <w:rFonts w:ascii="Arial" w:hAnsi="Arial" w:cs="Arial"/>
                <w:sz w:val="20"/>
                <w:szCs w:val="20"/>
                <w:lang w:eastAsia="sl-SI"/>
              </w:rPr>
              <w:t xml:space="preserve"> dohodninske lestvice z inflacijo po vsebini pomeni obdavčevanje inflacijskega in ne realnega povečanja dohodkov. </w:t>
            </w:r>
          </w:p>
        </w:tc>
        <w:tc>
          <w:tcPr>
            <w:tcW w:w="1553" w:type="dxa"/>
            <w:shd w:val="clear" w:color="auto" w:fill="auto"/>
            <w:noWrap/>
          </w:tcPr>
          <w:p w14:paraId="61D18CFE"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3F1AD519" w14:textId="77777777" w:rsidR="00FD48D4" w:rsidRPr="001A4710" w:rsidRDefault="00FD48D4" w:rsidP="000D3A59">
            <w:pPr>
              <w:spacing w:after="0" w:line="240" w:lineRule="auto"/>
              <w:contextualSpacing/>
              <w:jc w:val="both"/>
              <w:rPr>
                <w:rFonts w:ascii="Arial" w:hAnsi="Arial" w:cs="Arial"/>
                <w:sz w:val="20"/>
                <w:szCs w:val="20"/>
                <w:lang w:eastAsia="sl-SI"/>
              </w:rPr>
            </w:pPr>
            <w:r w:rsidRPr="001A4710">
              <w:rPr>
                <w:rFonts w:ascii="Arial" w:hAnsi="Arial" w:cs="Arial"/>
                <w:sz w:val="20"/>
                <w:szCs w:val="20"/>
                <w:lang w:eastAsia="sl-SI"/>
              </w:rPr>
              <w:t>Pojasnilo pod točko 6 te tabele.</w:t>
            </w:r>
          </w:p>
        </w:tc>
      </w:tr>
      <w:tr w:rsidR="00244C4E" w:rsidRPr="001A4710" w14:paraId="22047968" w14:textId="77777777" w:rsidTr="2F2CE5B4">
        <w:trPr>
          <w:trHeight w:val="615"/>
        </w:trPr>
        <w:tc>
          <w:tcPr>
            <w:tcW w:w="567" w:type="dxa"/>
            <w:vMerge/>
            <w:shd w:val="clear" w:color="auto" w:fill="auto"/>
            <w:noWrap/>
          </w:tcPr>
          <w:p w14:paraId="2DC33CC7"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35FF6AB9"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22ADF92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Primerjava obdavčitve plač z državami OECD – zakon ne naslavlja problema previsoke obdavčitve plač.</w:t>
            </w:r>
          </w:p>
        </w:tc>
        <w:tc>
          <w:tcPr>
            <w:tcW w:w="1553" w:type="dxa"/>
            <w:shd w:val="clear" w:color="auto" w:fill="auto"/>
            <w:noWrap/>
          </w:tcPr>
          <w:p w14:paraId="073CEF25"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47AF0FF8" w14:textId="77777777" w:rsidR="00FD48D4" w:rsidRPr="001A4710" w:rsidRDefault="00FD48D4" w:rsidP="000D3A59">
            <w:pPr>
              <w:spacing w:after="0" w:line="240" w:lineRule="auto"/>
              <w:contextualSpacing/>
              <w:jc w:val="both"/>
              <w:rPr>
                <w:rFonts w:ascii="Arial" w:hAnsi="Arial" w:cs="Arial"/>
                <w:sz w:val="20"/>
                <w:szCs w:val="20"/>
                <w:lang w:eastAsia="sl-SI"/>
              </w:rPr>
            </w:pPr>
            <w:r w:rsidRPr="001A4710">
              <w:rPr>
                <w:rFonts w:ascii="Arial" w:hAnsi="Arial" w:cs="Arial"/>
                <w:sz w:val="20"/>
                <w:szCs w:val="20"/>
                <w:lang w:eastAsia="sl-SI"/>
              </w:rPr>
              <w:t xml:space="preserve">Pojasnilo v predlogu zakona, točka I. Uvod, 1. Ocena stanja in razlogi za sprejem predloga zakona, 1.2 Davčna obravnava dohodkov, ki se vštevajo v letno davčno osnovo  </w:t>
            </w:r>
          </w:p>
        </w:tc>
      </w:tr>
      <w:tr w:rsidR="00244C4E" w:rsidRPr="001A4710" w14:paraId="73D34AC0" w14:textId="77777777" w:rsidTr="2F2CE5B4">
        <w:trPr>
          <w:trHeight w:val="365"/>
        </w:trPr>
        <w:tc>
          <w:tcPr>
            <w:tcW w:w="567" w:type="dxa"/>
            <w:vMerge/>
            <w:shd w:val="clear" w:color="auto" w:fill="auto"/>
            <w:noWrap/>
          </w:tcPr>
          <w:p w14:paraId="20B25C3B"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758907EA"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25019CF6"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Povišanje stopnje obdavčitve dohodkov iz oddajanja premoženja v najem bo povzročilo, da bo manj najemnih stanovanj na trgu in hkrati bo spodbudilo sivi trg. </w:t>
            </w:r>
          </w:p>
          <w:p w14:paraId="49EF5412" w14:textId="77777777" w:rsidR="00FD48D4" w:rsidRPr="001A4710" w:rsidRDefault="00FD48D4" w:rsidP="000D3A59">
            <w:pPr>
              <w:spacing w:after="0" w:line="240" w:lineRule="auto"/>
              <w:jc w:val="both"/>
              <w:rPr>
                <w:rFonts w:ascii="Arial" w:hAnsi="Arial" w:cs="Arial"/>
                <w:b/>
                <w:bCs/>
                <w:sz w:val="20"/>
                <w:szCs w:val="20"/>
                <w:lang w:eastAsia="sl-SI"/>
              </w:rPr>
            </w:pPr>
          </w:p>
        </w:tc>
        <w:tc>
          <w:tcPr>
            <w:tcW w:w="1553" w:type="dxa"/>
            <w:shd w:val="clear" w:color="auto" w:fill="auto"/>
            <w:noWrap/>
          </w:tcPr>
          <w:p w14:paraId="7D79140C"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29030493" w14:textId="77777777" w:rsidR="00FD48D4" w:rsidRPr="001A4710" w:rsidRDefault="00FD48D4" w:rsidP="000D3A59">
            <w:pPr>
              <w:spacing w:after="0" w:line="240" w:lineRule="auto"/>
              <w:contextualSpacing/>
              <w:jc w:val="both"/>
              <w:rPr>
                <w:rFonts w:ascii="Arial" w:hAnsi="Arial" w:cs="Arial"/>
                <w:sz w:val="20"/>
                <w:szCs w:val="20"/>
                <w:lang w:eastAsia="sl-SI"/>
              </w:rPr>
            </w:pPr>
            <w:r w:rsidRPr="001A4710">
              <w:rPr>
                <w:rFonts w:ascii="Arial" w:hAnsi="Arial" w:cs="Arial"/>
                <w:sz w:val="20"/>
                <w:szCs w:val="20"/>
                <w:lang w:eastAsia="sl-SI"/>
              </w:rPr>
              <w:t xml:space="preserve">Dohodki iz oddajanja premoženja v najem iz poglavja III:5.1. ZDoh-2 se obdavčujejo po proporcionalni stopnji dohodnine, kot dokončnim davkom (veljavna stopnja je 15 %). Po predlogu se stopnja dohodnine od tovrstnih dohodkov izenačuje s splošno stopnjo dohodnine od dohodkov iz kapitala iz poglavja III.6. ZDoh-2 (tj. stopnja 25 %). V obeh primerih gre namreč za dohodke, ki se obdavčujejo </w:t>
            </w:r>
            <w:proofErr w:type="spellStart"/>
            <w:r w:rsidRPr="001A4710">
              <w:rPr>
                <w:rFonts w:ascii="Arial" w:hAnsi="Arial" w:cs="Arial"/>
                <w:sz w:val="20"/>
                <w:szCs w:val="20"/>
                <w:lang w:eastAsia="sl-SI"/>
              </w:rPr>
              <w:t>cedularno</w:t>
            </w:r>
            <w:proofErr w:type="spellEnd"/>
            <w:r w:rsidRPr="001A4710">
              <w:rPr>
                <w:rFonts w:ascii="Arial" w:hAnsi="Arial" w:cs="Arial"/>
                <w:sz w:val="20"/>
                <w:szCs w:val="20"/>
                <w:lang w:eastAsia="sl-SI"/>
              </w:rPr>
              <w:t xml:space="preserve">. Na ta način se zasleduje ustavno načelo enakosti ter s tem podobna obravnava podobnih dohodkov. Trditev, da bo povišanje stopnje dohodnine od dohodkov iz oddajanja premoženja v najem povzročila, da bo na trgu manj najemnih stanovanj in hkrati spodbudila sivi trg, je preveč posplošena, tako kot je lahko tudi nasprotna trditev, da znižanje stopnje dohodnine od tovrstnih dohodkov vodi k povečanju števila najemnih stanovanj in zmanjšuje sivi trg. Glede obsega sivega trga je zlasti pomembno izvajanje nadzornih mehanizmov.  </w:t>
            </w:r>
          </w:p>
        </w:tc>
      </w:tr>
      <w:tr w:rsidR="00244C4E" w:rsidRPr="001A4710" w14:paraId="1FD7546B" w14:textId="77777777" w:rsidTr="2F2CE5B4">
        <w:trPr>
          <w:trHeight w:val="318"/>
        </w:trPr>
        <w:tc>
          <w:tcPr>
            <w:tcW w:w="567" w:type="dxa"/>
            <w:vMerge/>
            <w:shd w:val="clear" w:color="auto" w:fill="auto"/>
            <w:noWrap/>
          </w:tcPr>
          <w:p w14:paraId="0BE78F4E"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4D715803"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104A392B"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Izplačilo dividend, ki se izplačujejo iz dobička in prodaja lastniških deležev, nista enaki transakciji.</w:t>
            </w:r>
          </w:p>
        </w:tc>
        <w:tc>
          <w:tcPr>
            <w:tcW w:w="1553" w:type="dxa"/>
            <w:shd w:val="clear" w:color="auto" w:fill="auto"/>
            <w:noWrap/>
          </w:tcPr>
          <w:p w14:paraId="0A7FE471"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676B70E8" w14:textId="77777777" w:rsidR="00FD48D4" w:rsidRPr="001A4710" w:rsidRDefault="00FD48D4" w:rsidP="000D3A59">
            <w:pPr>
              <w:spacing w:after="0" w:line="240" w:lineRule="auto"/>
              <w:contextualSpacing/>
              <w:jc w:val="both"/>
              <w:rPr>
                <w:rFonts w:ascii="Arial" w:hAnsi="Arial" w:cs="Arial"/>
                <w:b/>
                <w:bCs/>
                <w:sz w:val="20"/>
                <w:szCs w:val="20"/>
                <w:lang w:eastAsia="sl-SI"/>
              </w:rPr>
            </w:pPr>
            <w:r w:rsidRPr="001A4710">
              <w:rPr>
                <w:rFonts w:ascii="Arial" w:hAnsi="Arial" w:cs="Arial"/>
                <w:sz w:val="20"/>
                <w:szCs w:val="20"/>
                <w:lang w:eastAsia="sl-SI"/>
              </w:rPr>
              <w:t xml:space="preserve">Pojasnilo pod točko 1 te tabele. </w:t>
            </w:r>
          </w:p>
        </w:tc>
      </w:tr>
      <w:tr w:rsidR="00244C4E" w:rsidRPr="001A4710" w14:paraId="643CE63F" w14:textId="77777777" w:rsidTr="00833C5D">
        <w:trPr>
          <w:trHeight w:val="508"/>
        </w:trPr>
        <w:tc>
          <w:tcPr>
            <w:tcW w:w="567" w:type="dxa"/>
            <w:vMerge w:val="restart"/>
            <w:shd w:val="clear" w:color="auto" w:fill="auto"/>
            <w:noWrap/>
          </w:tcPr>
          <w:p w14:paraId="22CE4213"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val="restart"/>
          </w:tcPr>
          <w:p w14:paraId="5DC98507"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bCs/>
                <w:color w:val="000000"/>
                <w:sz w:val="20"/>
                <w:szCs w:val="20"/>
              </w:rPr>
              <w:t xml:space="preserve">PERGAM (KSS PERGAM) </w:t>
            </w:r>
          </w:p>
        </w:tc>
        <w:tc>
          <w:tcPr>
            <w:tcW w:w="4894" w:type="dxa"/>
            <w:shd w:val="clear" w:color="auto" w:fill="auto"/>
            <w:noWrap/>
          </w:tcPr>
          <w:p w14:paraId="17014B3E"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Opozarjajo, da predlog ZDoh-2AA pred začetkom javne objave ni bil obravnavan na Ekonomsko socialnem svetu.</w:t>
            </w:r>
          </w:p>
        </w:tc>
        <w:tc>
          <w:tcPr>
            <w:tcW w:w="1553" w:type="dxa"/>
            <w:shd w:val="clear" w:color="auto" w:fill="auto"/>
            <w:noWrap/>
          </w:tcPr>
          <w:p w14:paraId="27B03A01"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upošteva</w:t>
            </w:r>
          </w:p>
        </w:tc>
        <w:tc>
          <w:tcPr>
            <w:tcW w:w="6101" w:type="dxa"/>
            <w:shd w:val="clear" w:color="auto" w:fill="auto"/>
            <w:noWrap/>
          </w:tcPr>
          <w:p w14:paraId="2EADFFD9" w14:textId="77777777" w:rsidR="00FD48D4" w:rsidRPr="001A4710" w:rsidRDefault="00FD48D4" w:rsidP="000D3A59">
            <w:pPr>
              <w:spacing w:after="0" w:line="240" w:lineRule="auto"/>
              <w:jc w:val="both"/>
              <w:rPr>
                <w:rFonts w:ascii="Arial" w:hAnsi="Arial" w:cs="Arial"/>
                <w:sz w:val="20"/>
                <w:szCs w:val="20"/>
                <w:highlight w:val="yellow"/>
                <w:lang w:eastAsia="sl-SI"/>
              </w:rPr>
            </w:pPr>
            <w:r w:rsidRPr="001A4710">
              <w:rPr>
                <w:rFonts w:ascii="Arial" w:hAnsi="Arial" w:cs="Arial"/>
                <w:sz w:val="20"/>
                <w:szCs w:val="20"/>
                <w:lang w:eastAsia="sl-SI"/>
              </w:rPr>
              <w:t>Pojasnilo pod točko 16 te tabele.</w:t>
            </w:r>
          </w:p>
        </w:tc>
      </w:tr>
      <w:tr w:rsidR="00244C4E" w:rsidRPr="001A4710" w14:paraId="7DD53982" w14:textId="77777777" w:rsidTr="2F2CE5B4">
        <w:trPr>
          <w:trHeight w:val="1212"/>
        </w:trPr>
        <w:tc>
          <w:tcPr>
            <w:tcW w:w="567" w:type="dxa"/>
            <w:vMerge/>
            <w:shd w:val="clear" w:color="auto" w:fill="auto"/>
            <w:noWrap/>
          </w:tcPr>
          <w:p w14:paraId="0F59E47E"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069F74F1" w14:textId="77777777" w:rsidR="00FD48D4" w:rsidRPr="001A4710" w:rsidRDefault="00FD48D4" w:rsidP="000D3A59">
            <w:pPr>
              <w:spacing w:after="0" w:line="240" w:lineRule="auto"/>
              <w:rPr>
                <w:rFonts w:ascii="Arial" w:hAnsi="Arial" w:cs="Arial"/>
                <w:b/>
                <w:bCs/>
                <w:color w:val="000000"/>
                <w:sz w:val="20"/>
                <w:szCs w:val="20"/>
              </w:rPr>
            </w:pPr>
          </w:p>
        </w:tc>
        <w:tc>
          <w:tcPr>
            <w:tcW w:w="4894" w:type="dxa"/>
            <w:shd w:val="clear" w:color="auto" w:fill="auto"/>
            <w:noWrap/>
          </w:tcPr>
          <w:p w14:paraId="2E55F9C0"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Nasprotuje se ukinitvi avtomatičnega usklajevanja olajšav in zneskov letnih davčnih osnov z inflacijo, zlasti v času izrazito visoke stopnje rasti cen življenjskih potrebščin in še posebej odločitvi, da uskladitve v letu 2023 sploh ne bo.</w:t>
            </w:r>
          </w:p>
        </w:tc>
        <w:tc>
          <w:tcPr>
            <w:tcW w:w="1553" w:type="dxa"/>
            <w:shd w:val="clear" w:color="auto" w:fill="auto"/>
            <w:noWrap/>
          </w:tcPr>
          <w:p w14:paraId="335AF712"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43C5297B"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6 te tabele.</w:t>
            </w:r>
          </w:p>
        </w:tc>
      </w:tr>
      <w:tr w:rsidR="00244C4E" w:rsidRPr="001A4710" w14:paraId="16C571FD" w14:textId="77777777" w:rsidTr="2F2CE5B4">
        <w:trPr>
          <w:trHeight w:val="1495"/>
        </w:trPr>
        <w:tc>
          <w:tcPr>
            <w:tcW w:w="567" w:type="dxa"/>
            <w:vMerge/>
            <w:shd w:val="clear" w:color="auto" w:fill="auto"/>
            <w:noWrap/>
          </w:tcPr>
          <w:p w14:paraId="780C2AA8"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05CD67BF" w14:textId="77777777" w:rsidR="00FD48D4" w:rsidRPr="001A4710" w:rsidRDefault="00FD48D4" w:rsidP="000D3A59">
            <w:pPr>
              <w:spacing w:after="0" w:line="240" w:lineRule="auto"/>
              <w:rPr>
                <w:rFonts w:ascii="Arial" w:hAnsi="Arial" w:cs="Arial"/>
                <w:b/>
                <w:bCs/>
                <w:color w:val="000000"/>
                <w:sz w:val="20"/>
                <w:szCs w:val="20"/>
              </w:rPr>
            </w:pPr>
          </w:p>
        </w:tc>
        <w:tc>
          <w:tcPr>
            <w:tcW w:w="4894" w:type="dxa"/>
            <w:shd w:val="clear" w:color="auto" w:fill="auto"/>
            <w:noWrap/>
          </w:tcPr>
          <w:p w14:paraId="3411AF7A"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dodatna razbremenitev zaposlenih s plačami, višjih od minimalne, zlasti prejemnike med eno in dvema povprečnima plačama v RS, med katerimi so tudi zaposleni, ki so v podjetjih (in javnih zavodih) ključni in najbolj produktivni kadri.</w:t>
            </w:r>
          </w:p>
        </w:tc>
        <w:tc>
          <w:tcPr>
            <w:tcW w:w="1553" w:type="dxa"/>
            <w:shd w:val="clear" w:color="auto" w:fill="auto"/>
            <w:noWrap/>
          </w:tcPr>
          <w:p w14:paraId="2585B1CA"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5025D64"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Navedena vsebina bo deležna globljega razmisleka ob že napovedani obširnejši davčni reformi, medtem ko potreba po hitri spremembi ZDoh-2 zaradi zagotavljanja javnofinančne stabilnosti tega razmisleka trenutno ne omogoča, saj bo treba tovrstne ukrepe sprejemati na način prestrukturiranja davčnih bremen znotraj davčnega sistema oziroma širše (tudi sistema obveznih socialnih zavarovanj).</w:t>
            </w:r>
          </w:p>
        </w:tc>
      </w:tr>
      <w:tr w:rsidR="00244C4E" w:rsidRPr="001A4710" w14:paraId="702F5032" w14:textId="77777777" w:rsidTr="2F2CE5B4">
        <w:trPr>
          <w:trHeight w:val="2084"/>
        </w:trPr>
        <w:tc>
          <w:tcPr>
            <w:tcW w:w="567" w:type="dxa"/>
            <w:vMerge/>
            <w:shd w:val="clear" w:color="auto" w:fill="auto"/>
            <w:noWrap/>
          </w:tcPr>
          <w:p w14:paraId="2FB2B447"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75BAD890" w14:textId="77777777" w:rsidR="00FD48D4" w:rsidRPr="001A4710" w:rsidRDefault="00FD48D4" w:rsidP="000D3A59">
            <w:pPr>
              <w:spacing w:after="0" w:line="240" w:lineRule="auto"/>
              <w:rPr>
                <w:rFonts w:ascii="Arial" w:hAnsi="Arial" w:cs="Arial"/>
                <w:b/>
                <w:bCs/>
                <w:color w:val="000000"/>
                <w:sz w:val="20"/>
                <w:szCs w:val="20"/>
              </w:rPr>
            </w:pPr>
          </w:p>
        </w:tc>
        <w:tc>
          <w:tcPr>
            <w:tcW w:w="4894" w:type="dxa"/>
            <w:shd w:val="clear" w:color="auto" w:fill="auto"/>
            <w:noWrap/>
          </w:tcPr>
          <w:p w14:paraId="1C13052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ureditev t. i. normiranih samostojnih podjetnikov, saj davčna obravnava njihovih prihodkov predstavlja izjemno nelojalno konkurenco zaposlenim po pogodbi o zaposlitvi na eni strani in neutemeljen izpad davčnih prilivov iz naslova dohodnine na drugi strani. Na ta način se dejansko spodbuja prehode iz redne zaposlitve v samostojno podjetništvo, z vsemi negativnimi učinki, ki jih to prinaša za družbo in javne blagajne.</w:t>
            </w:r>
          </w:p>
        </w:tc>
        <w:tc>
          <w:tcPr>
            <w:tcW w:w="1553" w:type="dxa"/>
            <w:shd w:val="clear" w:color="auto" w:fill="auto"/>
            <w:noWrap/>
          </w:tcPr>
          <w:p w14:paraId="20BA4260"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upošteva</w:t>
            </w:r>
          </w:p>
        </w:tc>
        <w:tc>
          <w:tcPr>
            <w:tcW w:w="6101" w:type="dxa"/>
            <w:shd w:val="clear" w:color="auto" w:fill="auto"/>
            <w:noWrap/>
          </w:tcPr>
          <w:p w14:paraId="24912B1A"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6 te tabele.</w:t>
            </w:r>
          </w:p>
        </w:tc>
      </w:tr>
      <w:tr w:rsidR="00244C4E" w:rsidRPr="001A4710" w14:paraId="72B4F8BC" w14:textId="77777777" w:rsidTr="2F2CE5B4">
        <w:trPr>
          <w:trHeight w:val="1245"/>
        </w:trPr>
        <w:tc>
          <w:tcPr>
            <w:tcW w:w="567" w:type="dxa"/>
            <w:vMerge/>
            <w:shd w:val="clear" w:color="auto" w:fill="auto"/>
            <w:noWrap/>
          </w:tcPr>
          <w:p w14:paraId="62248081"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2D62B5E6" w14:textId="77777777" w:rsidR="00FD48D4" w:rsidRPr="001A4710" w:rsidRDefault="00FD48D4" w:rsidP="000D3A59">
            <w:pPr>
              <w:spacing w:after="0" w:line="240" w:lineRule="auto"/>
              <w:rPr>
                <w:rFonts w:ascii="Arial" w:hAnsi="Arial" w:cs="Arial"/>
                <w:b/>
                <w:bCs/>
                <w:color w:val="000000"/>
                <w:sz w:val="20"/>
                <w:szCs w:val="20"/>
              </w:rPr>
            </w:pPr>
          </w:p>
        </w:tc>
        <w:tc>
          <w:tcPr>
            <w:tcW w:w="4894" w:type="dxa"/>
            <w:shd w:val="clear" w:color="auto" w:fill="auto"/>
            <w:noWrap/>
          </w:tcPr>
          <w:p w14:paraId="3EE8F4A6"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Glede oddajanja nepremičnin v najem predlagajo razmislek o shemi oblikovanja najemnega stanovanjskega fonda, katerega upravljalec bi oddajal v najem stanovanja, ki bi ostala v lasti posameznikov, ki svoje nepremičnine želijo oddati, obdavčitev najemnin v takšnem primeru pa bi bila lahko bolj stimulativna.</w:t>
            </w:r>
          </w:p>
        </w:tc>
        <w:tc>
          <w:tcPr>
            <w:tcW w:w="1553" w:type="dxa"/>
            <w:shd w:val="clear" w:color="auto" w:fill="auto"/>
            <w:noWrap/>
          </w:tcPr>
          <w:p w14:paraId="09FE51B6"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7C915894"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Predlagani ukrep ni v pristojnosti ministrstva za finance. Morebitne davčne spodbude so lahko samo podporni mehanizem resornim politikam.</w:t>
            </w:r>
          </w:p>
          <w:p w14:paraId="6F001F12" w14:textId="77777777" w:rsidR="00FD48D4" w:rsidRPr="001A4710" w:rsidRDefault="00FD48D4" w:rsidP="000D3A59">
            <w:pPr>
              <w:spacing w:after="0" w:line="240" w:lineRule="auto"/>
              <w:jc w:val="both"/>
              <w:rPr>
                <w:rFonts w:ascii="Arial" w:hAnsi="Arial" w:cs="Arial"/>
                <w:b/>
                <w:bCs/>
                <w:sz w:val="20"/>
                <w:szCs w:val="20"/>
                <w:lang w:eastAsia="sl-SI"/>
              </w:rPr>
            </w:pPr>
          </w:p>
        </w:tc>
      </w:tr>
      <w:tr w:rsidR="00244C4E" w:rsidRPr="001A4710" w14:paraId="05248842" w14:textId="77777777" w:rsidTr="2F2CE5B4">
        <w:trPr>
          <w:trHeight w:val="634"/>
        </w:trPr>
        <w:tc>
          <w:tcPr>
            <w:tcW w:w="567" w:type="dxa"/>
            <w:vMerge/>
            <w:shd w:val="clear" w:color="auto" w:fill="auto"/>
            <w:noWrap/>
          </w:tcPr>
          <w:p w14:paraId="23B74699"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491C30A0" w14:textId="77777777" w:rsidR="00FD48D4" w:rsidRPr="001A4710" w:rsidRDefault="00FD48D4" w:rsidP="000D3A59">
            <w:pPr>
              <w:spacing w:after="0" w:line="240" w:lineRule="auto"/>
              <w:rPr>
                <w:rFonts w:ascii="Arial" w:hAnsi="Arial" w:cs="Arial"/>
                <w:b/>
                <w:bCs/>
                <w:color w:val="000000"/>
                <w:sz w:val="20"/>
                <w:szCs w:val="20"/>
              </w:rPr>
            </w:pPr>
          </w:p>
        </w:tc>
        <w:tc>
          <w:tcPr>
            <w:tcW w:w="4894" w:type="dxa"/>
            <w:shd w:val="clear" w:color="auto" w:fill="auto"/>
            <w:noWrap/>
          </w:tcPr>
          <w:p w14:paraId="59824A2F"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Predlagajo se spremembe na področju davčne obravnave povračila stroškov za uporabo lastnih sredstev delavca pri delu na daljavo - do višine 5% povprečne plače zaposlenih v RS, z omogočanjem uveljavljanja dejanskih stroškov.</w:t>
            </w:r>
          </w:p>
        </w:tc>
        <w:tc>
          <w:tcPr>
            <w:tcW w:w="1553" w:type="dxa"/>
            <w:shd w:val="clear" w:color="auto" w:fill="auto"/>
            <w:noWrap/>
          </w:tcPr>
          <w:p w14:paraId="7664C1AA" w14:textId="77777777" w:rsidR="00FD48D4" w:rsidRPr="001A4710" w:rsidRDefault="00FD48D4" w:rsidP="00F740E4">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delno upošteva</w:t>
            </w:r>
          </w:p>
        </w:tc>
        <w:tc>
          <w:tcPr>
            <w:tcW w:w="6101" w:type="dxa"/>
            <w:shd w:val="clear" w:color="auto" w:fill="auto"/>
            <w:noWrap/>
          </w:tcPr>
          <w:p w14:paraId="126699BC" w14:textId="7B300A29"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Predlog zakona vsebuje rešitev, po kateri se spreminjajo pogoji in višina, do katere se nadomestilo za uporabo lastnih sredstev pri delu na domu ne všteva v davčno osnovo. Odpravlja se pogoj, da nadomestilo delodajalec določi na podlagi izračuna realnih stroškov, pogoj, da gre za sredstva, ki so značilna, nujna in običajna za opravljanje določenega dela ter posledično tudi možnost uveljavljanja dejanskih stroškov. Črta se tudi določitev neobdavčene višine z vezavo na mesečno plačo delojemalca ter določa neobdavčena višina nadomestila z vezavo na povprečno letno plačo zaposlenih v Sloveniji</w:t>
            </w:r>
            <w:r w:rsidR="0064263A">
              <w:rPr>
                <w:rFonts w:ascii="Arial" w:hAnsi="Arial" w:cs="Arial"/>
                <w:sz w:val="20"/>
                <w:szCs w:val="20"/>
                <w:lang w:eastAsia="sl-SI"/>
              </w:rPr>
              <w:t>, preračunano na mesec.</w:t>
            </w:r>
          </w:p>
        </w:tc>
      </w:tr>
      <w:tr w:rsidR="00244C4E" w:rsidRPr="001A4710" w14:paraId="3F3477BE" w14:textId="77777777" w:rsidTr="2F2CE5B4">
        <w:trPr>
          <w:trHeight w:val="1774"/>
        </w:trPr>
        <w:tc>
          <w:tcPr>
            <w:tcW w:w="567" w:type="dxa"/>
            <w:vMerge/>
            <w:shd w:val="clear" w:color="auto" w:fill="auto"/>
            <w:noWrap/>
          </w:tcPr>
          <w:p w14:paraId="658BFFFA"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46E7F5E8" w14:textId="77777777" w:rsidR="00FD48D4" w:rsidRPr="001A4710" w:rsidRDefault="00FD48D4" w:rsidP="000D3A59">
            <w:pPr>
              <w:spacing w:after="0" w:line="240" w:lineRule="auto"/>
              <w:rPr>
                <w:rFonts w:ascii="Arial" w:hAnsi="Arial" w:cs="Arial"/>
                <w:b/>
                <w:bCs/>
                <w:color w:val="000000"/>
                <w:sz w:val="20"/>
                <w:szCs w:val="20"/>
              </w:rPr>
            </w:pPr>
          </w:p>
        </w:tc>
        <w:tc>
          <w:tcPr>
            <w:tcW w:w="4894" w:type="dxa"/>
            <w:shd w:val="clear" w:color="auto" w:fill="auto"/>
            <w:noWrap/>
          </w:tcPr>
          <w:p w14:paraId="4BD1A830"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da se vse zneske Uredbe o davčni obravnavi povračil stroškov in drugih prejemkov iz delovnega razmerja uskladi z inflacijo v več kot 10 letnem obdobju, odkar so bili ti zneski nazadnje določeni, ne zgolj nekaterih in ne zgolj za del inflacije v omenjenem obdobju. Pri uskladitvi zneskov bi morali upoštevati inflacijo od datuma, ko so bili predmetni zneski uveljavljeni oziroma nazadnje usklajeni.</w:t>
            </w:r>
          </w:p>
        </w:tc>
        <w:tc>
          <w:tcPr>
            <w:tcW w:w="1553" w:type="dxa"/>
            <w:shd w:val="clear" w:color="auto" w:fill="auto"/>
            <w:noWrap/>
          </w:tcPr>
          <w:p w14:paraId="452E0A49"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24D6BFD" w14:textId="77777777" w:rsidR="00FD48D4" w:rsidRPr="001A4710" w:rsidRDefault="00FD48D4" w:rsidP="000D3A59">
            <w:pPr>
              <w:spacing w:after="0" w:line="240" w:lineRule="auto"/>
              <w:jc w:val="both"/>
              <w:rPr>
                <w:rFonts w:ascii="Arial" w:hAnsi="Arial" w:cs="Arial"/>
                <w:b/>
                <w:bCs/>
                <w:sz w:val="20"/>
                <w:szCs w:val="20"/>
                <w:lang w:eastAsia="sl-SI"/>
              </w:rPr>
            </w:pPr>
            <w:r w:rsidRPr="001A4710">
              <w:rPr>
                <w:rFonts w:ascii="Arial" w:hAnsi="Arial" w:cs="Arial"/>
                <w:sz w:val="20"/>
                <w:szCs w:val="20"/>
                <w:lang w:eastAsia="sl-SI"/>
              </w:rPr>
              <w:t>Predlog se nanaša na vsebino, ki ni predmet tega zakona, temveč Uredbe o davčni obravnavi povračil stroškov in drugih prejemkov iz delovnega razmerja. Predlaga se sprememba tega podzakonskega akta, ki je bil na podlagi predstavljenih argumentov v letu 2022 spremenjen že dvakrat. Prav tako pa v okviru pogajalske skupine Ekonomsko-socialnega sveta, katere član je tudi predlagatelj, potekajo nadaljnji pogovori o tej vsebini.</w:t>
            </w:r>
          </w:p>
        </w:tc>
      </w:tr>
      <w:tr w:rsidR="00FD48D4" w:rsidRPr="001A4710" w14:paraId="089B7730" w14:textId="77777777" w:rsidTr="2F2CE5B4">
        <w:trPr>
          <w:trHeight w:val="255"/>
        </w:trPr>
        <w:tc>
          <w:tcPr>
            <w:tcW w:w="567" w:type="dxa"/>
            <w:shd w:val="clear" w:color="auto" w:fill="auto"/>
            <w:noWrap/>
          </w:tcPr>
          <w:p w14:paraId="5AE27BA7"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3DAEA862"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13</w:t>
            </w:r>
          </w:p>
          <w:p w14:paraId="707E94F6"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432587A5"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Nasprotuje se dvigu davčne stopnje v 5. dohodninskem razredu na 50 %</w:t>
            </w:r>
          </w:p>
        </w:tc>
        <w:tc>
          <w:tcPr>
            <w:tcW w:w="1553" w:type="dxa"/>
            <w:shd w:val="clear" w:color="auto" w:fill="auto"/>
            <w:noWrap/>
          </w:tcPr>
          <w:p w14:paraId="11D19C89"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316EF436"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10 te tabele.</w:t>
            </w:r>
          </w:p>
        </w:tc>
      </w:tr>
      <w:tr w:rsidR="00244C4E" w:rsidRPr="001A4710" w14:paraId="117D7246" w14:textId="77777777" w:rsidTr="00833C5D">
        <w:trPr>
          <w:trHeight w:val="1685"/>
        </w:trPr>
        <w:tc>
          <w:tcPr>
            <w:tcW w:w="567" w:type="dxa"/>
            <w:vMerge w:val="restart"/>
            <w:shd w:val="clear" w:color="auto" w:fill="auto"/>
            <w:noWrap/>
          </w:tcPr>
          <w:p w14:paraId="4F382F6C"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val="restart"/>
          </w:tcPr>
          <w:p w14:paraId="39802AE9"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Zveza računovodij, finančnikov in revizorjev Slovenije </w:t>
            </w:r>
          </w:p>
        </w:tc>
        <w:tc>
          <w:tcPr>
            <w:tcW w:w="4894" w:type="dxa"/>
            <w:shd w:val="clear" w:color="auto" w:fill="auto"/>
            <w:noWrap/>
          </w:tcPr>
          <w:p w14:paraId="04FAFCF9" w14:textId="77777777" w:rsidR="00FD48D4" w:rsidRPr="001A4710" w:rsidRDefault="00FD48D4" w:rsidP="000D3A59">
            <w:pPr>
              <w:spacing w:after="0" w:line="240" w:lineRule="auto"/>
              <w:jc w:val="both"/>
              <w:rPr>
                <w:rFonts w:ascii="Arial" w:hAnsi="Arial" w:cs="Arial"/>
                <w:b/>
                <w:bCs/>
                <w:sz w:val="20"/>
                <w:szCs w:val="20"/>
                <w:lang w:eastAsia="sl-SI"/>
              </w:rPr>
            </w:pPr>
            <w:r w:rsidRPr="001A4710">
              <w:rPr>
                <w:rFonts w:ascii="Arial" w:hAnsi="Arial" w:cs="Arial"/>
                <w:color w:val="000000"/>
                <w:sz w:val="20"/>
                <w:szCs w:val="20"/>
              </w:rPr>
              <w:t>Predlaga se odprava omejitve izplačila »največkrat dvakrat v koledarskem letu«, ker lahko taka ureditev v primeru določene skupine zaposlenih, ki morajo to izplačilo prejeti na mesečni ravni (npr. zaposleni, napoteni na delo v tujino), privede v neenak položaj v primerjavi z ostalimi zaposlenimi.</w:t>
            </w:r>
          </w:p>
        </w:tc>
        <w:tc>
          <w:tcPr>
            <w:tcW w:w="1553" w:type="dxa"/>
            <w:shd w:val="clear" w:color="auto" w:fill="auto"/>
            <w:noWrap/>
          </w:tcPr>
          <w:p w14:paraId="2BC78525"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204BA81F" w14:textId="77777777" w:rsidR="00FD48D4" w:rsidRPr="001A4710" w:rsidRDefault="00FD48D4" w:rsidP="000D3A59">
            <w:pPr>
              <w:spacing w:after="0" w:line="240" w:lineRule="auto"/>
              <w:jc w:val="both"/>
              <w:rPr>
                <w:rFonts w:ascii="Arial" w:hAnsi="Arial" w:cs="Arial"/>
                <w:color w:val="000000"/>
                <w:sz w:val="20"/>
                <w:szCs w:val="20"/>
              </w:rPr>
            </w:pPr>
            <w:r w:rsidRPr="001A4710">
              <w:rPr>
                <w:rFonts w:ascii="Arial" w:hAnsi="Arial" w:cs="Arial"/>
                <w:color w:val="000000"/>
                <w:sz w:val="20"/>
                <w:szCs w:val="20"/>
              </w:rPr>
              <w:t>Veljavna ureditev zaradi odsotnosti vsebinske opredelitve plačil za poslovno uspešnost v delovnopravni zakonodaji omogoča preveliko možnost prelivanja oziroma prikazovanja dohodkov iz dela (plače, dodatkov,...) kot plačila za poslovno uspešnost in s tem tveganje za prelivanje dohodkov iz plač v izplačila za poslovno uspešnost in posledično za preveliko erozijo davčne osnove na daljši rok, zato je ključno, da se za davčne namene plačilo za poslovno uspešnost določneje opredeli, vključno z omejitvijo možnosti izplačila takega dohodka na nekaj izplačil v davčnem letu</w:t>
            </w:r>
          </w:p>
        </w:tc>
      </w:tr>
      <w:tr w:rsidR="00244C4E" w:rsidRPr="001A4710" w14:paraId="39E77FEB" w14:textId="77777777" w:rsidTr="2F2CE5B4">
        <w:trPr>
          <w:trHeight w:val="493"/>
        </w:trPr>
        <w:tc>
          <w:tcPr>
            <w:tcW w:w="567" w:type="dxa"/>
            <w:vMerge/>
            <w:shd w:val="clear" w:color="auto" w:fill="auto"/>
            <w:noWrap/>
          </w:tcPr>
          <w:p w14:paraId="1495A613"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4C10D4AF"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3CBC16B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V povezavi s predlagano ureditvijo izplačane vrednosti v primeru odsvojitve delnic ali deležev v okviru pridobivanja lastnih delnic oziroma deležev družbe se predlaga ohranitev trenutna ureditev, po kateri bi bila ta kupnina obdavčena v okviru ugotovljenega dobička iz kapitala z dohodnino od dobička iz kapitala. Te prodaje namreč lahko družbeniki izvedejo iz različnih razlogov, tudi zaradi upokojitve, izstopa družbenika, nesoglasij v družbi in še drugih povsem davčno nemotiviranih razlogov. Predlagana sprememba neutemeljeno drugače davčno obravnava tovrstne posle glede na ostale posle, kjer pa je izplačana vrednost družbenikov pri prodaji deležev obdavčena z dohodnino od dobička iz kapitala (npr. prodaja tretji osebi ali družbi).</w:t>
            </w:r>
          </w:p>
        </w:tc>
        <w:tc>
          <w:tcPr>
            <w:tcW w:w="1553" w:type="dxa"/>
            <w:shd w:val="clear" w:color="auto" w:fill="auto"/>
            <w:noWrap/>
          </w:tcPr>
          <w:p w14:paraId="16C13059"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0C68781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 te tabele.</w:t>
            </w:r>
          </w:p>
          <w:p w14:paraId="1ED3AED9" w14:textId="77777777" w:rsidR="00FD48D4" w:rsidRPr="001A4710" w:rsidRDefault="00FD48D4" w:rsidP="000D3A59">
            <w:pPr>
              <w:spacing w:after="0" w:line="240" w:lineRule="auto"/>
              <w:jc w:val="both"/>
              <w:rPr>
                <w:rFonts w:ascii="Arial" w:hAnsi="Arial" w:cs="Arial"/>
                <w:b/>
                <w:bCs/>
                <w:color w:val="000000"/>
                <w:sz w:val="20"/>
                <w:szCs w:val="20"/>
              </w:rPr>
            </w:pPr>
          </w:p>
        </w:tc>
      </w:tr>
      <w:tr w:rsidR="00244C4E" w:rsidRPr="001A4710" w14:paraId="043C8B7B" w14:textId="77777777" w:rsidTr="2F2CE5B4">
        <w:trPr>
          <w:trHeight w:val="132"/>
        </w:trPr>
        <w:tc>
          <w:tcPr>
            <w:tcW w:w="567" w:type="dxa"/>
            <w:vMerge/>
            <w:shd w:val="clear" w:color="auto" w:fill="auto"/>
            <w:noWrap/>
          </w:tcPr>
          <w:p w14:paraId="01231FFC"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3B8EB035"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6C0ABACB" w14:textId="77777777" w:rsidR="00FD48D4" w:rsidRPr="001A4710" w:rsidRDefault="00FD48D4" w:rsidP="000D3A59">
            <w:pPr>
              <w:spacing w:after="0" w:line="240" w:lineRule="auto"/>
              <w:jc w:val="both"/>
              <w:rPr>
                <w:rFonts w:ascii="Arial" w:hAnsi="Arial" w:cs="Arial"/>
                <w:b/>
                <w:bCs/>
                <w:color w:val="000000"/>
                <w:sz w:val="20"/>
                <w:szCs w:val="20"/>
              </w:rPr>
            </w:pPr>
            <w:r w:rsidRPr="001A4710">
              <w:rPr>
                <w:rFonts w:ascii="Arial" w:hAnsi="Arial" w:cs="Arial"/>
                <w:color w:val="000000"/>
                <w:sz w:val="20"/>
                <w:szCs w:val="20"/>
              </w:rPr>
              <w:t>Predlaga se ohranitev načina indeksacije.</w:t>
            </w:r>
          </w:p>
        </w:tc>
        <w:tc>
          <w:tcPr>
            <w:tcW w:w="1553" w:type="dxa"/>
            <w:shd w:val="clear" w:color="auto" w:fill="auto"/>
            <w:noWrap/>
          </w:tcPr>
          <w:p w14:paraId="72ACE55F"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6DE84F71" w14:textId="77777777" w:rsidR="00FD48D4" w:rsidRPr="001A4710" w:rsidRDefault="00FD48D4" w:rsidP="000D3A59">
            <w:pPr>
              <w:spacing w:after="0" w:line="240" w:lineRule="auto"/>
              <w:jc w:val="both"/>
              <w:rPr>
                <w:rFonts w:ascii="Arial" w:hAnsi="Arial" w:cs="Arial"/>
                <w:b/>
                <w:bCs/>
                <w:color w:val="000000"/>
                <w:sz w:val="20"/>
                <w:szCs w:val="20"/>
              </w:rPr>
            </w:pPr>
            <w:r w:rsidRPr="001A4710">
              <w:rPr>
                <w:rFonts w:ascii="Arial" w:hAnsi="Arial" w:cs="Arial"/>
                <w:sz w:val="20"/>
                <w:szCs w:val="20"/>
                <w:lang w:eastAsia="sl-SI"/>
              </w:rPr>
              <w:t>Pojasnilo pod točko 6 te tabele.</w:t>
            </w:r>
          </w:p>
        </w:tc>
      </w:tr>
      <w:tr w:rsidR="00FD48D4" w:rsidRPr="001A4710" w14:paraId="4AF2F345" w14:textId="77777777" w:rsidTr="2F2CE5B4">
        <w:trPr>
          <w:trHeight w:val="255"/>
        </w:trPr>
        <w:tc>
          <w:tcPr>
            <w:tcW w:w="567" w:type="dxa"/>
            <w:shd w:val="clear" w:color="auto" w:fill="auto"/>
            <w:noWrap/>
          </w:tcPr>
          <w:p w14:paraId="21BF90AD"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4D1E1005"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14</w:t>
            </w:r>
          </w:p>
          <w:p w14:paraId="15595B1F"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20097CCB"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Nasprotovanje</w:t>
            </w:r>
            <w:r w:rsidRPr="001A4710">
              <w:rPr>
                <w:rFonts w:ascii="Arial" w:hAnsi="Arial" w:cs="Arial"/>
                <w:b/>
                <w:bCs/>
                <w:sz w:val="20"/>
                <w:szCs w:val="20"/>
                <w:lang w:eastAsia="sl-SI"/>
              </w:rPr>
              <w:t xml:space="preserve"> </w:t>
            </w:r>
            <w:r w:rsidRPr="001A4710">
              <w:rPr>
                <w:rFonts w:ascii="Arial" w:hAnsi="Arial" w:cs="Arial"/>
                <w:sz w:val="20"/>
                <w:szCs w:val="20"/>
                <w:lang w:eastAsia="sl-SI"/>
              </w:rPr>
              <w:t xml:space="preserve">zvišanju stopnje obdavčitve dohodkov iz oddajanja premoženja v najem, saj lastniki poleg </w:t>
            </w:r>
            <w:r w:rsidRPr="001A4710">
              <w:rPr>
                <w:rFonts w:ascii="Arial" w:hAnsi="Arial" w:cs="Arial"/>
                <w:sz w:val="20"/>
                <w:szCs w:val="20"/>
                <w:lang w:eastAsia="sl-SI"/>
              </w:rPr>
              <w:lastRenderedPageBreak/>
              <w:t>davka na premoženje nosijo tveganje neplačevanja in uničevanja stanovanja. V primeru, da so dohodki iz oddajanja premoženja v najem edini prihodki v letu, so ti prihodki daleč najbolj obdavčena kategorija vseh dohodkov. Predlaga se integralna obdavčitev, kjer se vštevajo vsi redni mesečni prihodki v dohodninsko napoved in se na ta način pravičneje obdavči najemodajalce. Cilj davčne reforme mora biti pravičnost in enakomerna porazdelitev davčnih bremen ne glede na izvor prihodkov.</w:t>
            </w:r>
          </w:p>
        </w:tc>
        <w:tc>
          <w:tcPr>
            <w:tcW w:w="1553" w:type="dxa"/>
            <w:shd w:val="clear" w:color="auto" w:fill="auto"/>
            <w:noWrap/>
          </w:tcPr>
          <w:p w14:paraId="27054AFE"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lastRenderedPageBreak/>
              <w:t>se ne upošteva</w:t>
            </w:r>
          </w:p>
        </w:tc>
        <w:tc>
          <w:tcPr>
            <w:tcW w:w="6101" w:type="dxa"/>
            <w:shd w:val="clear" w:color="auto" w:fill="auto"/>
            <w:noWrap/>
          </w:tcPr>
          <w:p w14:paraId="111AC48C" w14:textId="77777777" w:rsidR="00FD48D4" w:rsidRPr="001A4710" w:rsidRDefault="00FD48D4" w:rsidP="000D3A59">
            <w:pPr>
              <w:spacing w:after="0" w:line="240" w:lineRule="auto"/>
              <w:contextualSpacing/>
              <w:jc w:val="both"/>
              <w:rPr>
                <w:rFonts w:ascii="Arial" w:hAnsi="Arial" w:cs="Arial"/>
                <w:sz w:val="20"/>
                <w:szCs w:val="20"/>
                <w:lang w:eastAsia="sl-SI"/>
              </w:rPr>
            </w:pPr>
            <w:r w:rsidRPr="001A4710">
              <w:rPr>
                <w:rFonts w:ascii="Arial" w:hAnsi="Arial" w:cs="Arial"/>
                <w:sz w:val="20"/>
                <w:szCs w:val="20"/>
              </w:rPr>
              <w:t>Pojasnilo pod točko 9 te tabele.</w:t>
            </w:r>
          </w:p>
        </w:tc>
      </w:tr>
      <w:tr w:rsidR="00244C4E" w:rsidRPr="001A4710" w14:paraId="1C70A58E" w14:textId="77777777" w:rsidTr="00833C5D">
        <w:trPr>
          <w:trHeight w:val="953"/>
        </w:trPr>
        <w:tc>
          <w:tcPr>
            <w:tcW w:w="567" w:type="dxa"/>
            <w:vMerge w:val="restart"/>
            <w:shd w:val="clear" w:color="auto" w:fill="auto"/>
            <w:noWrap/>
          </w:tcPr>
          <w:p w14:paraId="656B71AF"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val="restart"/>
          </w:tcPr>
          <w:p w14:paraId="65F53BAF"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Zveze svobodnih sindikatov  Slovenije (ZSSS) in Konfederacije sindikatov javnega sektorja Slovenije (KSJS) </w:t>
            </w:r>
          </w:p>
        </w:tc>
        <w:tc>
          <w:tcPr>
            <w:tcW w:w="4894" w:type="dxa"/>
            <w:shd w:val="clear" w:color="auto" w:fill="auto"/>
            <w:noWrap/>
          </w:tcPr>
          <w:p w14:paraId="0BFFA51C" w14:textId="77777777" w:rsidR="00FD48D4" w:rsidRPr="001A4710" w:rsidRDefault="00FD48D4" w:rsidP="000D3A59">
            <w:pPr>
              <w:autoSpaceDE w:val="0"/>
              <w:autoSpaceDN w:val="0"/>
              <w:adjustRightInd w:val="0"/>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 se dvig stopnje obdavčitve od dohodka iz kapitala ponovno na 27,5 %, saj se v nasprotnem primeru ohranja oziroma še povečuje razlika med davčno obremenitvijo dohodkov iz dela in dohodkov iz kapitala. </w:t>
            </w:r>
          </w:p>
        </w:tc>
        <w:tc>
          <w:tcPr>
            <w:tcW w:w="1553" w:type="dxa"/>
            <w:shd w:val="clear" w:color="auto" w:fill="auto"/>
            <w:noWrap/>
          </w:tcPr>
          <w:p w14:paraId="696DD24D"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3529B77A"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Predlog ni vsebina tokratnih predlaganih sprememb ZDoh-2 in bo preučen v okviru priprave predlogov celovitejših sprememb na področju dohodnine.</w:t>
            </w:r>
          </w:p>
        </w:tc>
      </w:tr>
      <w:tr w:rsidR="00244C4E" w:rsidRPr="001A4710" w14:paraId="1DE4C28D" w14:textId="77777777" w:rsidTr="2F2CE5B4">
        <w:trPr>
          <w:trHeight w:val="627"/>
        </w:trPr>
        <w:tc>
          <w:tcPr>
            <w:tcW w:w="567" w:type="dxa"/>
            <w:vMerge/>
            <w:shd w:val="clear" w:color="auto" w:fill="auto"/>
            <w:noWrap/>
          </w:tcPr>
          <w:p w14:paraId="288BF115"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1BAC8AD2"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45566C1C" w14:textId="77777777" w:rsidR="00FD48D4" w:rsidRPr="001A4710" w:rsidRDefault="00FD48D4" w:rsidP="000D3A59">
            <w:pPr>
              <w:autoSpaceDE w:val="0"/>
              <w:autoSpaceDN w:val="0"/>
              <w:adjustRightInd w:val="0"/>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vrnitev obračunavanja bonitete za uporabo vozila na električni pogon za privatne namene na prejšnjo raven.</w:t>
            </w:r>
          </w:p>
        </w:tc>
        <w:tc>
          <w:tcPr>
            <w:tcW w:w="1553" w:type="dxa"/>
            <w:shd w:val="clear" w:color="auto" w:fill="auto"/>
            <w:noWrap/>
          </w:tcPr>
          <w:p w14:paraId="1F7E5580"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4CA2D57C"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Predlog zahteva pregled in proučitev celotnega sistema bonitet in sistema davčnih ugodnosti, usmerjenih v zelenih prehod, medtem ko potreba po hitri spremembi ZDoh-2 zaradi zagotavljanja javnofinančne stabilnosti tega razmisleka trenutno ne omogoča.</w:t>
            </w:r>
          </w:p>
        </w:tc>
      </w:tr>
      <w:tr w:rsidR="00244C4E" w:rsidRPr="001A4710" w14:paraId="53E17A1F" w14:textId="77777777" w:rsidTr="2F2CE5B4">
        <w:trPr>
          <w:trHeight w:val="2041"/>
        </w:trPr>
        <w:tc>
          <w:tcPr>
            <w:tcW w:w="567" w:type="dxa"/>
            <w:vMerge/>
            <w:shd w:val="clear" w:color="auto" w:fill="auto"/>
            <w:noWrap/>
          </w:tcPr>
          <w:p w14:paraId="6C086028"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185DBC92"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5F17DF04"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Predlagatelj podpira zvišanje skupnega dohodka, do katerega se zavezancu za plačilo dohodnine prizna dodatna splošna olajšava, vendar se predlaga določitev zneska, ki bo višji od 15.000 EUR. Do dodatne olajšave so namreč v večji meri upravičeni prejemniki minimalne plače, zato je potrebno pri določitvi zneska za upravičenost do dodatne olajšave upoštevati tudi predvideno uskladitev minimalne plače v letu 2023, ki bo vsaj v višini letne inflacije.</w:t>
            </w:r>
          </w:p>
        </w:tc>
        <w:tc>
          <w:tcPr>
            <w:tcW w:w="1553" w:type="dxa"/>
            <w:shd w:val="clear" w:color="auto" w:fill="auto"/>
            <w:noWrap/>
          </w:tcPr>
          <w:p w14:paraId="31D37C36"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upošteva</w:t>
            </w:r>
          </w:p>
        </w:tc>
        <w:tc>
          <w:tcPr>
            <w:tcW w:w="6101" w:type="dxa"/>
            <w:shd w:val="clear" w:color="auto" w:fill="auto"/>
            <w:noWrap/>
          </w:tcPr>
          <w:p w14:paraId="195102B4"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V predlogu se z dvigom meje bruto dohodka, do katerega se zavezancu rezidentu prizna dodatna splošna olajšava, ta dviguje na 16.000 EUR.</w:t>
            </w:r>
          </w:p>
        </w:tc>
      </w:tr>
      <w:tr w:rsidR="00244C4E" w:rsidRPr="001A4710" w14:paraId="69955B9E" w14:textId="77777777" w:rsidTr="2F2CE5B4">
        <w:trPr>
          <w:trHeight w:val="449"/>
        </w:trPr>
        <w:tc>
          <w:tcPr>
            <w:tcW w:w="567" w:type="dxa"/>
            <w:vMerge/>
            <w:shd w:val="clear" w:color="auto" w:fill="auto"/>
            <w:noWrap/>
          </w:tcPr>
          <w:p w14:paraId="0C16E316"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65128514"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1288320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ohranitev veljavne ureditve avtomatičnega usklajevanja višin zneskov olajšav in neto davčnih osnov.</w:t>
            </w:r>
          </w:p>
        </w:tc>
        <w:tc>
          <w:tcPr>
            <w:tcW w:w="1553" w:type="dxa"/>
            <w:shd w:val="clear" w:color="auto" w:fill="auto"/>
            <w:noWrap/>
          </w:tcPr>
          <w:p w14:paraId="0DF4D1C6"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0420637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6 te tabele.</w:t>
            </w:r>
          </w:p>
        </w:tc>
      </w:tr>
      <w:tr w:rsidR="00244C4E" w:rsidRPr="001A4710" w14:paraId="414FE004" w14:textId="77777777" w:rsidTr="2F2CE5B4">
        <w:trPr>
          <w:trHeight w:val="1357"/>
        </w:trPr>
        <w:tc>
          <w:tcPr>
            <w:tcW w:w="567" w:type="dxa"/>
            <w:vMerge/>
            <w:shd w:val="clear" w:color="auto" w:fill="auto"/>
            <w:noWrap/>
          </w:tcPr>
          <w:p w14:paraId="21E8B8DB"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78087815"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77F3A540"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 se sprememba celotnega sistema obdavčitve t. i. </w:t>
            </w:r>
            <w:proofErr w:type="spellStart"/>
            <w:r w:rsidRPr="001A4710">
              <w:rPr>
                <w:rFonts w:ascii="Arial" w:hAnsi="Arial" w:cs="Arial"/>
                <w:sz w:val="20"/>
                <w:szCs w:val="20"/>
                <w:lang w:eastAsia="sl-SI"/>
              </w:rPr>
              <w:t>normirancev</w:t>
            </w:r>
            <w:proofErr w:type="spellEnd"/>
            <w:r w:rsidRPr="001A4710">
              <w:rPr>
                <w:rFonts w:ascii="Arial" w:hAnsi="Arial" w:cs="Arial"/>
                <w:sz w:val="20"/>
                <w:szCs w:val="20"/>
                <w:lang w:eastAsia="sl-SI"/>
              </w:rPr>
              <w:t xml:space="preserve">, predvsem osnova za plačilo prispevkov kot tudi stopnja obdavčitve, da bi se približali obdavčitvi drugih oblik dela oziroma zaposlitvi v rednem delovnem razmerju. Predlaga se razmislek </w:t>
            </w:r>
            <w:r w:rsidRPr="001A4710">
              <w:rPr>
                <w:rFonts w:ascii="Arial" w:hAnsi="Arial" w:cs="Arial"/>
                <w:sz w:val="20"/>
                <w:szCs w:val="20"/>
                <w:lang w:eastAsia="sl-SI"/>
              </w:rPr>
              <w:lastRenderedPageBreak/>
              <w:t>o progresivni obdavčitvi glede na višino prihodkov samostojnega podjetnika.</w:t>
            </w:r>
          </w:p>
        </w:tc>
        <w:tc>
          <w:tcPr>
            <w:tcW w:w="1553" w:type="dxa"/>
            <w:shd w:val="clear" w:color="auto" w:fill="auto"/>
            <w:noWrap/>
          </w:tcPr>
          <w:p w14:paraId="5917908B"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lastRenderedPageBreak/>
              <w:t>se delno upošteva</w:t>
            </w:r>
          </w:p>
        </w:tc>
        <w:tc>
          <w:tcPr>
            <w:tcW w:w="6101" w:type="dxa"/>
            <w:shd w:val="clear" w:color="auto" w:fill="auto"/>
            <w:noWrap/>
          </w:tcPr>
          <w:p w14:paraId="78110DEB" w14:textId="77777777" w:rsidR="00FD48D4" w:rsidRPr="001A4710" w:rsidRDefault="00FD48D4" w:rsidP="000D3A59">
            <w:pPr>
              <w:spacing w:after="0" w:line="240" w:lineRule="auto"/>
              <w:jc w:val="both"/>
              <w:rPr>
                <w:rFonts w:ascii="Arial" w:hAnsi="Arial" w:cs="Arial"/>
                <w:b/>
                <w:bCs/>
                <w:sz w:val="20"/>
                <w:szCs w:val="20"/>
                <w:lang w:eastAsia="sl-SI"/>
              </w:rPr>
            </w:pPr>
            <w:r w:rsidRPr="001A4710">
              <w:rPr>
                <w:rFonts w:ascii="Arial" w:hAnsi="Arial" w:cs="Arial"/>
                <w:sz w:val="20"/>
                <w:szCs w:val="20"/>
                <w:lang w:eastAsia="sl-SI"/>
              </w:rPr>
              <w:t>Pojasnilo pod točko 6 te tabele.</w:t>
            </w:r>
          </w:p>
        </w:tc>
      </w:tr>
      <w:tr w:rsidR="00244C4E" w:rsidRPr="001A4710" w14:paraId="705A9A47" w14:textId="77777777" w:rsidTr="2F2CE5B4">
        <w:trPr>
          <w:trHeight w:val="1074"/>
        </w:trPr>
        <w:tc>
          <w:tcPr>
            <w:tcW w:w="567" w:type="dxa"/>
            <w:vMerge/>
            <w:shd w:val="clear" w:color="auto" w:fill="auto"/>
            <w:noWrap/>
          </w:tcPr>
          <w:p w14:paraId="3051C5CE"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4C1E4D32"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41845D71"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Predlagajo se spremembe na področju davčne obravnave povračila stroškov za uporabo lastnih sredstev delavca pri delu na daljavo - do višine 5% povprečne plače zaposlenih v RS, z omogočanjem uveljavljanja dejanskih stroškov. </w:t>
            </w:r>
          </w:p>
        </w:tc>
        <w:tc>
          <w:tcPr>
            <w:tcW w:w="1553" w:type="dxa"/>
            <w:shd w:val="clear" w:color="auto" w:fill="auto"/>
            <w:noWrap/>
          </w:tcPr>
          <w:p w14:paraId="0E018F92"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delno upošteva</w:t>
            </w:r>
          </w:p>
        </w:tc>
        <w:tc>
          <w:tcPr>
            <w:tcW w:w="6101" w:type="dxa"/>
            <w:shd w:val="clear" w:color="auto" w:fill="auto"/>
            <w:noWrap/>
          </w:tcPr>
          <w:p w14:paraId="6CED8D82" w14:textId="77777777" w:rsidR="00FD48D4" w:rsidRPr="001A4710" w:rsidRDefault="00FD48D4" w:rsidP="000D3A59">
            <w:pPr>
              <w:spacing w:after="0" w:line="240" w:lineRule="auto"/>
              <w:jc w:val="both"/>
              <w:rPr>
                <w:rFonts w:ascii="Arial" w:hAnsi="Arial" w:cs="Arial"/>
                <w:b/>
                <w:bCs/>
                <w:sz w:val="20"/>
                <w:szCs w:val="20"/>
                <w:lang w:eastAsia="sl-SI"/>
              </w:rPr>
            </w:pPr>
            <w:r w:rsidRPr="001A4710">
              <w:rPr>
                <w:rFonts w:ascii="Arial" w:hAnsi="Arial" w:cs="Arial"/>
                <w:sz w:val="20"/>
                <w:szCs w:val="20"/>
                <w:lang w:eastAsia="sl-SI"/>
              </w:rPr>
              <w:t>Pojasnilo pod točko 18 te tabele.</w:t>
            </w:r>
          </w:p>
        </w:tc>
      </w:tr>
      <w:tr w:rsidR="00244C4E" w:rsidRPr="001A4710" w14:paraId="651E420B" w14:textId="77777777" w:rsidTr="2F2CE5B4">
        <w:trPr>
          <w:trHeight w:val="2041"/>
        </w:trPr>
        <w:tc>
          <w:tcPr>
            <w:tcW w:w="567" w:type="dxa"/>
            <w:vMerge/>
            <w:shd w:val="clear" w:color="auto" w:fill="auto"/>
            <w:noWrap/>
          </w:tcPr>
          <w:p w14:paraId="5EDD7EEA"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725AD137"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21190EA3" w14:textId="77777777" w:rsidR="00FD48D4" w:rsidRPr="001A4710" w:rsidRDefault="00FD48D4" w:rsidP="000D3A59">
            <w:pPr>
              <w:autoSpaceDE w:val="0"/>
              <w:autoSpaceDN w:val="0"/>
              <w:adjustRightInd w:val="0"/>
              <w:spacing w:after="0" w:line="240" w:lineRule="auto"/>
              <w:jc w:val="both"/>
              <w:rPr>
                <w:rFonts w:ascii="Arial" w:hAnsi="Arial" w:cs="Arial"/>
                <w:sz w:val="20"/>
                <w:szCs w:val="20"/>
                <w:lang w:eastAsia="sl-SI"/>
              </w:rPr>
            </w:pPr>
            <w:r w:rsidRPr="001A4710">
              <w:rPr>
                <w:rFonts w:ascii="Arial" w:hAnsi="Arial" w:cs="Arial"/>
                <w:sz w:val="20"/>
                <w:szCs w:val="20"/>
                <w:lang w:eastAsia="sl-SI"/>
              </w:rPr>
              <w:t>Olajšava za plačano sindikalno članarino – predlaga se uvedba te olajšave, kot jo je priznaval zakon že v preteklosti, saj danes samo člani sindikatov in delodajalskih združenj financirajo socialni dialog, s tem pa tudi dogovorjene pravice tistih, ki k socialnemu dialogu ne prispevajo.</w:t>
            </w:r>
          </w:p>
        </w:tc>
        <w:tc>
          <w:tcPr>
            <w:tcW w:w="1553" w:type="dxa"/>
            <w:shd w:val="clear" w:color="auto" w:fill="auto"/>
            <w:noWrap/>
          </w:tcPr>
          <w:p w14:paraId="59534D2B"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6BC44F2C" w14:textId="77777777" w:rsidR="00FD48D4" w:rsidRPr="001A4710" w:rsidRDefault="00FD48D4" w:rsidP="000D3A59">
            <w:pPr>
              <w:spacing w:after="0" w:line="240" w:lineRule="auto"/>
              <w:jc w:val="both"/>
              <w:rPr>
                <w:rFonts w:ascii="Arial" w:hAnsi="Arial" w:cs="Arial"/>
                <w:b/>
                <w:bCs/>
                <w:sz w:val="20"/>
                <w:szCs w:val="20"/>
                <w:lang w:eastAsia="sl-SI"/>
              </w:rPr>
            </w:pPr>
            <w:r w:rsidRPr="001A4710">
              <w:rPr>
                <w:rFonts w:ascii="Arial" w:hAnsi="Arial" w:cs="Arial"/>
                <w:sz w:val="20"/>
                <w:szCs w:val="20"/>
                <w:lang w:eastAsia="sl-SI"/>
              </w:rPr>
              <w:t>Uvajanje posebnih davčnih olajšav, ki temeljijo na dokazovanju določenih stroškov, ni skladno s sistemom informativnega izračuna dohodnine, ki je bil uveden z namenom administrativne poenostavitve sistema, ter je bila ob tem ukinjena olajšava za različne namene (v tem okviru tudi olajšava za plačane članarine sindikatom) ter nadomeščena s povečanjem splošne olajšave ter blažjo progresijo. Dohodnino na letni ravni izračuna oziroma ugotovi davčni organ na podlagi podatkov, s katerimi razpolagata davčni organ, v informativni izračun dohodnine, ki postane odločba, če davčni zavezanec nanj ne ugovarja (v splošnem davčnemu zavezancu ni potrebno oddajati napovedi). Z vsebinskega vidika pa se z vsako davčno olajšavo, ki je parcialna, posega v nevtralnost davčnega sistema.</w:t>
            </w:r>
          </w:p>
        </w:tc>
      </w:tr>
      <w:tr w:rsidR="00244C4E" w:rsidRPr="001A4710" w14:paraId="19521000" w14:textId="77777777" w:rsidTr="2F2CE5B4">
        <w:trPr>
          <w:trHeight w:val="520"/>
        </w:trPr>
        <w:tc>
          <w:tcPr>
            <w:tcW w:w="567" w:type="dxa"/>
            <w:vMerge/>
            <w:shd w:val="clear" w:color="auto" w:fill="auto"/>
            <w:noWrap/>
          </w:tcPr>
          <w:p w14:paraId="54D891F6"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13646EC6"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0EFA64B2" w14:textId="77777777" w:rsidR="00FD48D4" w:rsidRPr="001A4710" w:rsidRDefault="00FD48D4" w:rsidP="000D3A59">
            <w:pPr>
              <w:autoSpaceDE w:val="0"/>
              <w:autoSpaceDN w:val="0"/>
              <w:adjustRightInd w:val="0"/>
              <w:spacing w:after="0" w:line="240" w:lineRule="auto"/>
              <w:jc w:val="both"/>
              <w:rPr>
                <w:rFonts w:ascii="Arial" w:hAnsi="Arial" w:cs="Arial"/>
                <w:b/>
                <w:bCs/>
                <w:sz w:val="20"/>
                <w:szCs w:val="20"/>
                <w:lang w:eastAsia="sl-SI"/>
              </w:rPr>
            </w:pPr>
            <w:r w:rsidRPr="001A4710">
              <w:rPr>
                <w:rFonts w:ascii="Arial" w:hAnsi="Arial" w:cs="Arial"/>
                <w:sz w:val="20"/>
                <w:szCs w:val="20"/>
                <w:lang w:eastAsia="sl-SI"/>
              </w:rPr>
              <w:t>Predlaga se, da se predlog ZDoh-2AA in podani predlogi obravnavajo s socialnimi parterji na Ekonomsko- socialnem svetu.</w:t>
            </w:r>
          </w:p>
        </w:tc>
        <w:tc>
          <w:tcPr>
            <w:tcW w:w="1553" w:type="dxa"/>
            <w:shd w:val="clear" w:color="auto" w:fill="auto"/>
            <w:noWrap/>
          </w:tcPr>
          <w:p w14:paraId="36F5AE12"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upošteva</w:t>
            </w:r>
          </w:p>
        </w:tc>
        <w:tc>
          <w:tcPr>
            <w:tcW w:w="6101" w:type="dxa"/>
            <w:shd w:val="clear" w:color="auto" w:fill="auto"/>
            <w:noWrap/>
          </w:tcPr>
          <w:p w14:paraId="0A23C53B" w14:textId="77777777" w:rsidR="00FD48D4" w:rsidRPr="001A4710" w:rsidRDefault="00FD48D4" w:rsidP="000D3A59">
            <w:pPr>
              <w:spacing w:after="0" w:line="240" w:lineRule="auto"/>
              <w:jc w:val="both"/>
              <w:rPr>
                <w:rFonts w:ascii="Arial" w:hAnsi="Arial" w:cs="Arial"/>
                <w:b/>
                <w:bCs/>
                <w:sz w:val="20"/>
                <w:szCs w:val="20"/>
                <w:lang w:eastAsia="sl-SI"/>
              </w:rPr>
            </w:pPr>
            <w:r w:rsidRPr="001A4710">
              <w:rPr>
                <w:rFonts w:ascii="Arial" w:hAnsi="Arial" w:cs="Arial"/>
                <w:sz w:val="20"/>
                <w:szCs w:val="20"/>
                <w:lang w:eastAsia="sl-SI"/>
              </w:rPr>
              <w:t>Pojasnilo pod točko 16 te tabele.</w:t>
            </w:r>
          </w:p>
        </w:tc>
      </w:tr>
      <w:tr w:rsidR="00244C4E" w:rsidRPr="001A4710" w14:paraId="1E694C6C" w14:textId="77777777" w:rsidTr="00833C5D">
        <w:trPr>
          <w:trHeight w:val="255"/>
        </w:trPr>
        <w:tc>
          <w:tcPr>
            <w:tcW w:w="567" w:type="dxa"/>
            <w:vMerge w:val="restart"/>
            <w:shd w:val="clear" w:color="auto" w:fill="auto"/>
            <w:noWrap/>
          </w:tcPr>
          <w:p w14:paraId="7C3C7FE0"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val="restart"/>
          </w:tcPr>
          <w:p w14:paraId="3802B733"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Kmetijsko gozdarska zbornica Slovenije, Sindikat kmetov Slovenije, Zadružna zveze Slovenije, Zveza slovenske podeželske mladine in Zveza kmetic Slovenije</w:t>
            </w:r>
          </w:p>
        </w:tc>
        <w:tc>
          <w:tcPr>
            <w:tcW w:w="4894" w:type="dxa"/>
            <w:shd w:val="clear" w:color="auto" w:fill="auto"/>
            <w:noWrap/>
          </w:tcPr>
          <w:p w14:paraId="5B3AFF0F"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da se 5. točka 26. člena ZDoh-2 spremeni na način, da bodo tudi pavšalno določene državne pomoči oproščene dohodnine.</w:t>
            </w:r>
          </w:p>
          <w:p w14:paraId="0157D2FF" w14:textId="77777777" w:rsidR="00FD48D4" w:rsidRPr="001A4710" w:rsidRDefault="00FD48D4" w:rsidP="000D3A59">
            <w:pPr>
              <w:spacing w:after="0" w:line="240" w:lineRule="auto"/>
              <w:jc w:val="both"/>
              <w:rPr>
                <w:rFonts w:ascii="Arial" w:hAnsi="Arial" w:cs="Arial"/>
                <w:sz w:val="20"/>
                <w:szCs w:val="20"/>
                <w:lang w:eastAsia="sl-SI"/>
              </w:rPr>
            </w:pPr>
          </w:p>
          <w:p w14:paraId="21462D5F" w14:textId="77777777" w:rsidR="00FD48D4" w:rsidRPr="001A4710" w:rsidRDefault="00FD48D4" w:rsidP="000D3A59">
            <w:pPr>
              <w:spacing w:after="0" w:line="240" w:lineRule="auto"/>
              <w:jc w:val="both"/>
              <w:rPr>
                <w:rFonts w:ascii="Arial" w:hAnsi="Arial" w:cs="Arial"/>
                <w:sz w:val="20"/>
                <w:szCs w:val="20"/>
                <w:lang w:eastAsia="sl-SI"/>
              </w:rPr>
            </w:pPr>
          </w:p>
          <w:p w14:paraId="1C4759DA" w14:textId="77777777" w:rsidR="00FD48D4" w:rsidRPr="001A4710" w:rsidRDefault="00FD48D4" w:rsidP="000D3A59">
            <w:pPr>
              <w:spacing w:after="0" w:line="240" w:lineRule="auto"/>
              <w:jc w:val="both"/>
              <w:rPr>
                <w:rFonts w:ascii="Arial" w:hAnsi="Arial" w:cs="Arial"/>
                <w:sz w:val="20"/>
                <w:szCs w:val="20"/>
                <w:lang w:eastAsia="sl-SI"/>
              </w:rPr>
            </w:pPr>
          </w:p>
        </w:tc>
        <w:tc>
          <w:tcPr>
            <w:tcW w:w="1553" w:type="dxa"/>
            <w:shd w:val="clear" w:color="auto" w:fill="auto"/>
            <w:noWrap/>
          </w:tcPr>
          <w:p w14:paraId="784EB1FB"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7E0EF210"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5. točka 26. člena zDoh-2 je namenjena oprostitvi dohodnine za podpore, ki predstavljajo nadomestilo dejansko ocenjene škode v konkretnih posamičnih primerih. Podpore, ki se </w:t>
            </w:r>
            <w:proofErr w:type="spellStart"/>
            <w:r w:rsidRPr="001A4710">
              <w:rPr>
                <w:rFonts w:ascii="Arial" w:hAnsi="Arial" w:cs="Arial"/>
                <w:sz w:val="20"/>
                <w:szCs w:val="20"/>
                <w:lang w:eastAsia="sl-SI"/>
              </w:rPr>
              <w:t>neciljano</w:t>
            </w:r>
            <w:proofErr w:type="spellEnd"/>
            <w:r w:rsidRPr="001A4710">
              <w:rPr>
                <w:rFonts w:ascii="Arial" w:hAnsi="Arial" w:cs="Arial"/>
                <w:sz w:val="20"/>
                <w:szCs w:val="20"/>
                <w:lang w:eastAsia="sl-SI"/>
              </w:rPr>
              <w:t xml:space="preserve"> oz. nevezano na dejansko izkazano škodo v pavšalnih zneskih izplačajo vsem upravičencem pod enakimi pogoji, ne izpolnjujejo tega pogoja ampak po svoji ekonomski vsebini predstavljaj dopolnitev poslovnega prihodka oz. dohodka in torej pravo dohodkovno podpore. Namenjene so namreč nadomestitvi izpada dohodkov zaradi poslabšanja splošnih (povišanja stroškov, padca odkupnih cen itd.), za vse zavezance enakih pogojev pridelave, ki se </w:t>
            </w:r>
            <w:r w:rsidRPr="001A4710">
              <w:rPr>
                <w:rFonts w:ascii="Arial" w:hAnsi="Arial" w:cs="Arial"/>
                <w:sz w:val="20"/>
                <w:szCs w:val="20"/>
                <w:lang w:eastAsia="sl-SI"/>
              </w:rPr>
              <w:lastRenderedPageBreak/>
              <w:t xml:space="preserve">sistemsko že upoštevajo v izračunu katastrskega dohodka. </w:t>
            </w:r>
            <w:proofErr w:type="spellStart"/>
            <w:r w:rsidRPr="001A4710">
              <w:rPr>
                <w:rFonts w:ascii="Arial" w:hAnsi="Arial" w:cs="Arial"/>
                <w:sz w:val="20"/>
                <w:szCs w:val="20"/>
                <w:lang w:eastAsia="sl-SI"/>
              </w:rPr>
              <w:t>Neobdavčitev</w:t>
            </w:r>
            <w:proofErr w:type="spellEnd"/>
            <w:r w:rsidRPr="001A4710">
              <w:rPr>
                <w:rFonts w:ascii="Arial" w:hAnsi="Arial" w:cs="Arial"/>
                <w:sz w:val="20"/>
                <w:szCs w:val="20"/>
                <w:lang w:eastAsia="sl-SI"/>
              </w:rPr>
              <w:t xml:space="preserve"> takih plačil bi pomenila neenako obravnavo glede na zavezance, ki za svojo dejavnost izkazujejo dejanske kazalce poslovne uspešnosti, pa tudi neenako obravnavo glede na druge zavezance za dohodnino v primerljivem dohodkovnem položaju. </w:t>
            </w:r>
          </w:p>
        </w:tc>
      </w:tr>
      <w:tr w:rsidR="00244C4E" w:rsidRPr="001A4710" w14:paraId="2BB55435" w14:textId="77777777" w:rsidTr="2F2CE5B4">
        <w:trPr>
          <w:trHeight w:val="1002"/>
        </w:trPr>
        <w:tc>
          <w:tcPr>
            <w:tcW w:w="567" w:type="dxa"/>
            <w:vMerge/>
            <w:shd w:val="clear" w:color="auto" w:fill="auto"/>
            <w:noWrap/>
          </w:tcPr>
          <w:p w14:paraId="48A58168"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10625923"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28024BD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V 26. členu ZDoh-2 so prav tako opredeljene davčne oprostitve v zvezi z dohodki iz osnovne kmetijske in osnovne gozdarske dejavnosti, ki so izplačani iz naslova ukrepov skupne kmetijske politike. Zaradi posebne narave in ključnega finančnega pomena, ki jih ti dohodki imajo, bi bilo nujno potrebno oprostitve razširiti na vsa prejeta sredstva iz naslova skupne kmetijske politike. Predlaga se ustrezna dopolnitev 2. in 3. točke 26. člena ZDoh-2.</w:t>
            </w:r>
          </w:p>
        </w:tc>
        <w:tc>
          <w:tcPr>
            <w:tcW w:w="1553" w:type="dxa"/>
            <w:shd w:val="clear" w:color="auto" w:fill="auto"/>
            <w:noWrap/>
          </w:tcPr>
          <w:p w14:paraId="7B242C73"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35CA449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Iz enakih razlogov, navedenih h prejšnji točki, predloga ni mogoče upoštevati, saj plačila iz naslova ukrepov kmetijske politike, ki so namenjena dopolnjevanju dohodka kmetije, (dohodkovne podpore), tvorijo del njihovega dohodka. Oprostitev dohodnine za take podpore oziroma </w:t>
            </w:r>
            <w:proofErr w:type="spellStart"/>
            <w:r w:rsidRPr="001A4710">
              <w:rPr>
                <w:rFonts w:ascii="Arial" w:hAnsi="Arial" w:cs="Arial"/>
                <w:sz w:val="20"/>
                <w:szCs w:val="20"/>
                <w:lang w:eastAsia="sl-SI"/>
              </w:rPr>
              <w:t>nevključevanje</w:t>
            </w:r>
            <w:proofErr w:type="spellEnd"/>
            <w:r w:rsidRPr="001A4710">
              <w:rPr>
                <w:rFonts w:ascii="Arial" w:hAnsi="Arial" w:cs="Arial"/>
                <w:sz w:val="20"/>
                <w:szCs w:val="20"/>
                <w:lang w:eastAsia="sl-SI"/>
              </w:rPr>
              <w:t xml:space="preserve"> takih podpor v davčno osnovo bi imelo za posledico nerealno prikazovanje dohodkovnega položaja, kar bi v sistemu obdavčitve kršilo bistveno ustavno načelo enakopravne obravnave zavezancev, pa tudi lahko privedlo do neupravičenega uveljavljanja plavic iz javnih sredstev in drugih na dohodke vezanih ugodnosti. Realno izkazovanje dohodkovnega položaja je eden bistvenih pogojev za pravično in uravnoteženo izvajanje ukrepov različnih družbenih politik.   </w:t>
            </w:r>
          </w:p>
        </w:tc>
      </w:tr>
      <w:tr w:rsidR="00244C4E" w:rsidRPr="001A4710" w14:paraId="18AB7562" w14:textId="77777777" w:rsidTr="2F2CE5B4">
        <w:trPr>
          <w:trHeight w:val="1002"/>
        </w:trPr>
        <w:tc>
          <w:tcPr>
            <w:tcW w:w="567" w:type="dxa"/>
            <w:vMerge/>
            <w:shd w:val="clear" w:color="auto" w:fill="auto"/>
            <w:noWrap/>
          </w:tcPr>
          <w:p w14:paraId="666C2D73"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5F187775"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48ABA5CF"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Predlagatelj poziva k pravočasni prilagoditvi dohodninskih določb zaradi novega programskega obdobja skupne kmetijske politike, ki prinaša tako nove intervencije kot tudi vsebinsko spremenjene dosedanje intervencije.</w:t>
            </w:r>
          </w:p>
        </w:tc>
        <w:tc>
          <w:tcPr>
            <w:tcW w:w="1553" w:type="dxa"/>
            <w:shd w:val="clear" w:color="auto" w:fill="auto"/>
            <w:noWrap/>
          </w:tcPr>
          <w:p w14:paraId="7C04DC06"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upošteva</w:t>
            </w:r>
          </w:p>
        </w:tc>
        <w:tc>
          <w:tcPr>
            <w:tcW w:w="6101" w:type="dxa"/>
            <w:shd w:val="clear" w:color="auto" w:fill="auto"/>
            <w:noWrap/>
          </w:tcPr>
          <w:p w14:paraId="6179CC9C" w14:textId="15BE870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Predlagatelj se zaveda te situacije in pripravlja rešitve, ki bodo posodobile sistem obdavčitve ukrepov kmetijske politike usklajeno z novim programskim obdobjem. Vendar se pri tem sledi cilju zmanjšanja izjem</w:t>
            </w:r>
            <w:r w:rsidR="00D7251C">
              <w:rPr>
                <w:rFonts w:ascii="Arial" w:hAnsi="Arial" w:cs="Arial"/>
                <w:sz w:val="20"/>
                <w:szCs w:val="20"/>
                <w:lang w:eastAsia="sl-SI"/>
              </w:rPr>
              <w:t xml:space="preserve"> in usmerjanja oprostitev predvsem v podpore, namenjene okolju prijaznejšemu kmetovanju.</w:t>
            </w:r>
            <w:r w:rsidRPr="001A4710">
              <w:rPr>
                <w:rFonts w:ascii="Arial" w:hAnsi="Arial" w:cs="Arial"/>
                <w:sz w:val="20"/>
                <w:szCs w:val="20"/>
                <w:lang w:eastAsia="sl-SI"/>
              </w:rPr>
              <w:t xml:space="preserve">    </w:t>
            </w:r>
          </w:p>
        </w:tc>
      </w:tr>
      <w:tr w:rsidR="00244C4E" w:rsidRPr="001A4710" w14:paraId="36500A8C" w14:textId="77777777" w:rsidTr="00833C5D">
        <w:trPr>
          <w:trHeight w:val="60"/>
        </w:trPr>
        <w:tc>
          <w:tcPr>
            <w:tcW w:w="567" w:type="dxa"/>
            <w:vMerge w:val="restart"/>
            <w:shd w:val="clear" w:color="auto" w:fill="auto"/>
            <w:noWrap/>
          </w:tcPr>
          <w:p w14:paraId="04C2FBFC"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val="restart"/>
          </w:tcPr>
          <w:p w14:paraId="47499BAF"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Gospodarska zbornica Slovenije</w:t>
            </w:r>
          </w:p>
        </w:tc>
        <w:tc>
          <w:tcPr>
            <w:tcW w:w="4894" w:type="dxa"/>
            <w:shd w:val="clear" w:color="auto" w:fill="auto"/>
            <w:noWrap/>
          </w:tcPr>
          <w:p w14:paraId="6DE657B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da se dinamika postopnega zviševanja splošne olajšave ohrani.</w:t>
            </w:r>
          </w:p>
        </w:tc>
        <w:tc>
          <w:tcPr>
            <w:tcW w:w="1553" w:type="dxa"/>
            <w:shd w:val="clear" w:color="auto" w:fill="auto"/>
            <w:noWrap/>
          </w:tcPr>
          <w:p w14:paraId="38BF40AD"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C20EDD0"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5 te tabele.</w:t>
            </w:r>
          </w:p>
        </w:tc>
      </w:tr>
      <w:tr w:rsidR="00244C4E" w:rsidRPr="001A4710" w14:paraId="09678731" w14:textId="77777777" w:rsidTr="2F2CE5B4">
        <w:trPr>
          <w:trHeight w:val="392"/>
        </w:trPr>
        <w:tc>
          <w:tcPr>
            <w:tcW w:w="567" w:type="dxa"/>
            <w:vMerge/>
            <w:shd w:val="clear" w:color="auto" w:fill="auto"/>
            <w:noWrap/>
          </w:tcPr>
          <w:p w14:paraId="37B1695D"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tcPr>
          <w:p w14:paraId="2C23D9B9"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766445E0"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 se enotno posebno olajšavo za vse mlade do 29. leta v višini 1.000 EUR. </w:t>
            </w:r>
          </w:p>
        </w:tc>
        <w:tc>
          <w:tcPr>
            <w:tcW w:w="1553" w:type="dxa"/>
            <w:shd w:val="clear" w:color="auto" w:fill="auto"/>
            <w:noWrap/>
          </w:tcPr>
          <w:p w14:paraId="7FD9A100"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upošteva</w:t>
            </w:r>
          </w:p>
        </w:tc>
        <w:tc>
          <w:tcPr>
            <w:tcW w:w="6101" w:type="dxa"/>
            <w:shd w:val="clear" w:color="auto" w:fill="auto"/>
            <w:noWrap/>
          </w:tcPr>
          <w:p w14:paraId="5B027C4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Predlog zakona sledi predlogu.</w:t>
            </w:r>
          </w:p>
        </w:tc>
      </w:tr>
      <w:tr w:rsidR="00244C4E" w:rsidRPr="001A4710" w14:paraId="7A2023BF" w14:textId="77777777" w:rsidTr="2F2CE5B4">
        <w:trPr>
          <w:trHeight w:val="634"/>
        </w:trPr>
        <w:tc>
          <w:tcPr>
            <w:tcW w:w="567" w:type="dxa"/>
            <w:vMerge/>
            <w:shd w:val="clear" w:color="auto" w:fill="auto"/>
            <w:noWrap/>
          </w:tcPr>
          <w:p w14:paraId="63BA27E2"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tcPr>
          <w:p w14:paraId="7798F512"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41FEA9E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uvedba socialne kapice na socialne prispevke pri plačah nad 2,5-kratnikom povprečne plače</w:t>
            </w:r>
            <w:r>
              <w:rPr>
                <w:rFonts w:ascii="Arial" w:hAnsi="Arial" w:cs="Arial"/>
                <w:sz w:val="20"/>
                <w:szCs w:val="20"/>
                <w:lang w:eastAsia="sl-SI"/>
              </w:rPr>
              <w:t>.</w:t>
            </w:r>
            <w:r w:rsidRPr="001A4710">
              <w:rPr>
                <w:rFonts w:ascii="Arial" w:hAnsi="Arial" w:cs="Arial"/>
                <w:sz w:val="20"/>
                <w:szCs w:val="20"/>
                <w:lang w:eastAsia="sl-SI"/>
              </w:rPr>
              <w:t xml:space="preserve"> </w:t>
            </w:r>
          </w:p>
        </w:tc>
        <w:tc>
          <w:tcPr>
            <w:tcW w:w="1553" w:type="dxa"/>
            <w:shd w:val="clear" w:color="auto" w:fill="auto"/>
            <w:noWrap/>
          </w:tcPr>
          <w:p w14:paraId="61C9C2A3"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43CC361"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Predlog se nanaša na vsebino, ki ni predmet tega zakona. </w:t>
            </w:r>
          </w:p>
        </w:tc>
      </w:tr>
      <w:tr w:rsidR="00244C4E" w:rsidRPr="001A4710" w14:paraId="1E65462C" w14:textId="77777777" w:rsidTr="2F2CE5B4">
        <w:trPr>
          <w:trHeight w:val="578"/>
        </w:trPr>
        <w:tc>
          <w:tcPr>
            <w:tcW w:w="567" w:type="dxa"/>
            <w:vMerge/>
            <w:shd w:val="clear" w:color="auto" w:fill="auto"/>
            <w:noWrap/>
          </w:tcPr>
          <w:p w14:paraId="3E08497A"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tcPr>
          <w:p w14:paraId="5EF7A728"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5DD4A191"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uvedba avtomatične indeksacije davčnih osnov in olajšav v primeru, če je inflacija v predhodnem letu do 2 %, v primeru dviga med 2 do 4 % je 90 %, v kolikor preseže 4 % je 80 %. Usklajevanje se opravi tudi v letu 2023.</w:t>
            </w:r>
          </w:p>
        </w:tc>
        <w:tc>
          <w:tcPr>
            <w:tcW w:w="1553" w:type="dxa"/>
            <w:shd w:val="clear" w:color="auto" w:fill="auto"/>
            <w:noWrap/>
          </w:tcPr>
          <w:p w14:paraId="41471111"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5E668766"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6 te tabele.</w:t>
            </w:r>
          </w:p>
        </w:tc>
      </w:tr>
      <w:tr w:rsidR="00244C4E" w:rsidRPr="001A4710" w14:paraId="733AC5A6" w14:textId="77777777" w:rsidTr="2F2CE5B4">
        <w:trPr>
          <w:trHeight w:val="364"/>
        </w:trPr>
        <w:tc>
          <w:tcPr>
            <w:tcW w:w="567" w:type="dxa"/>
            <w:vMerge/>
            <w:shd w:val="clear" w:color="auto" w:fill="auto"/>
            <w:noWrap/>
          </w:tcPr>
          <w:p w14:paraId="2E41D1F7"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tcPr>
          <w:p w14:paraId="2E20AB40"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36568AC5"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dvig meje za peti dohodninski razred nad 250.000 EUR letno.</w:t>
            </w:r>
          </w:p>
        </w:tc>
        <w:tc>
          <w:tcPr>
            <w:tcW w:w="1553" w:type="dxa"/>
            <w:shd w:val="clear" w:color="auto" w:fill="auto"/>
            <w:noWrap/>
          </w:tcPr>
          <w:p w14:paraId="31167D36"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46CE4BB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10 te tabele.</w:t>
            </w:r>
          </w:p>
        </w:tc>
      </w:tr>
      <w:tr w:rsidR="00244C4E" w:rsidRPr="001A4710" w14:paraId="67C47615" w14:textId="77777777" w:rsidTr="2F2CE5B4">
        <w:trPr>
          <w:trHeight w:val="739"/>
        </w:trPr>
        <w:tc>
          <w:tcPr>
            <w:tcW w:w="567" w:type="dxa"/>
            <w:vMerge/>
            <w:shd w:val="clear" w:color="auto" w:fill="auto"/>
            <w:noWrap/>
          </w:tcPr>
          <w:p w14:paraId="30BD7747"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tcPr>
          <w:p w14:paraId="6F95AFF0"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5C8B7F86"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color w:val="000000"/>
                <w:sz w:val="20"/>
                <w:szCs w:val="20"/>
              </w:rPr>
              <w:t>Nasprotovanje predlogu za spremembo na področju davčno ugodnejše obravnave plačila za poslovno uspešnost, razen v delu, ko se predlaga, da se tak</w:t>
            </w:r>
            <w:r w:rsidRPr="001A4710">
              <w:rPr>
                <w:rFonts w:ascii="Arial" w:hAnsi="Arial" w:cs="Arial"/>
                <w:sz w:val="20"/>
                <w:szCs w:val="20"/>
                <w:lang w:eastAsia="sl-SI"/>
              </w:rPr>
              <w:t xml:space="preserve"> dohodki lahko izplačajo dvakrat letno.</w:t>
            </w:r>
          </w:p>
        </w:tc>
        <w:tc>
          <w:tcPr>
            <w:tcW w:w="1553" w:type="dxa"/>
            <w:shd w:val="clear" w:color="auto" w:fill="auto"/>
            <w:noWrap/>
          </w:tcPr>
          <w:p w14:paraId="6EA822E6"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434FCEFC"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20 te tabele.</w:t>
            </w:r>
          </w:p>
        </w:tc>
      </w:tr>
      <w:tr w:rsidR="00244C4E" w:rsidRPr="001A4710" w14:paraId="146912AE" w14:textId="77777777" w:rsidTr="2F2CE5B4">
        <w:trPr>
          <w:trHeight w:val="365"/>
        </w:trPr>
        <w:tc>
          <w:tcPr>
            <w:tcW w:w="567" w:type="dxa"/>
            <w:vMerge/>
            <w:shd w:val="clear" w:color="auto" w:fill="auto"/>
            <w:noWrap/>
          </w:tcPr>
          <w:p w14:paraId="76F2E9FA"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tcPr>
          <w:p w14:paraId="600720AB"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0C7D1BE9"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V zvezi s sistemom </w:t>
            </w:r>
            <w:proofErr w:type="spellStart"/>
            <w:r w:rsidRPr="001A4710">
              <w:rPr>
                <w:rFonts w:ascii="Arial" w:hAnsi="Arial" w:cs="Arial"/>
                <w:sz w:val="20"/>
                <w:szCs w:val="20"/>
                <w:lang w:eastAsia="sl-SI"/>
              </w:rPr>
              <w:t>t.i</w:t>
            </w:r>
            <w:proofErr w:type="spellEnd"/>
            <w:r w:rsidRPr="001A4710">
              <w:rPr>
                <w:rFonts w:ascii="Arial" w:hAnsi="Arial" w:cs="Arial"/>
                <w:sz w:val="20"/>
                <w:szCs w:val="20"/>
                <w:lang w:eastAsia="sl-SI"/>
              </w:rPr>
              <w:t xml:space="preserve">. </w:t>
            </w:r>
            <w:proofErr w:type="spellStart"/>
            <w:r w:rsidRPr="001A4710">
              <w:rPr>
                <w:rFonts w:ascii="Arial" w:hAnsi="Arial" w:cs="Arial"/>
                <w:sz w:val="20"/>
                <w:szCs w:val="20"/>
                <w:lang w:eastAsia="sl-SI"/>
              </w:rPr>
              <w:t>normirancev</w:t>
            </w:r>
            <w:proofErr w:type="spellEnd"/>
            <w:r w:rsidRPr="001A4710">
              <w:rPr>
                <w:rFonts w:ascii="Arial" w:hAnsi="Arial" w:cs="Arial"/>
                <w:sz w:val="20"/>
                <w:szCs w:val="20"/>
                <w:lang w:eastAsia="sl-SI"/>
              </w:rPr>
              <w:t xml:space="preserve"> se predlaga znižanje meje za letni promet na 25.000 EUR oz. 50.000 EUR v primeru enega zaposlenega, za katere je to edini status in 15.000 EUR za tiste, za katere je to postranska dejavnost. Sistem bi moral biti tudi bolj transparenten, zato se predlaga, da bi moral vsak normirani </w:t>
            </w:r>
            <w:proofErr w:type="spellStart"/>
            <w:r w:rsidRPr="001A4710">
              <w:rPr>
                <w:rFonts w:ascii="Arial" w:hAnsi="Arial" w:cs="Arial"/>
                <w:sz w:val="20"/>
                <w:szCs w:val="20"/>
                <w:lang w:eastAsia="sl-SI"/>
              </w:rPr>
              <w:t>s.p</w:t>
            </w:r>
            <w:proofErr w:type="spellEnd"/>
            <w:r w:rsidRPr="001A4710">
              <w:rPr>
                <w:rFonts w:ascii="Arial" w:hAnsi="Arial" w:cs="Arial"/>
                <w:sz w:val="20"/>
                <w:szCs w:val="20"/>
                <w:lang w:eastAsia="sl-SI"/>
              </w:rPr>
              <w:t xml:space="preserve">. javno objaviti (na </w:t>
            </w:r>
            <w:proofErr w:type="spellStart"/>
            <w:r w:rsidRPr="001A4710">
              <w:rPr>
                <w:rFonts w:ascii="Arial" w:hAnsi="Arial" w:cs="Arial"/>
                <w:sz w:val="20"/>
                <w:szCs w:val="20"/>
                <w:lang w:eastAsia="sl-SI"/>
              </w:rPr>
              <w:t>Ajpes</w:t>
            </w:r>
            <w:proofErr w:type="spellEnd"/>
            <w:r w:rsidRPr="001A4710">
              <w:rPr>
                <w:rFonts w:ascii="Arial" w:hAnsi="Arial" w:cs="Arial"/>
                <w:sz w:val="20"/>
                <w:szCs w:val="20"/>
                <w:lang w:eastAsia="sl-SI"/>
              </w:rPr>
              <w:t>) podatke o letnem prihodku in plačane davku. Predlaga se tudi znižanje pavšalno priznanih odhodkov, in sicer s 80 % na 60 %. Smiselna bi bila tudi uvedba davčnega odtegljaja v višini 20 % in dodatnega davka na gotovinske dvige, s čimer bi se pomembno omejila zloraba tega statusa.</w:t>
            </w:r>
          </w:p>
        </w:tc>
        <w:tc>
          <w:tcPr>
            <w:tcW w:w="1553" w:type="dxa"/>
            <w:shd w:val="clear" w:color="auto" w:fill="auto"/>
            <w:noWrap/>
          </w:tcPr>
          <w:p w14:paraId="36A480AD"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delno upošteva</w:t>
            </w:r>
          </w:p>
        </w:tc>
        <w:tc>
          <w:tcPr>
            <w:tcW w:w="6101" w:type="dxa"/>
            <w:shd w:val="clear" w:color="auto" w:fill="auto"/>
            <w:noWrap/>
          </w:tcPr>
          <w:p w14:paraId="5FE94E2E"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6 te tabele.</w:t>
            </w:r>
          </w:p>
        </w:tc>
      </w:tr>
      <w:tr w:rsidR="00244C4E" w:rsidRPr="001A4710" w14:paraId="0F02D63B" w14:textId="77777777" w:rsidTr="2F2CE5B4">
        <w:trPr>
          <w:trHeight w:val="2530"/>
        </w:trPr>
        <w:tc>
          <w:tcPr>
            <w:tcW w:w="567" w:type="dxa"/>
            <w:vMerge/>
            <w:shd w:val="clear" w:color="auto" w:fill="auto"/>
            <w:noWrap/>
          </w:tcPr>
          <w:p w14:paraId="1DFE5A21"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tcPr>
          <w:p w14:paraId="41D47151"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0E0BF54A"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Nasprotovanje predlogu, da se poviša stopnja obdavčitve dohodkov iz oddajanja premoženja v najem na 25 %, saj bo prizadel tudi prebivalstvo s podpovprečnimi dohodki in hkrati povzročil več oddajanja nepremičnin na sivem trgu.</w:t>
            </w:r>
          </w:p>
        </w:tc>
        <w:tc>
          <w:tcPr>
            <w:tcW w:w="1553" w:type="dxa"/>
            <w:shd w:val="clear" w:color="auto" w:fill="auto"/>
            <w:noWrap/>
          </w:tcPr>
          <w:p w14:paraId="7BCDC895"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2094FEE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17 te tabele.</w:t>
            </w:r>
          </w:p>
        </w:tc>
      </w:tr>
      <w:tr w:rsidR="00244C4E" w:rsidRPr="001A4710" w14:paraId="0E7DD78B" w14:textId="77777777" w:rsidTr="2F2CE5B4">
        <w:trPr>
          <w:trHeight w:val="2530"/>
        </w:trPr>
        <w:tc>
          <w:tcPr>
            <w:tcW w:w="567" w:type="dxa"/>
            <w:vMerge/>
            <w:shd w:val="clear" w:color="auto" w:fill="auto"/>
            <w:noWrap/>
          </w:tcPr>
          <w:p w14:paraId="7AE15CC3"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tcPr>
          <w:p w14:paraId="32B0A20C"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3D456DEB"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Nasprotovanje predlogu obdavčitve izplačane vrednosti delnic oziroma deležev v primeru odsvojitve v okviru pridobivanja lastnih delnic oziroma deležev družb kot dividend in podpora dosedanja ureditvi, saj slednja predstavlja razumno davčno obremenitev manjšinskih lastnikov podjetij, hkrati pa se na tej podlagi zagotavlja ohranitev lastništva podjetij v rokah domačih lastnikov. Predlaga se, da se 4. člen predloga zakona dopolni na naslednji način:</w:t>
            </w:r>
          </w:p>
          <w:p w14:paraId="2B9695C2" w14:textId="77777777" w:rsidR="00FD48D4" w:rsidRPr="001A4710" w:rsidRDefault="00FD48D4" w:rsidP="000D3A59">
            <w:pPr>
              <w:spacing w:after="0" w:line="240" w:lineRule="auto"/>
              <w:jc w:val="both"/>
              <w:rPr>
                <w:rFonts w:ascii="Arial" w:hAnsi="Arial" w:cs="Arial"/>
                <w:i/>
                <w:iCs/>
                <w:sz w:val="20"/>
                <w:szCs w:val="20"/>
                <w:lang w:eastAsia="sl-SI"/>
              </w:rPr>
            </w:pPr>
            <w:r w:rsidRPr="001A4710">
              <w:rPr>
                <w:rFonts w:ascii="Arial" w:hAnsi="Arial" w:cs="Arial"/>
                <w:i/>
                <w:iCs/>
                <w:sz w:val="20"/>
                <w:szCs w:val="20"/>
                <w:lang w:eastAsia="sl-SI"/>
              </w:rPr>
              <w:t xml:space="preserve">»6. izplačana vrednost delnic ali deležev v primeru odsvojitve delnic ali deležev v okviru pridobivanja lastnih delnic oziroma deležev družbe, razen v </w:t>
            </w:r>
            <w:r w:rsidRPr="001A4710">
              <w:rPr>
                <w:rFonts w:ascii="Arial" w:hAnsi="Arial" w:cs="Arial"/>
                <w:i/>
                <w:sz w:val="20"/>
                <w:szCs w:val="20"/>
                <w:u w:val="single"/>
                <w:lang w:eastAsia="sl-SI"/>
              </w:rPr>
              <w:t>primerih</w:t>
            </w:r>
            <w:r w:rsidRPr="001A4710">
              <w:rPr>
                <w:rFonts w:ascii="Arial" w:hAnsi="Arial" w:cs="Arial"/>
                <w:i/>
                <w:iCs/>
                <w:sz w:val="20"/>
                <w:szCs w:val="20"/>
                <w:lang w:eastAsia="sl-SI"/>
              </w:rPr>
              <w:t xml:space="preserve">, ko družba pridobiva lastne delnice na organiziranem trgu </w:t>
            </w:r>
            <w:r w:rsidRPr="001A4710">
              <w:rPr>
                <w:rFonts w:ascii="Arial" w:hAnsi="Arial" w:cs="Arial"/>
                <w:i/>
                <w:sz w:val="20"/>
                <w:szCs w:val="20"/>
                <w:u w:val="single"/>
                <w:lang w:eastAsia="sl-SI"/>
              </w:rPr>
              <w:t>ali družba pridobiva lastne delnice z namenom, da jih ponudi v odkup delavcem družbe ali z njo povezane družbe</w:t>
            </w:r>
            <w:r w:rsidRPr="001A4710">
              <w:rPr>
                <w:rFonts w:ascii="Arial" w:hAnsi="Arial" w:cs="Arial"/>
                <w:i/>
                <w:iCs/>
                <w:sz w:val="20"/>
                <w:szCs w:val="20"/>
                <w:lang w:eastAsia="sl-SI"/>
              </w:rPr>
              <w:t>. Davčni zavezanec lahko v skladu z zakonom, ki ureja davčni postopek, uveljavlja zmanjšanje izplačane vrednosti za nabavno vrednost odsvojenih delnic ali deležev, ki se določi v skladu z 98. členom tega zakona. Če je dogovorjeno obročno izplačevanje vrednosti delnic ali deležev, se nabavna vrednost porazdeli med obroke sorazmerno njihovi višini. Če je davčni zavezanec delnice ali deleže družbe pridobival na različne datume, se šteje, da je odsvojil zadnje pridobljene delnice ali deleže. Odsvojitev delnic ali deležev po tej točki ne šteje za odsvojitev kapitala po poglavju III.6.3. tega zakona.«.</w:t>
            </w:r>
          </w:p>
          <w:p w14:paraId="4AFBEE98"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Podredno se predlaga, da se nova 6. točka četrtega odstavka 90. člena ZDoh-2 črta. </w:t>
            </w:r>
          </w:p>
          <w:p w14:paraId="3DFD231F"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Kot dodatni alternativni predlog se predlaga, da bi možnost prodaje lastnih deležev omejili na 10 %, v presežku pa bi se izplačilo obdavčilo kot dividenda.   </w:t>
            </w:r>
          </w:p>
        </w:tc>
        <w:tc>
          <w:tcPr>
            <w:tcW w:w="1553" w:type="dxa"/>
            <w:shd w:val="clear" w:color="auto" w:fill="auto"/>
            <w:noWrap/>
          </w:tcPr>
          <w:p w14:paraId="3339374D"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350B530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 te tabele.</w:t>
            </w:r>
          </w:p>
        </w:tc>
      </w:tr>
      <w:tr w:rsidR="00244C4E" w:rsidRPr="001A4710" w14:paraId="6584178A" w14:textId="77777777" w:rsidTr="00833C5D">
        <w:trPr>
          <w:trHeight w:val="209"/>
        </w:trPr>
        <w:tc>
          <w:tcPr>
            <w:tcW w:w="567" w:type="dxa"/>
            <w:vMerge w:val="restart"/>
            <w:shd w:val="clear" w:color="auto" w:fill="auto"/>
            <w:noWrap/>
          </w:tcPr>
          <w:p w14:paraId="0CC29D5B"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val="restart"/>
          </w:tcPr>
          <w:p w14:paraId="211B65D5"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Združenje delodajalcev Slovenije (ZDS)</w:t>
            </w:r>
          </w:p>
        </w:tc>
        <w:tc>
          <w:tcPr>
            <w:tcW w:w="4894" w:type="dxa"/>
            <w:shd w:val="clear" w:color="auto" w:fill="auto"/>
            <w:noWrap/>
          </w:tcPr>
          <w:p w14:paraId="331E5194" w14:textId="77777777" w:rsidR="00FD48D4" w:rsidRPr="001A4710" w:rsidRDefault="00FD48D4" w:rsidP="000D3A59">
            <w:pPr>
              <w:spacing w:after="0" w:line="240" w:lineRule="auto"/>
              <w:jc w:val="both"/>
              <w:rPr>
                <w:rFonts w:ascii="Arial" w:hAnsi="Arial" w:cs="Arial"/>
                <w:color w:val="000000"/>
                <w:sz w:val="20"/>
                <w:szCs w:val="20"/>
              </w:rPr>
            </w:pPr>
            <w:r w:rsidRPr="001A4710">
              <w:rPr>
                <w:rFonts w:ascii="Arial" w:hAnsi="Arial" w:cs="Arial"/>
                <w:color w:val="000000"/>
                <w:sz w:val="20"/>
                <w:szCs w:val="20"/>
              </w:rPr>
              <w:t>Predlaga se ohranitev trenutno veljavne ureditve plačila za poslovna uspešnost, podredno pa se predlaga, da se neobdavčeni del plačila za poslovno uspešnost določi vsaj v višini 150 % povprečne plače v RS.</w:t>
            </w:r>
          </w:p>
        </w:tc>
        <w:tc>
          <w:tcPr>
            <w:tcW w:w="1553" w:type="dxa"/>
            <w:shd w:val="clear" w:color="auto" w:fill="auto"/>
            <w:noWrap/>
          </w:tcPr>
          <w:p w14:paraId="2D2C7342"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D4E7250"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20 te tabele.</w:t>
            </w:r>
          </w:p>
        </w:tc>
      </w:tr>
      <w:tr w:rsidR="00244C4E" w:rsidRPr="001A4710" w14:paraId="71BDB98B" w14:textId="77777777" w:rsidTr="2F2CE5B4">
        <w:trPr>
          <w:trHeight w:val="520"/>
        </w:trPr>
        <w:tc>
          <w:tcPr>
            <w:tcW w:w="567" w:type="dxa"/>
            <w:vMerge/>
            <w:shd w:val="clear" w:color="auto" w:fill="auto"/>
            <w:noWrap/>
          </w:tcPr>
          <w:p w14:paraId="1787F6FB" w14:textId="77777777" w:rsidR="00FD48D4" w:rsidRPr="001A4710" w:rsidRDefault="00FD48D4" w:rsidP="000D3A59">
            <w:pPr>
              <w:spacing w:after="0" w:line="240" w:lineRule="auto"/>
              <w:rPr>
                <w:rFonts w:ascii="Arial" w:eastAsia="Times New Roman" w:hAnsi="Arial" w:cs="Arial"/>
                <w:b/>
                <w:color w:val="000000"/>
                <w:sz w:val="20"/>
                <w:szCs w:val="20"/>
                <w:lang w:eastAsia="sl-SI"/>
              </w:rPr>
            </w:pPr>
          </w:p>
        </w:tc>
        <w:tc>
          <w:tcPr>
            <w:tcW w:w="2903" w:type="dxa"/>
            <w:vMerge/>
          </w:tcPr>
          <w:p w14:paraId="561AB999"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5A4F082F"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ohranitev veljavne ureditve in postopen dvig splošne olajšave na 7.500 EUR letno.</w:t>
            </w:r>
          </w:p>
        </w:tc>
        <w:tc>
          <w:tcPr>
            <w:tcW w:w="1553" w:type="dxa"/>
            <w:shd w:val="clear" w:color="auto" w:fill="auto"/>
            <w:noWrap/>
          </w:tcPr>
          <w:p w14:paraId="24F9D89B"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FF76A8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5 te tabele.</w:t>
            </w:r>
          </w:p>
        </w:tc>
      </w:tr>
      <w:tr w:rsidR="00244C4E" w:rsidRPr="001A4710" w14:paraId="60001C0C" w14:textId="77777777" w:rsidTr="2F2CE5B4">
        <w:trPr>
          <w:trHeight w:val="719"/>
        </w:trPr>
        <w:tc>
          <w:tcPr>
            <w:tcW w:w="567" w:type="dxa"/>
            <w:vMerge/>
            <w:shd w:val="clear" w:color="auto" w:fill="auto"/>
            <w:noWrap/>
          </w:tcPr>
          <w:p w14:paraId="1683EBCE" w14:textId="77777777" w:rsidR="00FD48D4" w:rsidRPr="001A4710" w:rsidRDefault="00FD48D4" w:rsidP="000D3A59">
            <w:pPr>
              <w:spacing w:after="0" w:line="240" w:lineRule="auto"/>
              <w:rPr>
                <w:rFonts w:ascii="Arial" w:eastAsia="Times New Roman" w:hAnsi="Arial" w:cs="Arial"/>
                <w:b/>
                <w:color w:val="000000"/>
                <w:sz w:val="20"/>
                <w:szCs w:val="20"/>
                <w:lang w:eastAsia="sl-SI"/>
              </w:rPr>
            </w:pPr>
          </w:p>
        </w:tc>
        <w:tc>
          <w:tcPr>
            <w:tcW w:w="2903" w:type="dxa"/>
            <w:vMerge/>
          </w:tcPr>
          <w:p w14:paraId="5DF9FD4C"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5A77470A" w14:textId="77777777" w:rsidR="00FD48D4" w:rsidRPr="001A4710" w:rsidRDefault="00FD48D4" w:rsidP="000D3A59">
            <w:pPr>
              <w:spacing w:after="0" w:line="240" w:lineRule="auto"/>
              <w:jc w:val="both"/>
              <w:rPr>
                <w:rFonts w:ascii="Arial" w:hAnsi="Arial" w:cs="Arial"/>
                <w:b/>
                <w:bCs/>
                <w:color w:val="000000"/>
                <w:sz w:val="20"/>
                <w:szCs w:val="20"/>
              </w:rPr>
            </w:pPr>
            <w:r w:rsidRPr="001A4710">
              <w:rPr>
                <w:rFonts w:ascii="Arial" w:hAnsi="Arial" w:cs="Arial"/>
                <w:sz w:val="20"/>
                <w:szCs w:val="20"/>
                <w:lang w:eastAsia="sl-SI"/>
              </w:rPr>
              <w:t>Predlaga se ohranitev avtomatičnega usklajevanja zneskov olajšav ter enačbe za določitev olajšave enkrat letno s koeficientom rasti cen življenjskih stroškov.</w:t>
            </w:r>
          </w:p>
        </w:tc>
        <w:tc>
          <w:tcPr>
            <w:tcW w:w="1553" w:type="dxa"/>
            <w:shd w:val="clear" w:color="auto" w:fill="auto"/>
            <w:noWrap/>
          </w:tcPr>
          <w:p w14:paraId="2CED4332"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2537929B"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6 te tabele.</w:t>
            </w:r>
          </w:p>
        </w:tc>
      </w:tr>
      <w:tr w:rsidR="00244C4E" w:rsidRPr="001A4710" w14:paraId="11608FBA" w14:textId="77777777" w:rsidTr="2F2CE5B4">
        <w:trPr>
          <w:trHeight w:val="403"/>
        </w:trPr>
        <w:tc>
          <w:tcPr>
            <w:tcW w:w="567" w:type="dxa"/>
            <w:vMerge/>
            <w:shd w:val="clear" w:color="auto" w:fill="auto"/>
            <w:noWrap/>
          </w:tcPr>
          <w:p w14:paraId="7F40ED18" w14:textId="77777777" w:rsidR="00FD48D4" w:rsidRPr="001A4710" w:rsidRDefault="00FD48D4" w:rsidP="000D3A59">
            <w:pPr>
              <w:spacing w:after="0" w:line="240" w:lineRule="auto"/>
              <w:rPr>
                <w:rFonts w:ascii="Arial" w:eastAsia="Times New Roman" w:hAnsi="Arial" w:cs="Arial"/>
                <w:b/>
                <w:color w:val="000000"/>
                <w:sz w:val="20"/>
                <w:szCs w:val="20"/>
                <w:lang w:eastAsia="sl-SI"/>
              </w:rPr>
            </w:pPr>
          </w:p>
        </w:tc>
        <w:tc>
          <w:tcPr>
            <w:tcW w:w="2903" w:type="dxa"/>
            <w:vMerge/>
          </w:tcPr>
          <w:p w14:paraId="78D4B1C5"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12B4BCBE"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ohranitev davčne stopnje 45 % v 5. dohodninskem razredu.</w:t>
            </w:r>
          </w:p>
        </w:tc>
        <w:tc>
          <w:tcPr>
            <w:tcW w:w="1553" w:type="dxa"/>
            <w:shd w:val="clear" w:color="auto" w:fill="auto"/>
            <w:noWrap/>
          </w:tcPr>
          <w:p w14:paraId="3AB98756"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7A89BE90"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10 te tabele.</w:t>
            </w:r>
          </w:p>
        </w:tc>
      </w:tr>
      <w:tr w:rsidR="00244C4E" w:rsidRPr="001A4710" w14:paraId="5F1B8BCD" w14:textId="77777777" w:rsidTr="2F2CE5B4">
        <w:trPr>
          <w:trHeight w:val="849"/>
        </w:trPr>
        <w:tc>
          <w:tcPr>
            <w:tcW w:w="567" w:type="dxa"/>
            <w:vMerge/>
            <w:shd w:val="clear" w:color="auto" w:fill="auto"/>
            <w:noWrap/>
          </w:tcPr>
          <w:p w14:paraId="40769E53" w14:textId="77777777" w:rsidR="00FD48D4" w:rsidRPr="001A4710" w:rsidRDefault="00FD48D4" w:rsidP="000D3A59">
            <w:pPr>
              <w:spacing w:after="0" w:line="240" w:lineRule="auto"/>
              <w:rPr>
                <w:rFonts w:ascii="Arial" w:eastAsia="Times New Roman" w:hAnsi="Arial" w:cs="Arial"/>
                <w:b/>
                <w:color w:val="000000"/>
                <w:sz w:val="20"/>
                <w:szCs w:val="20"/>
                <w:lang w:eastAsia="sl-SI"/>
              </w:rPr>
            </w:pPr>
          </w:p>
        </w:tc>
        <w:tc>
          <w:tcPr>
            <w:tcW w:w="2903" w:type="dxa"/>
            <w:vMerge/>
          </w:tcPr>
          <w:p w14:paraId="21A4A222"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43ECACDF"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sprememba 10. točke prvega odstavka 44. člena ZDoh-2 na način, da se neobdavčeni del določi do višine 5% povprečne mesečne plače zaposlenih v Sloveniji.</w:t>
            </w:r>
          </w:p>
        </w:tc>
        <w:tc>
          <w:tcPr>
            <w:tcW w:w="1553" w:type="dxa"/>
            <w:shd w:val="clear" w:color="auto" w:fill="auto"/>
            <w:noWrap/>
          </w:tcPr>
          <w:p w14:paraId="69B0BB87"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delno upošteva</w:t>
            </w:r>
          </w:p>
        </w:tc>
        <w:tc>
          <w:tcPr>
            <w:tcW w:w="6101" w:type="dxa"/>
            <w:shd w:val="clear" w:color="auto" w:fill="auto"/>
            <w:noWrap/>
          </w:tcPr>
          <w:p w14:paraId="3C17260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18 te tabele.</w:t>
            </w:r>
          </w:p>
        </w:tc>
      </w:tr>
      <w:tr w:rsidR="00244C4E" w:rsidRPr="001A4710" w14:paraId="40D6395E" w14:textId="77777777" w:rsidTr="2F2CE5B4">
        <w:trPr>
          <w:trHeight w:val="1762"/>
        </w:trPr>
        <w:tc>
          <w:tcPr>
            <w:tcW w:w="567" w:type="dxa"/>
            <w:vMerge/>
            <w:shd w:val="clear" w:color="auto" w:fill="auto"/>
            <w:noWrap/>
          </w:tcPr>
          <w:p w14:paraId="3ECF1176" w14:textId="77777777" w:rsidR="00FD48D4" w:rsidRPr="001A4710" w:rsidRDefault="00FD48D4" w:rsidP="000D3A59">
            <w:pPr>
              <w:spacing w:after="0" w:line="240" w:lineRule="auto"/>
              <w:rPr>
                <w:rFonts w:ascii="Arial" w:eastAsia="Times New Roman" w:hAnsi="Arial" w:cs="Arial"/>
                <w:b/>
                <w:color w:val="000000"/>
                <w:sz w:val="20"/>
                <w:szCs w:val="20"/>
                <w:lang w:eastAsia="sl-SI"/>
              </w:rPr>
            </w:pPr>
          </w:p>
        </w:tc>
        <w:tc>
          <w:tcPr>
            <w:tcW w:w="2903" w:type="dxa"/>
            <w:vMerge/>
          </w:tcPr>
          <w:p w14:paraId="28DDBB7A"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5D6E087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 se, da se dopolni zadnji stavek tretjega odstavka 115. člena ZDoh-2 tako, da se bo lahko pri uveljavljanju posebne olajšave za vzdrževanega družinskega člana – otroka, starejšega od 26 let, upoštevalo tudi povprečno trajanje študija, potrebnega za dokončanje 5 in 6-letnega enovitega magistrskega študija. Na ta način se zagotavlja enaka obravnava z zavezancem, ki lahko za otroka, ki je vpisan na dodiplomski študij in nadaljuje šolanje na podiplomskem študiju, uveljavlja olajšavo za največ 10 let.</w:t>
            </w:r>
          </w:p>
        </w:tc>
        <w:tc>
          <w:tcPr>
            <w:tcW w:w="1553" w:type="dxa"/>
            <w:shd w:val="clear" w:color="auto" w:fill="auto"/>
            <w:noWrap/>
          </w:tcPr>
          <w:p w14:paraId="6147B291"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69A4FC0"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Predlog ni vsebina tokratnih predlaganih sprememb ZDoh-2, zahteva pa podoben pregled sistema obveznosti preživljanja in študijskih programov, medtem ko potreba po hitri spremembi ZDoh-2 zaradi zagotavljanja javnofinančne stabilnosti tega pregleda trenutno ne omogoča.</w:t>
            </w:r>
          </w:p>
          <w:p w14:paraId="38F241E1" w14:textId="77777777" w:rsidR="00FD48D4" w:rsidRPr="001A4710" w:rsidRDefault="00FD48D4" w:rsidP="000D3A59">
            <w:pPr>
              <w:spacing w:after="0" w:line="240" w:lineRule="auto"/>
              <w:jc w:val="both"/>
              <w:rPr>
                <w:rFonts w:ascii="Arial" w:hAnsi="Arial" w:cs="Arial"/>
                <w:sz w:val="20"/>
                <w:szCs w:val="20"/>
                <w:lang w:eastAsia="sl-SI"/>
              </w:rPr>
            </w:pPr>
          </w:p>
        </w:tc>
      </w:tr>
      <w:tr w:rsidR="00FD48D4" w:rsidRPr="001A4710" w14:paraId="68723B37" w14:textId="77777777" w:rsidTr="2F2CE5B4">
        <w:trPr>
          <w:trHeight w:val="255"/>
        </w:trPr>
        <w:tc>
          <w:tcPr>
            <w:tcW w:w="567" w:type="dxa"/>
            <w:shd w:val="clear" w:color="auto" w:fill="auto"/>
            <w:noWrap/>
          </w:tcPr>
          <w:p w14:paraId="7563A2D0"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0A69F356"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Slovenska zveza sindikatov Alternativa </w:t>
            </w:r>
          </w:p>
        </w:tc>
        <w:tc>
          <w:tcPr>
            <w:tcW w:w="4894" w:type="dxa"/>
            <w:shd w:val="clear" w:color="auto" w:fill="auto"/>
            <w:noWrap/>
          </w:tcPr>
          <w:p w14:paraId="1DA8E1C4" w14:textId="77777777" w:rsidR="00FD48D4" w:rsidRPr="001A4710" w:rsidRDefault="00FD48D4" w:rsidP="000D3A59">
            <w:pPr>
              <w:spacing w:after="0" w:line="240" w:lineRule="auto"/>
              <w:jc w:val="both"/>
              <w:rPr>
                <w:rFonts w:ascii="Arial" w:hAnsi="Arial" w:cs="Arial"/>
                <w:color w:val="000000"/>
                <w:sz w:val="20"/>
                <w:szCs w:val="20"/>
              </w:rPr>
            </w:pPr>
            <w:r w:rsidRPr="001A4710">
              <w:rPr>
                <w:rFonts w:ascii="Arial" w:hAnsi="Arial" w:cs="Arial"/>
                <w:sz w:val="20"/>
                <w:szCs w:val="20"/>
                <w:lang w:eastAsia="sl-SI"/>
              </w:rPr>
              <w:t xml:space="preserve">Predlaga se ohranitev obstoječe ureditve postopnega dviga splošne olajšave in ohranitev avtomatičnega usklajevanja lestvice za odmero dohodnine in olajšav. </w:t>
            </w:r>
          </w:p>
        </w:tc>
        <w:tc>
          <w:tcPr>
            <w:tcW w:w="1553" w:type="dxa"/>
            <w:shd w:val="clear" w:color="auto" w:fill="auto"/>
            <w:noWrap/>
          </w:tcPr>
          <w:p w14:paraId="72E9E687"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23DD071"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Pojasnila pod točkama 5 in 6 te tabele.</w:t>
            </w:r>
          </w:p>
        </w:tc>
      </w:tr>
      <w:tr w:rsidR="00244C4E" w:rsidRPr="001A4710" w14:paraId="0A6895CA" w14:textId="77777777" w:rsidTr="00833C5D">
        <w:trPr>
          <w:trHeight w:val="825"/>
        </w:trPr>
        <w:tc>
          <w:tcPr>
            <w:tcW w:w="567" w:type="dxa"/>
            <w:vMerge w:val="restart"/>
            <w:shd w:val="clear" w:color="auto" w:fill="auto"/>
            <w:noWrap/>
          </w:tcPr>
          <w:p w14:paraId="0156A7B8"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p w14:paraId="746CDF2F"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val="restart"/>
          </w:tcPr>
          <w:p w14:paraId="0FBB07C3" w14:textId="77777777" w:rsidR="00FD48D4" w:rsidRPr="001A4710" w:rsidRDefault="00FD48D4" w:rsidP="000D3A59">
            <w:pPr>
              <w:spacing w:after="0" w:line="240" w:lineRule="auto"/>
              <w:rPr>
                <w:rFonts w:ascii="Arial" w:hAnsi="Arial" w:cs="Arial"/>
                <w:b/>
                <w:sz w:val="20"/>
                <w:szCs w:val="20"/>
                <w:lang w:eastAsia="sl-SI"/>
              </w:rPr>
            </w:pPr>
            <w:proofErr w:type="spellStart"/>
            <w:r w:rsidRPr="001A4710">
              <w:rPr>
                <w:rFonts w:ascii="Arial" w:hAnsi="Arial" w:cs="Arial"/>
                <w:b/>
                <w:sz w:val="20"/>
                <w:szCs w:val="20"/>
                <w:lang w:eastAsia="sl-SI"/>
              </w:rPr>
              <w:t>AmCham</w:t>
            </w:r>
            <w:proofErr w:type="spellEnd"/>
            <w:r w:rsidRPr="001A4710">
              <w:rPr>
                <w:rFonts w:ascii="Arial" w:hAnsi="Arial" w:cs="Arial"/>
                <w:b/>
                <w:sz w:val="20"/>
                <w:szCs w:val="20"/>
                <w:lang w:eastAsia="sl-SI"/>
              </w:rPr>
              <w:t xml:space="preserve"> Slovenija </w:t>
            </w:r>
          </w:p>
        </w:tc>
        <w:tc>
          <w:tcPr>
            <w:tcW w:w="4894" w:type="dxa"/>
            <w:shd w:val="clear" w:color="auto" w:fill="auto"/>
            <w:noWrap/>
          </w:tcPr>
          <w:p w14:paraId="1525824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Nasprotujejo nižanju splošne davčne olajšave, povečanju davčne stopnja v najvišjem dohodninskem razredu ter povečanju obdavčitve nagrade iz naslova poslovne uspešnosti</w:t>
            </w:r>
          </w:p>
        </w:tc>
        <w:tc>
          <w:tcPr>
            <w:tcW w:w="1553" w:type="dxa"/>
            <w:shd w:val="clear" w:color="auto" w:fill="auto"/>
            <w:noWrap/>
          </w:tcPr>
          <w:p w14:paraId="5B02DD37"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7ED6C83"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Pojasnila pod točkami 5, 6 in 10 te tabele.</w:t>
            </w:r>
          </w:p>
        </w:tc>
      </w:tr>
      <w:tr w:rsidR="00244C4E" w:rsidRPr="001A4710" w14:paraId="59D74CA3" w14:textId="77777777" w:rsidTr="2F2CE5B4">
        <w:trPr>
          <w:trHeight w:val="470"/>
        </w:trPr>
        <w:tc>
          <w:tcPr>
            <w:tcW w:w="567" w:type="dxa"/>
            <w:vMerge/>
            <w:shd w:val="clear" w:color="auto" w:fill="auto"/>
            <w:noWrap/>
          </w:tcPr>
          <w:p w14:paraId="694722B3"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tcPr>
          <w:p w14:paraId="690B0F55"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685815B4"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Predlagajo uvedbo socialno-razvojne kapice pri 2,5 kratniku povprečne plače (pri 4.600 EUR bruto). </w:t>
            </w:r>
          </w:p>
        </w:tc>
        <w:tc>
          <w:tcPr>
            <w:tcW w:w="1553" w:type="dxa"/>
            <w:shd w:val="clear" w:color="auto" w:fill="auto"/>
            <w:noWrap/>
          </w:tcPr>
          <w:p w14:paraId="164594D4"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066B34DA"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Pojasnila pod točko 24 te tabele.</w:t>
            </w:r>
          </w:p>
        </w:tc>
      </w:tr>
      <w:tr w:rsidR="00244C4E" w:rsidRPr="001A4710" w14:paraId="7D281F95" w14:textId="77777777" w:rsidTr="2F2CE5B4">
        <w:trPr>
          <w:trHeight w:val="223"/>
        </w:trPr>
        <w:tc>
          <w:tcPr>
            <w:tcW w:w="567" w:type="dxa"/>
            <w:vMerge/>
            <w:shd w:val="clear" w:color="auto" w:fill="auto"/>
            <w:noWrap/>
          </w:tcPr>
          <w:p w14:paraId="33A3E0F5"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tcPr>
          <w:p w14:paraId="30F9E561"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7DE193E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Nasprotovanje predlagani spremembi obdavčitve izplačane vrednosti delnic oziroma deležev v primeru odsvojitvi v okviru pridobivanja lastnih delnic oziroma deležev družb, saj se s tem zmanjšuje možnost </w:t>
            </w:r>
            <w:r w:rsidRPr="001A4710">
              <w:rPr>
                <w:rFonts w:ascii="Arial" w:hAnsi="Arial" w:cs="Arial"/>
                <w:sz w:val="20"/>
                <w:szCs w:val="20"/>
                <w:lang w:eastAsia="sl-SI"/>
              </w:rPr>
              <w:lastRenderedPageBreak/>
              <w:t>ohranjanja lastništva podjetij v rokah domačih lastnikov in zaposlenih, kar lahko na dolgi rok osiromaši narod, prav tako pa se ne izkoristi vseh multiplikativnih učinkov razvoja lokalnega okolja. Iz tega razloga se predlaga</w:t>
            </w:r>
            <w:r w:rsidRPr="001A4710">
              <w:rPr>
                <w:rFonts w:ascii="Arial" w:hAnsi="Arial" w:cs="Arial"/>
                <w:b/>
                <w:bCs/>
                <w:sz w:val="20"/>
                <w:szCs w:val="20"/>
                <w:lang w:eastAsia="sl-SI"/>
              </w:rPr>
              <w:t xml:space="preserve"> </w:t>
            </w:r>
            <w:r w:rsidRPr="001A4710">
              <w:rPr>
                <w:rFonts w:ascii="Arial" w:hAnsi="Arial" w:cs="Arial"/>
                <w:sz w:val="20"/>
                <w:szCs w:val="20"/>
                <w:lang w:eastAsia="sl-SI"/>
              </w:rPr>
              <w:t>obdavčitev prodaje lastnih deležev kot dividend le nad pragom 10 %, s čimer se povečuje priložnost za krepitev delavskega lastništva v Sloveniji.</w:t>
            </w:r>
          </w:p>
        </w:tc>
        <w:tc>
          <w:tcPr>
            <w:tcW w:w="1553" w:type="dxa"/>
            <w:shd w:val="clear" w:color="auto" w:fill="auto"/>
            <w:noWrap/>
          </w:tcPr>
          <w:p w14:paraId="51F4D532"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lastRenderedPageBreak/>
              <w:t>se ne upošteva</w:t>
            </w:r>
          </w:p>
        </w:tc>
        <w:tc>
          <w:tcPr>
            <w:tcW w:w="6101" w:type="dxa"/>
            <w:shd w:val="clear" w:color="auto" w:fill="auto"/>
            <w:noWrap/>
          </w:tcPr>
          <w:p w14:paraId="38A3C0CC"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 te tabele.</w:t>
            </w:r>
          </w:p>
        </w:tc>
      </w:tr>
      <w:tr w:rsidR="00244C4E" w:rsidRPr="001A4710" w14:paraId="33F4C0DC" w14:textId="77777777" w:rsidTr="2F2CE5B4">
        <w:trPr>
          <w:trHeight w:val="2075"/>
        </w:trPr>
        <w:tc>
          <w:tcPr>
            <w:tcW w:w="567" w:type="dxa"/>
            <w:vMerge/>
            <w:shd w:val="clear" w:color="auto" w:fill="auto"/>
            <w:noWrap/>
          </w:tcPr>
          <w:p w14:paraId="0750904B" w14:textId="77777777" w:rsidR="00FD48D4" w:rsidRPr="001A4710" w:rsidRDefault="00FD48D4" w:rsidP="000D3A59">
            <w:pPr>
              <w:spacing w:after="0" w:line="240" w:lineRule="auto"/>
              <w:jc w:val="center"/>
              <w:rPr>
                <w:rFonts w:ascii="Arial" w:eastAsia="Times New Roman" w:hAnsi="Arial" w:cs="Arial"/>
                <w:b/>
                <w:color w:val="000000"/>
                <w:sz w:val="20"/>
                <w:szCs w:val="20"/>
                <w:lang w:eastAsia="sl-SI"/>
              </w:rPr>
            </w:pPr>
          </w:p>
        </w:tc>
        <w:tc>
          <w:tcPr>
            <w:tcW w:w="2903" w:type="dxa"/>
            <w:vMerge/>
          </w:tcPr>
          <w:p w14:paraId="38BC35C8"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27681DC3"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Stanovanjska politika vpliva tako na obstoječe zaposlene brez stanovanj kot tudi na prihod talentov in potrebnih kadrov v Slovenijo. Predlagana sprememba vrnitev stopnje dohodnine na 25 % pomeni, da bo breme večje obdavčitve padlo na najemojemalce, kar bi pomenilo višje najemnine, stanovanja pa zato težje dostopna. Prav tako obstaja nevarnost, da se bo povečala t. i. siva ekonomija. Iz navedenih razlogov se predlaga ohranitev veljavne ureditve.</w:t>
            </w:r>
          </w:p>
        </w:tc>
        <w:tc>
          <w:tcPr>
            <w:tcW w:w="1553" w:type="dxa"/>
            <w:shd w:val="clear" w:color="auto" w:fill="auto"/>
            <w:noWrap/>
          </w:tcPr>
          <w:p w14:paraId="604A8F17"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2760499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17 te tabele.</w:t>
            </w:r>
          </w:p>
        </w:tc>
      </w:tr>
      <w:tr w:rsidR="00244C4E" w:rsidRPr="001A4710" w14:paraId="24D8AED2" w14:textId="77777777" w:rsidTr="00833C5D">
        <w:trPr>
          <w:trHeight w:val="255"/>
        </w:trPr>
        <w:tc>
          <w:tcPr>
            <w:tcW w:w="567" w:type="dxa"/>
            <w:vMerge w:val="restart"/>
            <w:shd w:val="clear" w:color="auto" w:fill="auto"/>
            <w:noWrap/>
          </w:tcPr>
          <w:p w14:paraId="4F9793EF"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val="restart"/>
          </w:tcPr>
          <w:p w14:paraId="051313C4"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Obrtno-podjetniška zbornica Slovenije (OZS) </w:t>
            </w:r>
          </w:p>
        </w:tc>
        <w:tc>
          <w:tcPr>
            <w:tcW w:w="4894" w:type="dxa"/>
            <w:shd w:val="clear" w:color="auto" w:fill="auto"/>
            <w:noWrap/>
          </w:tcPr>
          <w:p w14:paraId="47E9F4CF" w14:textId="77777777" w:rsidR="00FD48D4" w:rsidRPr="001A4710" w:rsidRDefault="00FD48D4" w:rsidP="000D3A59">
            <w:pPr>
              <w:spacing w:after="0" w:line="240" w:lineRule="auto"/>
              <w:jc w:val="both"/>
              <w:rPr>
                <w:rFonts w:ascii="Arial" w:hAnsi="Arial" w:cs="Arial"/>
                <w:sz w:val="20"/>
                <w:szCs w:val="20"/>
              </w:rPr>
            </w:pPr>
            <w:r w:rsidRPr="001A4710">
              <w:rPr>
                <w:rFonts w:ascii="Arial" w:hAnsi="Arial" w:cs="Arial"/>
                <w:sz w:val="20"/>
                <w:szCs w:val="20"/>
                <w:lang w:eastAsia="sl-SI"/>
              </w:rPr>
              <w:t>Nasprotovanje določitvi splošne olajšave v višini 5.000 EUR, odpravi postopnega zvišanja le-te v naslednjih letih in zvišanju davčne stopnje v petem dohodninskem razredu.</w:t>
            </w:r>
          </w:p>
        </w:tc>
        <w:tc>
          <w:tcPr>
            <w:tcW w:w="1553" w:type="dxa"/>
            <w:shd w:val="clear" w:color="auto" w:fill="auto"/>
            <w:noWrap/>
          </w:tcPr>
          <w:p w14:paraId="75618249"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38D02999"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Pojasnila pod točkami 5, 6 in 10 te tabele.</w:t>
            </w:r>
          </w:p>
        </w:tc>
      </w:tr>
      <w:tr w:rsidR="00244C4E" w:rsidRPr="001A4710" w14:paraId="57CA839B" w14:textId="77777777" w:rsidTr="2F2CE5B4">
        <w:trPr>
          <w:trHeight w:val="532"/>
        </w:trPr>
        <w:tc>
          <w:tcPr>
            <w:tcW w:w="567" w:type="dxa"/>
            <w:vMerge/>
            <w:shd w:val="clear" w:color="auto" w:fill="auto"/>
            <w:noWrap/>
          </w:tcPr>
          <w:p w14:paraId="27B778C5"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44A0E62C"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6BAB0032" w14:textId="77777777" w:rsidR="00FD48D4" w:rsidRPr="001A4710" w:rsidRDefault="00FD48D4" w:rsidP="000D3A59">
            <w:pPr>
              <w:spacing w:after="0" w:line="240" w:lineRule="auto"/>
              <w:jc w:val="both"/>
              <w:rPr>
                <w:rFonts w:ascii="Arial" w:hAnsi="Arial" w:cs="Arial"/>
                <w:i/>
                <w:iCs/>
                <w:sz w:val="20"/>
                <w:szCs w:val="20"/>
                <w:lang w:eastAsia="sl-SI"/>
              </w:rPr>
            </w:pPr>
            <w:r w:rsidRPr="001A4710">
              <w:rPr>
                <w:rFonts w:ascii="Arial" w:hAnsi="Arial" w:cs="Arial"/>
                <w:sz w:val="20"/>
                <w:szCs w:val="20"/>
                <w:lang w:eastAsia="sl-SI"/>
              </w:rPr>
              <w:t xml:space="preserve">Predlaga se, da se olajšava za mlade določi enotno v višini 1.000 EUR do dopolnjenega 29. leta starosti. </w:t>
            </w:r>
          </w:p>
        </w:tc>
        <w:tc>
          <w:tcPr>
            <w:tcW w:w="1553" w:type="dxa"/>
            <w:shd w:val="clear" w:color="auto" w:fill="auto"/>
            <w:noWrap/>
          </w:tcPr>
          <w:p w14:paraId="1A3372AE"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upošteva</w:t>
            </w:r>
          </w:p>
        </w:tc>
        <w:tc>
          <w:tcPr>
            <w:tcW w:w="6101" w:type="dxa"/>
            <w:shd w:val="clear" w:color="auto" w:fill="auto"/>
            <w:noWrap/>
          </w:tcPr>
          <w:p w14:paraId="42C3421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Predlog zakona sledi predlogu.</w:t>
            </w:r>
          </w:p>
        </w:tc>
      </w:tr>
      <w:tr w:rsidR="00244C4E" w:rsidRPr="001A4710" w14:paraId="2055613A" w14:textId="77777777" w:rsidTr="2F2CE5B4">
        <w:trPr>
          <w:trHeight w:val="932"/>
        </w:trPr>
        <w:tc>
          <w:tcPr>
            <w:tcW w:w="567" w:type="dxa"/>
            <w:vMerge/>
            <w:shd w:val="clear" w:color="auto" w:fill="auto"/>
            <w:noWrap/>
          </w:tcPr>
          <w:p w14:paraId="0F27ADB3"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003F5E15"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1A090BFF"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Nasprotovanje omejevanju nagrajevanja delavcev na dve izplačili letno ter odprave davčno ugodnejše obravnave plačila za poslovno uspešnost v višini povprečne plače delavca. </w:t>
            </w:r>
          </w:p>
        </w:tc>
        <w:tc>
          <w:tcPr>
            <w:tcW w:w="1553" w:type="dxa"/>
            <w:shd w:val="clear" w:color="auto" w:fill="auto"/>
            <w:noWrap/>
          </w:tcPr>
          <w:p w14:paraId="681DEA3C"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5EAFFBA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20. te tabele.</w:t>
            </w:r>
          </w:p>
        </w:tc>
      </w:tr>
      <w:tr w:rsidR="00244C4E" w:rsidRPr="001A4710" w14:paraId="75611874" w14:textId="77777777" w:rsidTr="2F2CE5B4">
        <w:trPr>
          <w:trHeight w:val="932"/>
        </w:trPr>
        <w:tc>
          <w:tcPr>
            <w:tcW w:w="567" w:type="dxa"/>
            <w:vMerge/>
            <w:shd w:val="clear" w:color="auto" w:fill="auto"/>
            <w:noWrap/>
          </w:tcPr>
          <w:p w14:paraId="067FACB7"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6B119642"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1CBE618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Nasprotovanje zvišanju davčne stopnje iz 15 % na 25 % obdavčitve dohodkov iz oddajanja premoženja v najem, saj bo le-to rezultiralo v nižjih prilivih v davčno blagajno in ponovnemu oddajanju nepremičnin na sivem trgu.</w:t>
            </w:r>
          </w:p>
        </w:tc>
        <w:tc>
          <w:tcPr>
            <w:tcW w:w="1553" w:type="dxa"/>
            <w:shd w:val="clear" w:color="auto" w:fill="auto"/>
            <w:noWrap/>
          </w:tcPr>
          <w:p w14:paraId="4EAF71B2"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3BA99FB8"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17 te tabele.</w:t>
            </w:r>
          </w:p>
        </w:tc>
      </w:tr>
      <w:tr w:rsidR="00244C4E" w:rsidRPr="001A4710" w14:paraId="47D93074" w14:textId="77777777" w:rsidTr="2F2CE5B4">
        <w:trPr>
          <w:trHeight w:val="3267"/>
        </w:trPr>
        <w:tc>
          <w:tcPr>
            <w:tcW w:w="567" w:type="dxa"/>
            <w:vMerge/>
            <w:shd w:val="clear" w:color="auto" w:fill="auto"/>
            <w:noWrap/>
          </w:tcPr>
          <w:p w14:paraId="28F40657"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34A3F62C"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1127C32A"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Nasprotovanje ponovni uvedbi obdavčevanja izplačanih vrednosti delnic ali deležev v primeru odsvojitve delnic ali deležev v okviru pridobivanja lastnih delnic ali deležev družbe, kot dividend, saj ta ni ustrezna in je po našem mnenju tudi sporna z ustavno-pravnega vidika. Prejudicirati oz. že z zakonom izhajati iz predpostavke, da vsaka prodaja delnic oz. deležev s strani družbenika družbi pomeni prikrito izplačilo dividende, ni dopustno. Gre za pravni posel, ki je izrecno dovoljen s področno zakonodajo (ZGD-1). Presoja, ali je zavezanec kršil davčne predpise, zaradi česar se prejeta kupnina za delež prekvalificira v prikrito izplačilo dividende (predvsem ob izostanku ekonomskih razlogov), pa naj ostane v pristojnosti davčnega organa za vsak konkreten primer.</w:t>
            </w:r>
          </w:p>
        </w:tc>
        <w:tc>
          <w:tcPr>
            <w:tcW w:w="1553" w:type="dxa"/>
            <w:shd w:val="clear" w:color="auto" w:fill="auto"/>
            <w:noWrap/>
          </w:tcPr>
          <w:p w14:paraId="3D76D92E"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3769906"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 te tabele.</w:t>
            </w:r>
          </w:p>
        </w:tc>
      </w:tr>
      <w:tr w:rsidR="00244C4E" w:rsidRPr="001A4710" w14:paraId="50776A90" w14:textId="77777777" w:rsidTr="2F2CE5B4">
        <w:trPr>
          <w:trHeight w:val="1631"/>
        </w:trPr>
        <w:tc>
          <w:tcPr>
            <w:tcW w:w="567" w:type="dxa"/>
            <w:vMerge/>
            <w:shd w:val="clear" w:color="auto" w:fill="auto"/>
            <w:noWrap/>
          </w:tcPr>
          <w:p w14:paraId="7224B199"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04BE2429"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0D7DE9D3" w14:textId="77777777" w:rsidR="00FD48D4" w:rsidRPr="001A4710" w:rsidRDefault="00FD48D4" w:rsidP="000D3A59">
            <w:pPr>
              <w:pStyle w:val="Telobesedila"/>
              <w:jc w:val="both"/>
              <w:rPr>
                <w:rFonts w:ascii="Arial" w:hAnsi="Arial" w:cs="Arial"/>
                <w:sz w:val="20"/>
                <w:szCs w:val="20"/>
              </w:rPr>
            </w:pPr>
            <w:r w:rsidRPr="001A4710">
              <w:rPr>
                <w:rFonts w:ascii="Arial" w:hAnsi="Arial" w:cs="Arial"/>
                <w:sz w:val="20"/>
                <w:szCs w:val="20"/>
              </w:rPr>
              <w:t xml:space="preserve">Nasprotovanje odpravi avtomatičnega usklajevanja lestvice za odmero dohodnine in olajšav. Prav tako uskladitev olajšav ne sme biti v pristojnosti vlade, temveč mora temeljiti na neodvisnih kazalnikih, to je na rasti cen življenjskih potrebščin. </w:t>
            </w:r>
          </w:p>
        </w:tc>
        <w:tc>
          <w:tcPr>
            <w:tcW w:w="1553" w:type="dxa"/>
            <w:shd w:val="clear" w:color="auto" w:fill="auto"/>
            <w:noWrap/>
          </w:tcPr>
          <w:p w14:paraId="32800E95"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75BC362E" w14:textId="7D07B488"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Pojasnilo delno po točko 6 te tabele. Predlagane spremembe na področju usklajevanja lestvice za odmero dohodnine in olajšav ne prinašajo pooblastila vladi za določitev višine uskladitev, ampak je ta pristojnost pridržana Državnemu zboru, ki sprejema zakon, ki ureja izvrševanje proračuna. </w:t>
            </w:r>
            <w:r w:rsidR="00E75302">
              <w:rPr>
                <w:rFonts w:ascii="Arial" w:hAnsi="Arial" w:cs="Arial"/>
                <w:sz w:val="20"/>
                <w:szCs w:val="20"/>
                <w:lang w:eastAsia="sl-SI"/>
              </w:rPr>
              <w:t>Vlada, ki predlaga</w:t>
            </w:r>
            <w:r w:rsidR="0063707A">
              <w:rPr>
                <w:rFonts w:ascii="Arial" w:hAnsi="Arial" w:cs="Arial"/>
                <w:sz w:val="20"/>
                <w:szCs w:val="20"/>
                <w:lang w:eastAsia="sl-SI"/>
              </w:rPr>
              <w:t xml:space="preserve"> Državnemu zboru  sprejem zakona, ki ureja izvrševanje proračuna,</w:t>
            </w:r>
            <w:r w:rsidR="00E75302">
              <w:rPr>
                <w:rFonts w:ascii="Arial" w:hAnsi="Arial" w:cs="Arial"/>
                <w:sz w:val="20"/>
                <w:szCs w:val="20"/>
                <w:lang w:eastAsia="sl-SI"/>
              </w:rPr>
              <w:t xml:space="preserve"> se mora pri oblikovanju predloga uskladitve posvetovati s socialnimi partnerji. </w:t>
            </w:r>
            <w:r w:rsidRPr="001A4710">
              <w:rPr>
                <w:rFonts w:ascii="Arial" w:hAnsi="Arial" w:cs="Arial"/>
                <w:sz w:val="20"/>
                <w:szCs w:val="20"/>
                <w:lang w:eastAsia="sl-SI"/>
              </w:rPr>
              <w:t xml:space="preserve">Minister, pristojen za finance nato na podlagi višine uskladitve, ki jo sprejme Državni zbor, samo objavi usklajene zneske s podzakonskim aktom. </w:t>
            </w:r>
          </w:p>
        </w:tc>
      </w:tr>
      <w:tr w:rsidR="00FD48D4" w:rsidRPr="001A4710" w14:paraId="72B3691A" w14:textId="77777777" w:rsidTr="2F2CE5B4">
        <w:trPr>
          <w:trHeight w:val="255"/>
        </w:trPr>
        <w:tc>
          <w:tcPr>
            <w:tcW w:w="567" w:type="dxa"/>
            <w:shd w:val="clear" w:color="auto" w:fill="auto"/>
            <w:noWrap/>
          </w:tcPr>
          <w:p w14:paraId="103FE6DD"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tc>
        <w:tc>
          <w:tcPr>
            <w:tcW w:w="2903" w:type="dxa"/>
          </w:tcPr>
          <w:p w14:paraId="7E8869DF"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GZS -Gospodarska zbornica Slovenije – Zbornica za poslovanje z nepremičninami, ZUN-Združenje upravnikov nepremičnin </w:t>
            </w:r>
          </w:p>
        </w:tc>
        <w:tc>
          <w:tcPr>
            <w:tcW w:w="4894" w:type="dxa"/>
            <w:shd w:val="clear" w:color="auto" w:fill="auto"/>
            <w:noWrap/>
          </w:tcPr>
          <w:p w14:paraId="52529C0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Nasprotovanje dvigu stopnje dohodnine od dohodkov iz oddajanja premoženja v najem s 15 % na 25 %. Neugodno davčno okolje je namreč eden od razlogov za veliko število praznih stanovanjskih nepremičnin, na drugi strani pa za množično izogibanje plačevanju davkov, bodisi z oddajanjem na črno bodisi s sklepanjem pogodb, ki ne odražajo dejanske višine najemnine. Za preprečevanje </w:t>
            </w:r>
            <w:proofErr w:type="spellStart"/>
            <w:r w:rsidRPr="001A4710">
              <w:rPr>
                <w:rFonts w:ascii="Arial" w:hAnsi="Arial" w:cs="Arial"/>
                <w:sz w:val="20"/>
                <w:szCs w:val="20"/>
                <w:lang w:eastAsia="sl-SI"/>
              </w:rPr>
              <w:t>t.i</w:t>
            </w:r>
            <w:proofErr w:type="spellEnd"/>
            <w:r w:rsidRPr="001A4710">
              <w:rPr>
                <w:rFonts w:ascii="Arial" w:hAnsi="Arial" w:cs="Arial"/>
                <w:sz w:val="20"/>
                <w:szCs w:val="20"/>
                <w:lang w:eastAsia="sl-SI"/>
              </w:rPr>
              <w:t>. črnega trga je nujen tudi strožji nadzor, saj je ta v sedanji situaciji povsem neučinkovit in lastnike dejansko motivira, da prihodkov iz tega naslova ne prijavljajo.</w:t>
            </w:r>
          </w:p>
          <w:p w14:paraId="46398B4B"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lastRenderedPageBreak/>
              <w:t xml:space="preserve">Prav tako z omenjenim ukrepom ne bo dosežen niti izrecno naveden cilj po zagotavljanju ustavnega načela enakosti. Pri oddajanju nepremičnin je namreč v praksi pogosto, da lastniki nepremičnine oddajajo v okviru opravljanja gospodarske dejavnosti, s čimer ti dohodki zapadejo pod bistveno nižje davčno breme (najbolj pogosto v višini 4% za </w:t>
            </w:r>
            <w:proofErr w:type="spellStart"/>
            <w:r w:rsidRPr="001A4710">
              <w:rPr>
                <w:rFonts w:ascii="Arial" w:hAnsi="Arial" w:cs="Arial"/>
                <w:sz w:val="20"/>
                <w:szCs w:val="20"/>
                <w:lang w:eastAsia="sl-SI"/>
              </w:rPr>
              <w:t>t.i</w:t>
            </w:r>
            <w:proofErr w:type="spellEnd"/>
            <w:r w:rsidRPr="001A4710">
              <w:rPr>
                <w:rFonts w:ascii="Arial" w:hAnsi="Arial" w:cs="Arial"/>
                <w:sz w:val="20"/>
                <w:szCs w:val="20"/>
                <w:lang w:eastAsia="sl-SI"/>
              </w:rPr>
              <w:t xml:space="preserve">. </w:t>
            </w:r>
            <w:proofErr w:type="spellStart"/>
            <w:r w:rsidRPr="001A4710">
              <w:rPr>
                <w:rFonts w:ascii="Arial" w:hAnsi="Arial" w:cs="Arial"/>
                <w:sz w:val="20"/>
                <w:szCs w:val="20"/>
                <w:lang w:eastAsia="sl-SI"/>
              </w:rPr>
              <w:t>normirance</w:t>
            </w:r>
            <w:proofErr w:type="spellEnd"/>
            <w:r w:rsidRPr="001A4710">
              <w:rPr>
                <w:rFonts w:ascii="Arial" w:hAnsi="Arial" w:cs="Arial"/>
                <w:sz w:val="20"/>
                <w:szCs w:val="20"/>
                <w:lang w:eastAsia="sl-SI"/>
              </w:rPr>
              <w:t>, ki nepremičnine oddajajo kot samostojni podjetniki posamezniki). Višjo davčno stopnjo, na podlagi Zakona o dohodnini, namreč v praksi običajno plačujejo le tisti, ki nepremičnin ne morejo ali nočejo oddajati v okviru opravljanja gospodarske dejavnosti.</w:t>
            </w:r>
          </w:p>
        </w:tc>
        <w:tc>
          <w:tcPr>
            <w:tcW w:w="1553" w:type="dxa"/>
            <w:shd w:val="clear" w:color="auto" w:fill="auto"/>
            <w:noWrap/>
          </w:tcPr>
          <w:p w14:paraId="28A19DA8"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lastRenderedPageBreak/>
              <w:t>se ne upošteva</w:t>
            </w:r>
          </w:p>
        </w:tc>
        <w:tc>
          <w:tcPr>
            <w:tcW w:w="6101" w:type="dxa"/>
            <w:shd w:val="clear" w:color="auto" w:fill="auto"/>
            <w:noWrap/>
          </w:tcPr>
          <w:p w14:paraId="5B29EE9A"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17 te tabele.</w:t>
            </w:r>
          </w:p>
        </w:tc>
      </w:tr>
      <w:tr w:rsidR="00FD48D4" w:rsidRPr="001A4710" w14:paraId="4D3A395C" w14:textId="77777777" w:rsidTr="2F2CE5B4">
        <w:trPr>
          <w:trHeight w:val="1384"/>
        </w:trPr>
        <w:tc>
          <w:tcPr>
            <w:tcW w:w="567" w:type="dxa"/>
            <w:shd w:val="clear" w:color="auto" w:fill="auto"/>
            <w:noWrap/>
          </w:tcPr>
          <w:p w14:paraId="67D3FE82"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tc>
        <w:tc>
          <w:tcPr>
            <w:tcW w:w="2903" w:type="dxa"/>
          </w:tcPr>
          <w:p w14:paraId="4AD7A900"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Trgovinska zbornica Slovenije </w:t>
            </w:r>
          </w:p>
        </w:tc>
        <w:tc>
          <w:tcPr>
            <w:tcW w:w="4894" w:type="dxa"/>
            <w:shd w:val="clear" w:color="auto" w:fill="auto"/>
            <w:noWrap/>
          </w:tcPr>
          <w:p w14:paraId="4E7B54CB"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Nasprotovanje predlogu zakona na področju splošne olajšave, dvigu davčne stopnje v zadnjem, 5. dohodninskem razredu, in spremembam na področju davčno ugodnejše obravnave izplačil za poslovno uspešnost (predlaga se ohranitev trenutno veljavnega sistema).</w:t>
            </w:r>
          </w:p>
        </w:tc>
        <w:tc>
          <w:tcPr>
            <w:tcW w:w="1553" w:type="dxa"/>
            <w:shd w:val="clear" w:color="auto" w:fill="auto"/>
            <w:noWrap/>
          </w:tcPr>
          <w:p w14:paraId="6C70C9E2"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3DFDD0A6"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Pojasnila pod točkami 5, 10 in 20 te tabele.</w:t>
            </w:r>
          </w:p>
        </w:tc>
      </w:tr>
      <w:tr w:rsidR="00244C4E" w:rsidRPr="001A4710" w14:paraId="61D33342" w14:textId="77777777" w:rsidTr="00833C5D">
        <w:trPr>
          <w:trHeight w:val="255"/>
        </w:trPr>
        <w:tc>
          <w:tcPr>
            <w:tcW w:w="567" w:type="dxa"/>
            <w:vMerge w:val="restart"/>
            <w:shd w:val="clear" w:color="auto" w:fill="auto"/>
            <w:noWrap/>
          </w:tcPr>
          <w:p w14:paraId="4DB75C15"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val="restart"/>
          </w:tcPr>
          <w:p w14:paraId="0E546D6B"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Zbornica davčnih svetovalcev Slovenije </w:t>
            </w:r>
          </w:p>
        </w:tc>
        <w:tc>
          <w:tcPr>
            <w:tcW w:w="4894" w:type="dxa"/>
            <w:shd w:val="clear" w:color="auto" w:fill="auto"/>
            <w:noWrap/>
          </w:tcPr>
          <w:p w14:paraId="57F668E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Predlagajo, da se ZDoh-2 spremeni izključno v delu, kjer velja ocena, da so bile predhodne spremembe pretirane zaradi morebitne vzdržnosti javnih financ. Vse ostale spremembe naj se pripravijo na podlagi temeljitih analiz in mednarodne primerjave.</w:t>
            </w:r>
          </w:p>
        </w:tc>
        <w:tc>
          <w:tcPr>
            <w:tcW w:w="1553" w:type="dxa"/>
            <w:shd w:val="clear" w:color="auto" w:fill="auto"/>
            <w:noWrap/>
          </w:tcPr>
          <w:p w14:paraId="23234740"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B713A38"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Predlog zakona glede rešitev, ki se primarno ne spreminjajo zaradi javnofinančne vzdržnosti, vsebuje rešitve, ki so pripravljene na podlagi zaznav v praksi, mednarodnih primerjav in so primarno namenjene zagotavljanju ustavnega načela enakosti pred zakonom in za preprečitev erozije davčne osnove.</w:t>
            </w:r>
          </w:p>
        </w:tc>
      </w:tr>
      <w:tr w:rsidR="00244C4E" w:rsidRPr="001A4710" w14:paraId="7509A16A" w14:textId="77777777" w:rsidTr="2F2CE5B4">
        <w:trPr>
          <w:trHeight w:val="690"/>
        </w:trPr>
        <w:tc>
          <w:tcPr>
            <w:tcW w:w="567" w:type="dxa"/>
            <w:vMerge/>
            <w:shd w:val="clear" w:color="auto" w:fill="auto"/>
            <w:noWrap/>
          </w:tcPr>
          <w:p w14:paraId="7E625EAA"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1ED68AFC"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279E9654"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Nasprotujejo predlogu spremembe obdavčitve izplačanih vrednosti delnic ali deležev v primeru odsvojitve delnic ali deležev v okviru pridobivanja lastnih delnic ali deležev družbe na način, kot se predlaga, saj ocenjujejo, da predlog ne izpolnjuje pogoja enakosti pred zakonom.</w:t>
            </w:r>
          </w:p>
        </w:tc>
        <w:tc>
          <w:tcPr>
            <w:tcW w:w="1553" w:type="dxa"/>
            <w:shd w:val="clear" w:color="auto" w:fill="auto"/>
            <w:noWrap/>
          </w:tcPr>
          <w:p w14:paraId="09F9D183" w14:textId="77777777" w:rsidR="00FD48D4" w:rsidRPr="001A4710" w:rsidRDefault="00FD48D4" w:rsidP="000D3A59">
            <w:pPr>
              <w:spacing w:after="0" w:line="240" w:lineRule="auto"/>
              <w:jc w:val="center"/>
              <w:rPr>
                <w:rStyle w:val="Pripombasklic"/>
                <w:rFonts w:ascii="Arial" w:hAnsi="Arial" w:cs="Arial"/>
                <w:sz w:val="20"/>
                <w:szCs w:val="20"/>
              </w:rPr>
            </w:pPr>
            <w:r w:rsidRPr="001A4710">
              <w:rPr>
                <w:rFonts w:ascii="Arial" w:hAnsi="Arial" w:cs="Arial"/>
                <w:sz w:val="20"/>
                <w:szCs w:val="20"/>
                <w:lang w:eastAsia="sl-SI"/>
              </w:rPr>
              <w:t>se ne upošteva</w:t>
            </w:r>
          </w:p>
        </w:tc>
        <w:tc>
          <w:tcPr>
            <w:tcW w:w="6101" w:type="dxa"/>
            <w:shd w:val="clear" w:color="auto" w:fill="auto"/>
            <w:noWrap/>
          </w:tcPr>
          <w:p w14:paraId="4FE73C85"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 te tabele.</w:t>
            </w:r>
          </w:p>
        </w:tc>
      </w:tr>
      <w:tr w:rsidR="00244C4E" w:rsidRPr="001A4710" w14:paraId="5AE4B2DC" w14:textId="77777777" w:rsidTr="00833C5D">
        <w:trPr>
          <w:trHeight w:val="255"/>
        </w:trPr>
        <w:tc>
          <w:tcPr>
            <w:tcW w:w="567" w:type="dxa"/>
            <w:vMerge w:val="restart"/>
            <w:shd w:val="clear" w:color="auto" w:fill="auto"/>
            <w:noWrap/>
          </w:tcPr>
          <w:p w14:paraId="0D825D51"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tc>
        <w:tc>
          <w:tcPr>
            <w:tcW w:w="2903" w:type="dxa"/>
            <w:vMerge w:val="restart"/>
          </w:tcPr>
          <w:p w14:paraId="5D429F00"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Klub Slovenskih podjetnikov </w:t>
            </w:r>
          </w:p>
        </w:tc>
        <w:tc>
          <w:tcPr>
            <w:tcW w:w="4894" w:type="dxa"/>
            <w:shd w:val="clear" w:color="auto" w:fill="auto"/>
            <w:noWrap/>
          </w:tcPr>
          <w:p w14:paraId="5FDAB424"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Predlagajo uvedbo razvojno-socialne kapice pri 2,5 kratniku povprečne bruto plače, torej pri 4.600 EUR bruto. </w:t>
            </w:r>
          </w:p>
        </w:tc>
        <w:tc>
          <w:tcPr>
            <w:tcW w:w="1553" w:type="dxa"/>
            <w:shd w:val="clear" w:color="auto" w:fill="auto"/>
            <w:noWrap/>
          </w:tcPr>
          <w:p w14:paraId="643DAD8E"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2D3810AE"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Pojasnila pod točko 24 te tabele.</w:t>
            </w:r>
          </w:p>
        </w:tc>
      </w:tr>
      <w:tr w:rsidR="00244C4E" w:rsidRPr="001A4710" w14:paraId="1681D962" w14:textId="77777777" w:rsidTr="2F2CE5B4">
        <w:trPr>
          <w:trHeight w:val="231"/>
        </w:trPr>
        <w:tc>
          <w:tcPr>
            <w:tcW w:w="567" w:type="dxa"/>
            <w:vMerge/>
            <w:shd w:val="clear" w:color="auto" w:fill="auto"/>
            <w:noWrap/>
          </w:tcPr>
          <w:p w14:paraId="12AE7EFC"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tc>
        <w:tc>
          <w:tcPr>
            <w:tcW w:w="2903" w:type="dxa"/>
            <w:vMerge/>
          </w:tcPr>
          <w:p w14:paraId="4B4A53F3"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7D837946"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Nasprotujejo spremembam na področju davčno ugodnejše obravnave izplačil za poslovno uspešnost in predlagajo, da se doda možnost izplačila nagrad zaposlenim iz dobička do višine 1/3 (nerazporejenega) čistega dobička, ki ga delodajalec ustvari v poslovnem </w:t>
            </w:r>
            <w:r w:rsidRPr="001A4710">
              <w:rPr>
                <w:rFonts w:ascii="Arial" w:hAnsi="Arial" w:cs="Arial"/>
                <w:sz w:val="20"/>
                <w:szCs w:val="20"/>
                <w:lang w:eastAsia="sl-SI"/>
              </w:rPr>
              <w:lastRenderedPageBreak/>
              <w:t>letu. Kriterij razdelitve med zaposlene je razmerje med letnimi plačami zaposlenih v preteklem poslovnem letu, do maksimalne višine največ trikratnika povprečne plače posameznega delavca v poslovnem letu. Davek, ki ga v tem primeru plača zaposleni, znaša 25 %. Kot varovalo pred nepredvidljivimi ekonomskimi okoliščinami ima delodajalec pravico, da se odloči za to izplačilo v roku enega leta po ugotovitvi dobička za preteklo poslovno leto. Obe zgoraj navedeni opciji za izplačilo delovne uspešnosti sta v prosti presoji delodajalca.</w:t>
            </w:r>
          </w:p>
        </w:tc>
        <w:tc>
          <w:tcPr>
            <w:tcW w:w="1553" w:type="dxa"/>
            <w:shd w:val="clear" w:color="auto" w:fill="auto"/>
            <w:noWrap/>
          </w:tcPr>
          <w:p w14:paraId="37D07721"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lastRenderedPageBreak/>
              <w:t>se ne upošteva</w:t>
            </w:r>
          </w:p>
        </w:tc>
        <w:tc>
          <w:tcPr>
            <w:tcW w:w="6101" w:type="dxa"/>
            <w:shd w:val="clear" w:color="auto" w:fill="auto"/>
            <w:noWrap/>
          </w:tcPr>
          <w:p w14:paraId="5376FAD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20 te tabele.</w:t>
            </w:r>
          </w:p>
        </w:tc>
      </w:tr>
      <w:tr w:rsidR="00244C4E" w:rsidRPr="001A4710" w14:paraId="50497EFD" w14:textId="77777777" w:rsidTr="2F2CE5B4">
        <w:trPr>
          <w:trHeight w:val="231"/>
        </w:trPr>
        <w:tc>
          <w:tcPr>
            <w:tcW w:w="567" w:type="dxa"/>
            <w:vMerge/>
            <w:shd w:val="clear" w:color="auto" w:fill="auto"/>
            <w:noWrap/>
          </w:tcPr>
          <w:p w14:paraId="0E7D3ED3"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tc>
        <w:tc>
          <w:tcPr>
            <w:tcW w:w="2903" w:type="dxa"/>
            <w:vMerge/>
          </w:tcPr>
          <w:p w14:paraId="75DFDD4C"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283992BD" w14:textId="77777777" w:rsidR="00FD48D4" w:rsidRPr="001A4710" w:rsidRDefault="00FD48D4" w:rsidP="000D3A59">
            <w:pPr>
              <w:pStyle w:val="Default"/>
              <w:jc w:val="both"/>
              <w:rPr>
                <w:rFonts w:ascii="Arial" w:hAnsi="Arial" w:cs="Arial"/>
                <w:sz w:val="20"/>
                <w:szCs w:val="20"/>
                <w:lang w:eastAsia="sl-SI"/>
              </w:rPr>
            </w:pPr>
            <w:r w:rsidRPr="001A4710">
              <w:rPr>
                <w:rFonts w:ascii="Arial" w:hAnsi="Arial" w:cs="Arial"/>
                <w:sz w:val="20"/>
                <w:szCs w:val="20"/>
              </w:rPr>
              <w:t>Nasprotovanje predlogu spremembe obdavčitve izplačanih vrednosti delnic ali deležev v primeru odsvojitve delnic ali deležev v okviru pridobivanja lastnih delnic ali deležev družbe, saj sprememba družbenike, ki odsvojijo lastne poslovne deleže po tržnih cenah, postavlja v neenak položaj napram družbenikom, ki poslovne deleže odsvojijo po tržnih cenah tretjim osebam. Predlagajo, da se ohrani trenutno stanje. Podredno predlagajo, da se možnost prodaje lastnih deležev omeji na 30 %, kar bi bilo nad 30 % pa bi se obravnavalo kot dividenda. Prav tako predlagajo, da v primeru, ko imetnik deleža le tega pridobi iz lastnega deleža, pri prodaji nazaj v lastni delež obdavčen kot davek na kapitalski dobiček, s čimer bi se spodbujalo solastništva zaposlenih.</w:t>
            </w:r>
          </w:p>
        </w:tc>
        <w:tc>
          <w:tcPr>
            <w:tcW w:w="1553" w:type="dxa"/>
            <w:shd w:val="clear" w:color="auto" w:fill="auto"/>
            <w:noWrap/>
          </w:tcPr>
          <w:p w14:paraId="43BF2651"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72DBA1C"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 te tabele.</w:t>
            </w:r>
          </w:p>
        </w:tc>
      </w:tr>
      <w:tr w:rsidR="00244C4E" w:rsidRPr="001A4710" w14:paraId="43690677" w14:textId="77777777" w:rsidTr="2F2CE5B4">
        <w:trPr>
          <w:trHeight w:val="231"/>
        </w:trPr>
        <w:tc>
          <w:tcPr>
            <w:tcW w:w="567" w:type="dxa"/>
            <w:vMerge/>
            <w:shd w:val="clear" w:color="auto" w:fill="auto"/>
            <w:noWrap/>
          </w:tcPr>
          <w:p w14:paraId="2E99A04E"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tc>
        <w:tc>
          <w:tcPr>
            <w:tcW w:w="2903" w:type="dxa"/>
            <w:vMerge/>
          </w:tcPr>
          <w:p w14:paraId="56A7957E"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761EF5B6"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Nasprotujejo spremembam na področju splošne olajšave in dvigu davčne stopnje v 5. dohodninskem razredu.</w:t>
            </w:r>
          </w:p>
        </w:tc>
        <w:tc>
          <w:tcPr>
            <w:tcW w:w="1553" w:type="dxa"/>
            <w:shd w:val="clear" w:color="auto" w:fill="auto"/>
            <w:noWrap/>
          </w:tcPr>
          <w:p w14:paraId="1CC53963"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55373E9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Pojasnila pod točkama 5 in 10 te tabele.</w:t>
            </w:r>
          </w:p>
        </w:tc>
      </w:tr>
      <w:tr w:rsidR="00244C4E" w:rsidRPr="001A4710" w14:paraId="39A2EF6A" w14:textId="77777777" w:rsidTr="2F2CE5B4">
        <w:trPr>
          <w:trHeight w:val="231"/>
        </w:trPr>
        <w:tc>
          <w:tcPr>
            <w:tcW w:w="567" w:type="dxa"/>
            <w:vMerge/>
            <w:shd w:val="clear" w:color="auto" w:fill="auto"/>
            <w:noWrap/>
          </w:tcPr>
          <w:p w14:paraId="2F29D461"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tc>
        <w:tc>
          <w:tcPr>
            <w:tcW w:w="2903" w:type="dxa"/>
            <w:vMerge/>
          </w:tcPr>
          <w:p w14:paraId="72C55C36"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186F6EB1"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Nasprotujejo dvigu davčne stopnje za dohodke iz oddajanja premoženja v najem iz 15 % na 25 %</w:t>
            </w:r>
          </w:p>
        </w:tc>
        <w:tc>
          <w:tcPr>
            <w:tcW w:w="1553" w:type="dxa"/>
            <w:shd w:val="clear" w:color="auto" w:fill="auto"/>
            <w:noWrap/>
          </w:tcPr>
          <w:p w14:paraId="05F64582"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53D55176"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17 te tabele.</w:t>
            </w:r>
          </w:p>
        </w:tc>
      </w:tr>
      <w:tr w:rsidR="00244C4E" w:rsidRPr="001A4710" w14:paraId="1953AC90" w14:textId="77777777" w:rsidTr="00833C5D">
        <w:trPr>
          <w:trHeight w:val="1623"/>
        </w:trPr>
        <w:tc>
          <w:tcPr>
            <w:tcW w:w="567" w:type="dxa"/>
            <w:vMerge w:val="restart"/>
            <w:shd w:val="clear" w:color="auto" w:fill="auto"/>
            <w:noWrap/>
          </w:tcPr>
          <w:p w14:paraId="3AC77D4A"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p w14:paraId="121E5A2D" w14:textId="77777777" w:rsidR="00FD48D4" w:rsidRPr="001A4710" w:rsidRDefault="00FD48D4" w:rsidP="000D3A59">
            <w:pPr>
              <w:spacing w:after="0" w:line="240" w:lineRule="auto"/>
              <w:rPr>
                <w:rFonts w:ascii="Arial" w:eastAsia="Times New Roman" w:hAnsi="Arial" w:cs="Arial"/>
                <w:b/>
                <w:color w:val="000000"/>
                <w:sz w:val="20"/>
                <w:szCs w:val="20"/>
                <w:lang w:eastAsia="sl-SI"/>
              </w:rPr>
            </w:pPr>
          </w:p>
        </w:tc>
        <w:tc>
          <w:tcPr>
            <w:tcW w:w="2903" w:type="dxa"/>
            <w:vMerge w:val="restart"/>
          </w:tcPr>
          <w:p w14:paraId="31761F1B"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Nacionalni svet invalidskih organizacij Slovenije </w:t>
            </w:r>
          </w:p>
        </w:tc>
        <w:tc>
          <w:tcPr>
            <w:tcW w:w="4894" w:type="dxa"/>
            <w:shd w:val="clear" w:color="auto" w:fill="auto"/>
            <w:noWrap/>
          </w:tcPr>
          <w:p w14:paraId="1B940F79"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Predlagajo, da se spremeni 3. alineja 21. člena ZDoh-2: </w:t>
            </w:r>
          </w:p>
          <w:p w14:paraId="1A22656F"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bCs/>
                <w:sz w:val="20"/>
                <w:szCs w:val="20"/>
              </w:rPr>
              <w:t>»</w:t>
            </w:r>
            <w:r w:rsidRPr="001A4710">
              <w:rPr>
                <w:rFonts w:ascii="Arial" w:hAnsi="Arial" w:cs="Arial"/>
                <w:bCs/>
                <w:i/>
                <w:iCs/>
                <w:sz w:val="20"/>
                <w:szCs w:val="20"/>
              </w:rPr>
              <w:t>3. dohodkov po zakonu o vojnih invalidih in nadomestila za invalidnost po zakonu o socialnem vključevanju invalidov.</w:t>
            </w:r>
            <w:r w:rsidRPr="001A4710">
              <w:rPr>
                <w:rFonts w:ascii="Arial" w:hAnsi="Arial" w:cs="Arial"/>
                <w:bCs/>
                <w:sz w:val="20"/>
                <w:szCs w:val="20"/>
              </w:rPr>
              <w:t>«</w:t>
            </w:r>
            <w:r w:rsidRPr="001A4710">
              <w:rPr>
                <w:rFonts w:ascii="Arial" w:hAnsi="Arial" w:cs="Arial"/>
                <w:sz w:val="20"/>
                <w:szCs w:val="20"/>
                <w:lang w:eastAsia="sl-SI"/>
              </w:rPr>
              <w:t xml:space="preserve"> </w:t>
            </w:r>
          </w:p>
          <w:p w14:paraId="349A09F3"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Predlagajo še, da se črta 6. točka tretjega odstavka 105. člena in 7. točka 107. člena ZDoh-2.</w:t>
            </w:r>
          </w:p>
        </w:tc>
        <w:tc>
          <w:tcPr>
            <w:tcW w:w="1553" w:type="dxa"/>
            <w:shd w:val="clear" w:color="auto" w:fill="auto"/>
            <w:noWrap/>
          </w:tcPr>
          <w:p w14:paraId="147C72B7"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05499C3E"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Predlog ni vsebina tokratnih predlaganih sprememb ZDoh-2, zahteva pa podoben pregled pravic in davčne obravnave posameznih dohodkov ob upoštevanju namena zakonodajalca, medtem ko potreba po hitri spremembi ZDoh-2 zaradi zagotavljanja javnofinančne stabilnosti tega pregleda trenutno ne omogoča.</w:t>
            </w:r>
          </w:p>
          <w:p w14:paraId="73FBAE1E" w14:textId="77777777" w:rsidR="00FD48D4" w:rsidRPr="001A4710" w:rsidRDefault="00FD48D4" w:rsidP="000D3A59">
            <w:pPr>
              <w:spacing w:after="0" w:line="240" w:lineRule="auto"/>
              <w:jc w:val="both"/>
              <w:rPr>
                <w:rFonts w:ascii="Arial" w:hAnsi="Arial" w:cs="Arial"/>
                <w:sz w:val="20"/>
                <w:szCs w:val="20"/>
                <w:lang w:eastAsia="sl-SI"/>
              </w:rPr>
            </w:pPr>
          </w:p>
        </w:tc>
      </w:tr>
      <w:tr w:rsidR="00244C4E" w:rsidRPr="001A4710" w14:paraId="6FCF8915" w14:textId="77777777" w:rsidTr="2F2CE5B4">
        <w:trPr>
          <w:trHeight w:val="1499"/>
        </w:trPr>
        <w:tc>
          <w:tcPr>
            <w:tcW w:w="567" w:type="dxa"/>
            <w:vMerge/>
            <w:shd w:val="clear" w:color="auto" w:fill="auto"/>
            <w:noWrap/>
          </w:tcPr>
          <w:p w14:paraId="3A0FC6F0"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tc>
        <w:tc>
          <w:tcPr>
            <w:tcW w:w="2903" w:type="dxa"/>
            <w:vMerge/>
          </w:tcPr>
          <w:p w14:paraId="0A4FA8A0"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2D04C7E2" w14:textId="77777777" w:rsidR="00FD48D4" w:rsidRPr="001A4710" w:rsidRDefault="00FD48D4" w:rsidP="000D3A59">
            <w:pPr>
              <w:spacing w:after="0" w:line="240" w:lineRule="auto"/>
              <w:jc w:val="both"/>
              <w:rPr>
                <w:rFonts w:ascii="Arial" w:hAnsi="Arial" w:cs="Arial"/>
                <w:sz w:val="20"/>
                <w:szCs w:val="20"/>
              </w:rPr>
            </w:pPr>
            <w:r w:rsidRPr="001A4710">
              <w:rPr>
                <w:rFonts w:ascii="Arial" w:hAnsi="Arial" w:cs="Arial"/>
                <w:sz w:val="20"/>
                <w:szCs w:val="20"/>
                <w:lang w:eastAsia="sl-SI"/>
              </w:rPr>
              <w:t xml:space="preserve">Predlagajo, da se 112. člen dopolni z novim drugim odstavkom: </w:t>
            </w:r>
            <w:r w:rsidRPr="001A4710">
              <w:rPr>
                <w:rFonts w:ascii="Arial" w:hAnsi="Arial" w:cs="Arial"/>
                <w:i/>
                <w:iCs/>
                <w:sz w:val="20"/>
                <w:szCs w:val="20"/>
              </w:rPr>
              <w:t xml:space="preserve">Rezidentu invalidu z najmanj 70% telesno okvaro se prizna zmanjšanje letne davčne osnove v višini 7.500 € letno. Pravica po tem odstavku se izključuje s pravico po 1. odstavku tega člena. </w:t>
            </w:r>
            <w:r w:rsidRPr="001A4710">
              <w:rPr>
                <w:rFonts w:ascii="Arial" w:hAnsi="Arial" w:cs="Arial"/>
                <w:sz w:val="20"/>
                <w:szCs w:val="20"/>
              </w:rPr>
              <w:t>Dodatno predlagajo ustrezno dopolnitev 118. člena.</w:t>
            </w:r>
          </w:p>
        </w:tc>
        <w:tc>
          <w:tcPr>
            <w:tcW w:w="1553" w:type="dxa"/>
            <w:shd w:val="clear" w:color="auto" w:fill="auto"/>
            <w:noWrap/>
          </w:tcPr>
          <w:p w14:paraId="2B750710"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439CC21C"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zgoraj v tej točki.</w:t>
            </w:r>
          </w:p>
        </w:tc>
      </w:tr>
      <w:tr w:rsidR="00244C4E" w:rsidRPr="001A4710" w14:paraId="747C2C3D" w14:textId="77777777" w:rsidTr="2F2CE5B4">
        <w:trPr>
          <w:trHeight w:val="1848"/>
        </w:trPr>
        <w:tc>
          <w:tcPr>
            <w:tcW w:w="567" w:type="dxa"/>
            <w:vMerge/>
            <w:shd w:val="clear" w:color="auto" w:fill="auto"/>
            <w:noWrap/>
          </w:tcPr>
          <w:p w14:paraId="07CACD77"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tc>
        <w:tc>
          <w:tcPr>
            <w:tcW w:w="2903" w:type="dxa"/>
            <w:vMerge/>
          </w:tcPr>
          <w:p w14:paraId="0A38F1D3"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45A1E9D8" w14:textId="77777777" w:rsidR="00FD48D4" w:rsidRPr="001A4710" w:rsidRDefault="00FD48D4" w:rsidP="000D3A59">
            <w:pPr>
              <w:spacing w:after="0" w:line="240" w:lineRule="auto"/>
              <w:jc w:val="both"/>
              <w:rPr>
                <w:rFonts w:ascii="Arial" w:hAnsi="Arial" w:cs="Arial"/>
                <w:i/>
                <w:iCs/>
                <w:sz w:val="20"/>
                <w:szCs w:val="20"/>
              </w:rPr>
            </w:pPr>
            <w:r w:rsidRPr="001A4710">
              <w:rPr>
                <w:rFonts w:ascii="Arial" w:hAnsi="Arial" w:cs="Arial"/>
                <w:sz w:val="20"/>
                <w:szCs w:val="20"/>
              </w:rPr>
              <w:t xml:space="preserve">Predlagajo, da se v 112. člen doda nov deveti odstavek: </w:t>
            </w:r>
            <w:r w:rsidRPr="001A4710">
              <w:rPr>
                <w:rFonts w:ascii="Arial" w:hAnsi="Arial" w:cs="Arial"/>
                <w:i/>
                <w:iCs/>
                <w:sz w:val="20"/>
                <w:szCs w:val="20"/>
              </w:rPr>
              <w:t>Rezidentu invalidu oziroma rezidentu, ki vzdržuje družinskega člana invalida ali vzdrževanega otroka, ki potrebuje posebno nego in varstvo, se prizna zmanjšanje letne davčne osnove v višini zneska za nakup medicinsko tehničnega pripomočka, tehnično komunikacijskega pripomočka ali v višini stroškov nujne adaptacije bivalnega okolja za invalida.</w:t>
            </w:r>
          </w:p>
        </w:tc>
        <w:tc>
          <w:tcPr>
            <w:tcW w:w="1553" w:type="dxa"/>
            <w:shd w:val="clear" w:color="auto" w:fill="auto"/>
            <w:noWrap/>
          </w:tcPr>
          <w:p w14:paraId="6F94D42A"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3B9C4126"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zgoraj v tej točki.</w:t>
            </w:r>
          </w:p>
        </w:tc>
      </w:tr>
      <w:tr w:rsidR="00244C4E" w:rsidRPr="001A4710" w14:paraId="0A2DC9F5" w14:textId="77777777" w:rsidTr="00833C5D">
        <w:trPr>
          <w:trHeight w:val="448"/>
        </w:trPr>
        <w:tc>
          <w:tcPr>
            <w:tcW w:w="567" w:type="dxa"/>
            <w:vMerge w:val="restart"/>
            <w:shd w:val="clear" w:color="auto" w:fill="auto"/>
            <w:noWrap/>
          </w:tcPr>
          <w:p w14:paraId="5ABA0D68"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tc>
        <w:tc>
          <w:tcPr>
            <w:tcW w:w="2903" w:type="dxa"/>
            <w:vMerge w:val="restart"/>
          </w:tcPr>
          <w:p w14:paraId="2EA12254"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Center za informiranje, sodelovanje in razvoj nevladnih organizacij (CNVOS) </w:t>
            </w:r>
          </w:p>
        </w:tc>
        <w:tc>
          <w:tcPr>
            <w:tcW w:w="4894" w:type="dxa"/>
            <w:shd w:val="clear" w:color="auto" w:fill="auto"/>
            <w:noWrap/>
          </w:tcPr>
          <w:p w14:paraId="76AEB84B" w14:textId="77777777" w:rsidR="00FD48D4" w:rsidRPr="009251B4" w:rsidRDefault="00FD48D4" w:rsidP="000D3A59">
            <w:pPr>
              <w:spacing w:after="0" w:line="240" w:lineRule="auto"/>
              <w:jc w:val="both"/>
              <w:rPr>
                <w:rFonts w:ascii="Arial" w:hAnsi="Arial" w:cs="Arial"/>
                <w:sz w:val="20"/>
                <w:szCs w:val="20"/>
                <w:lang w:eastAsia="sl-SI"/>
              </w:rPr>
            </w:pPr>
            <w:r w:rsidRPr="009251B4">
              <w:rPr>
                <w:rFonts w:ascii="Arial" w:hAnsi="Arial" w:cs="Arial"/>
                <w:sz w:val="20"/>
                <w:szCs w:val="20"/>
                <w:lang w:eastAsia="sl-SI"/>
              </w:rPr>
              <w:t>Predlagajo odpravo sprememb zadnje novele ZDoh-2:</w:t>
            </w:r>
          </w:p>
          <w:p w14:paraId="27E115E6" w14:textId="77777777" w:rsidR="00FD48D4" w:rsidRPr="009251B4" w:rsidRDefault="00FD48D4" w:rsidP="000D3A59">
            <w:pPr>
              <w:spacing w:after="0" w:line="240" w:lineRule="auto"/>
              <w:jc w:val="both"/>
              <w:rPr>
                <w:rFonts w:ascii="Arial" w:hAnsi="Arial" w:cs="Arial"/>
                <w:sz w:val="20"/>
                <w:szCs w:val="20"/>
                <w:lang w:eastAsia="sl-SI"/>
              </w:rPr>
            </w:pPr>
            <w:r w:rsidRPr="009251B4">
              <w:rPr>
                <w:rFonts w:ascii="Arial" w:hAnsi="Arial" w:cs="Arial"/>
                <w:sz w:val="20"/>
                <w:szCs w:val="20"/>
                <w:lang w:eastAsia="sl-SI"/>
              </w:rPr>
              <w:t>- Zmanjšanje davka na kapital za 2,5 odstotni točki;</w:t>
            </w:r>
          </w:p>
        </w:tc>
        <w:tc>
          <w:tcPr>
            <w:tcW w:w="1553" w:type="dxa"/>
            <w:shd w:val="clear" w:color="auto" w:fill="auto"/>
            <w:noWrap/>
          </w:tcPr>
          <w:p w14:paraId="0111EDC1" w14:textId="77777777" w:rsidR="00FD48D4" w:rsidRPr="009251B4" w:rsidRDefault="00FD48D4" w:rsidP="000D3A59">
            <w:pPr>
              <w:spacing w:after="0" w:line="240" w:lineRule="auto"/>
              <w:jc w:val="center"/>
              <w:rPr>
                <w:rFonts w:ascii="Arial" w:hAnsi="Arial" w:cs="Arial"/>
                <w:sz w:val="20"/>
                <w:szCs w:val="20"/>
                <w:lang w:eastAsia="sl-SI"/>
              </w:rPr>
            </w:pPr>
            <w:r w:rsidRPr="009251B4">
              <w:rPr>
                <w:rFonts w:ascii="Arial" w:hAnsi="Arial" w:cs="Arial"/>
                <w:sz w:val="20"/>
                <w:szCs w:val="20"/>
                <w:lang w:eastAsia="sl-SI"/>
              </w:rPr>
              <w:t>se ne upošteva</w:t>
            </w:r>
          </w:p>
        </w:tc>
        <w:tc>
          <w:tcPr>
            <w:tcW w:w="6101" w:type="dxa"/>
            <w:shd w:val="clear" w:color="auto" w:fill="auto"/>
          </w:tcPr>
          <w:p w14:paraId="27DAA662" w14:textId="77777777" w:rsidR="00FD48D4" w:rsidRPr="009251B4" w:rsidRDefault="00FD48D4" w:rsidP="000D3A59">
            <w:pPr>
              <w:spacing w:after="0" w:line="240" w:lineRule="auto"/>
              <w:jc w:val="both"/>
              <w:rPr>
                <w:rFonts w:ascii="Arial" w:hAnsi="Arial" w:cs="Arial"/>
                <w:sz w:val="20"/>
                <w:szCs w:val="20"/>
                <w:lang w:eastAsia="sl-SI"/>
              </w:rPr>
            </w:pPr>
            <w:r w:rsidRPr="009251B4">
              <w:rPr>
                <w:rFonts w:ascii="Arial" w:hAnsi="Arial" w:cs="Arial"/>
                <w:sz w:val="20"/>
                <w:szCs w:val="20"/>
                <w:lang w:eastAsia="sl-SI"/>
              </w:rPr>
              <w:t xml:space="preserve">Pojasnilo pod točko 22 te tabele. </w:t>
            </w:r>
          </w:p>
        </w:tc>
      </w:tr>
      <w:tr w:rsidR="00244C4E" w:rsidRPr="001A4710" w14:paraId="41C7E49E" w14:textId="77777777" w:rsidTr="2F2CE5B4">
        <w:trPr>
          <w:trHeight w:val="209"/>
        </w:trPr>
        <w:tc>
          <w:tcPr>
            <w:tcW w:w="567" w:type="dxa"/>
            <w:vMerge/>
            <w:shd w:val="clear" w:color="auto" w:fill="auto"/>
            <w:noWrap/>
          </w:tcPr>
          <w:p w14:paraId="19A97E81"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tc>
        <w:tc>
          <w:tcPr>
            <w:tcW w:w="2903" w:type="dxa"/>
            <w:vMerge/>
          </w:tcPr>
          <w:p w14:paraId="1666E96E" w14:textId="77777777" w:rsidR="00FD48D4" w:rsidRPr="001A4710" w:rsidDel="007D0AA2"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196C124D" w14:textId="77777777" w:rsidR="00F740E4" w:rsidRPr="009251B4" w:rsidRDefault="00F740E4" w:rsidP="00F740E4">
            <w:pPr>
              <w:spacing w:after="0" w:line="240" w:lineRule="auto"/>
              <w:jc w:val="both"/>
              <w:rPr>
                <w:rFonts w:ascii="Arial" w:hAnsi="Arial" w:cs="Arial"/>
                <w:sz w:val="20"/>
                <w:szCs w:val="20"/>
                <w:lang w:eastAsia="sl-SI"/>
              </w:rPr>
            </w:pPr>
            <w:r w:rsidRPr="009251B4">
              <w:rPr>
                <w:rFonts w:ascii="Arial" w:hAnsi="Arial" w:cs="Arial"/>
                <w:sz w:val="20"/>
                <w:szCs w:val="20"/>
                <w:lang w:eastAsia="sl-SI"/>
              </w:rPr>
              <w:t>Predlagajo odpravo sprememb zadnje novele ZDoh-2:</w:t>
            </w:r>
          </w:p>
          <w:p w14:paraId="0515D288" w14:textId="3CA7CFB6" w:rsidR="00FD48D4" w:rsidRPr="009251B4" w:rsidRDefault="00FD48D4" w:rsidP="000D3A59">
            <w:pPr>
              <w:spacing w:after="0" w:line="240" w:lineRule="auto"/>
              <w:jc w:val="both"/>
              <w:rPr>
                <w:rFonts w:ascii="Arial" w:hAnsi="Arial" w:cs="Arial"/>
                <w:sz w:val="20"/>
                <w:szCs w:val="20"/>
                <w:lang w:eastAsia="sl-SI"/>
              </w:rPr>
            </w:pPr>
            <w:r w:rsidRPr="009251B4">
              <w:rPr>
                <w:rFonts w:ascii="Arial" w:hAnsi="Arial" w:cs="Arial"/>
                <w:sz w:val="20"/>
                <w:szCs w:val="20"/>
                <w:lang w:eastAsia="sl-SI"/>
              </w:rPr>
              <w:t>- Možnost, da se zavezanci odločijo za davčno ugodnejšo obdavčitev kapitala v okviru dohodnine</w:t>
            </w:r>
            <w:r w:rsidR="00F740E4" w:rsidRPr="009251B4">
              <w:rPr>
                <w:rFonts w:ascii="Arial" w:hAnsi="Arial" w:cs="Arial"/>
                <w:sz w:val="20"/>
                <w:szCs w:val="20"/>
                <w:lang w:eastAsia="sl-SI"/>
              </w:rPr>
              <w:t>.</w:t>
            </w:r>
          </w:p>
        </w:tc>
        <w:tc>
          <w:tcPr>
            <w:tcW w:w="1553" w:type="dxa"/>
            <w:shd w:val="clear" w:color="auto" w:fill="auto"/>
            <w:noWrap/>
          </w:tcPr>
          <w:p w14:paraId="313A51A9" w14:textId="59FB722A" w:rsidR="00FD48D4" w:rsidRPr="009251B4" w:rsidRDefault="00FD48D4" w:rsidP="000D3A59">
            <w:pPr>
              <w:spacing w:after="0" w:line="240" w:lineRule="auto"/>
              <w:jc w:val="center"/>
              <w:rPr>
                <w:rFonts w:ascii="Arial" w:hAnsi="Arial" w:cs="Arial"/>
                <w:sz w:val="20"/>
                <w:szCs w:val="20"/>
                <w:lang w:eastAsia="sl-SI"/>
              </w:rPr>
            </w:pPr>
            <w:r w:rsidRPr="009251B4">
              <w:rPr>
                <w:rFonts w:ascii="Arial" w:hAnsi="Arial" w:cs="Arial"/>
                <w:sz w:val="20"/>
                <w:szCs w:val="20"/>
                <w:lang w:eastAsia="sl-SI"/>
              </w:rPr>
              <w:t>se upošteva</w:t>
            </w:r>
          </w:p>
        </w:tc>
        <w:tc>
          <w:tcPr>
            <w:tcW w:w="6101" w:type="dxa"/>
            <w:shd w:val="clear" w:color="auto" w:fill="auto"/>
          </w:tcPr>
          <w:p w14:paraId="255B7C9A" w14:textId="2807D916" w:rsidR="00FD48D4" w:rsidRPr="009251B4" w:rsidRDefault="00FD48D4" w:rsidP="000D3A59">
            <w:pPr>
              <w:spacing w:after="0" w:line="240" w:lineRule="auto"/>
              <w:jc w:val="both"/>
              <w:rPr>
                <w:rFonts w:ascii="Arial" w:hAnsi="Arial" w:cs="Arial"/>
                <w:sz w:val="20"/>
                <w:szCs w:val="20"/>
                <w:lang w:eastAsia="sl-SI"/>
              </w:rPr>
            </w:pPr>
            <w:r w:rsidRPr="009251B4">
              <w:rPr>
                <w:rFonts w:ascii="Arial" w:hAnsi="Arial" w:cs="Arial"/>
                <w:sz w:val="20"/>
                <w:szCs w:val="20"/>
                <w:lang w:eastAsia="sl-SI"/>
              </w:rPr>
              <w:t>Z novelo ZDoh-2Z je bila s 1. 1. 2022 uvedena možnost, da se rezidenti lahko odločijo za vštevanje davčnih osnov od dohodkov iz kapitala in dohodkov iz oddajanja premoženja v najem v letno davčno osnovo ter sintetično obdavčitev po progresivni davčni lestvici in z možnostjo upoštevanja davčnih olajšav. Zaradi zasledovanja pravičnejše obravnave zavezancev s podobnimi dohodki in enostavnosti sistema, se predlaga, da se navedena možnost izbire s 1. 1. 2023 odpravi.</w:t>
            </w:r>
          </w:p>
        </w:tc>
      </w:tr>
      <w:tr w:rsidR="00244C4E" w:rsidRPr="001A4710" w14:paraId="2F04458F" w14:textId="77777777" w:rsidTr="2F2CE5B4">
        <w:trPr>
          <w:trHeight w:val="446"/>
        </w:trPr>
        <w:tc>
          <w:tcPr>
            <w:tcW w:w="567" w:type="dxa"/>
            <w:vMerge/>
            <w:shd w:val="clear" w:color="auto" w:fill="auto"/>
            <w:noWrap/>
          </w:tcPr>
          <w:p w14:paraId="2C9A5A3A"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tc>
        <w:tc>
          <w:tcPr>
            <w:tcW w:w="2903" w:type="dxa"/>
            <w:vMerge/>
          </w:tcPr>
          <w:p w14:paraId="3884368B" w14:textId="77777777" w:rsidR="00FD48D4" w:rsidRPr="001A4710" w:rsidDel="007D0AA2"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432D334F"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Predlagajo odpravo davčno ugodnejše obravnave uporabe električnih vozil v privatne namene.</w:t>
            </w:r>
          </w:p>
        </w:tc>
        <w:tc>
          <w:tcPr>
            <w:tcW w:w="1553" w:type="dxa"/>
            <w:shd w:val="clear" w:color="auto" w:fill="auto"/>
            <w:noWrap/>
          </w:tcPr>
          <w:p w14:paraId="38163C1C"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tcPr>
          <w:p w14:paraId="480CD2EA"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22 te tabele.</w:t>
            </w:r>
          </w:p>
        </w:tc>
      </w:tr>
      <w:tr w:rsidR="00FD48D4" w:rsidRPr="001A4710" w14:paraId="6BA445CF" w14:textId="77777777" w:rsidTr="2F2CE5B4">
        <w:trPr>
          <w:trHeight w:val="255"/>
        </w:trPr>
        <w:tc>
          <w:tcPr>
            <w:tcW w:w="567" w:type="dxa"/>
            <w:shd w:val="clear" w:color="auto" w:fill="auto"/>
            <w:noWrap/>
          </w:tcPr>
          <w:p w14:paraId="51ED3DAA"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p w14:paraId="15637DE0" w14:textId="77777777" w:rsidR="00FD48D4" w:rsidRPr="001A4710" w:rsidRDefault="00FD48D4" w:rsidP="000D3A59">
            <w:pPr>
              <w:pStyle w:val="Odstavekseznama"/>
              <w:ind w:left="340"/>
              <w:rPr>
                <w:rFonts w:ascii="Arial" w:hAnsi="Arial" w:cs="Arial"/>
                <w:b/>
                <w:color w:val="000000"/>
                <w:sz w:val="20"/>
                <w:szCs w:val="20"/>
              </w:rPr>
            </w:pPr>
          </w:p>
        </w:tc>
        <w:tc>
          <w:tcPr>
            <w:tcW w:w="2903" w:type="dxa"/>
          </w:tcPr>
          <w:p w14:paraId="24E0A90F"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Zveza reprezentativnih sindikatov Slovenije</w:t>
            </w:r>
          </w:p>
        </w:tc>
        <w:tc>
          <w:tcPr>
            <w:tcW w:w="4894" w:type="dxa"/>
            <w:shd w:val="clear" w:color="auto" w:fill="auto"/>
            <w:noWrap/>
          </w:tcPr>
          <w:p w14:paraId="59C25E25"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Opozarjajo na nekonsistentnost med 13. točko 44. člena ZDoh-2 (v davčno osnovo iz del. razmerja se ne všteva regres za letni dopust … do višine 100% </w:t>
            </w:r>
            <w:r w:rsidRPr="001A4710">
              <w:rPr>
                <w:rFonts w:ascii="Arial" w:hAnsi="Arial" w:cs="Arial"/>
                <w:sz w:val="20"/>
                <w:szCs w:val="20"/>
                <w:lang w:eastAsia="sl-SI"/>
              </w:rPr>
              <w:lastRenderedPageBreak/>
              <w:t xml:space="preserve">povprečne mesečne plače zaposlenih v RS) in šestim odstavkom 109. člena ZDoh-2 (v letno davčno osnovo od regresa za letni dopust šteje vsota tega dohodka, ki presega 100% povprečne letne plače v RS, preračunane na mesec…). </w:t>
            </w:r>
          </w:p>
          <w:p w14:paraId="10A2860A"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Zaradi navedenega prihaja do situacij, ko delodajalec izplača regres skladno s 13. točko 44. člena ZDoh-2, ki pa se nato v delu, skladno s šestim odstavkom 109. člena ZDoh-2 všteva v davčno osnovo. </w:t>
            </w:r>
          </w:p>
        </w:tc>
        <w:tc>
          <w:tcPr>
            <w:tcW w:w="1553" w:type="dxa"/>
            <w:shd w:val="clear" w:color="auto" w:fill="auto"/>
            <w:noWrap/>
          </w:tcPr>
          <w:p w14:paraId="45FCE3E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lastRenderedPageBreak/>
              <w:t>se ne upošteva</w:t>
            </w:r>
          </w:p>
        </w:tc>
        <w:tc>
          <w:tcPr>
            <w:tcW w:w="6101" w:type="dxa"/>
            <w:shd w:val="clear" w:color="auto" w:fill="auto"/>
            <w:noWrap/>
          </w:tcPr>
          <w:p w14:paraId="11BF1C10"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Z določbo v 109. členu se na letni ravni zagotavlja ustavno načelo enakosti pred zakonom. V skladu z 12. točko prvega odstavka 44. člena ZDoh-2 se namreč ugodnejša davčna obravnava dohodkov iz </w:t>
            </w:r>
            <w:r w:rsidRPr="001A4710">
              <w:rPr>
                <w:rFonts w:ascii="Arial" w:hAnsi="Arial" w:cs="Arial"/>
                <w:sz w:val="20"/>
                <w:szCs w:val="20"/>
                <w:lang w:eastAsia="sl-SI"/>
              </w:rPr>
              <w:lastRenderedPageBreak/>
              <w:t>naslova dela plače za poslovno uspešnost zagotavlja pri vsakem delodajalcu posebej. S sedmim odstavkom 109. člena ZDoh-2 se na letni ravni zagotavlja, da so vsi zavezanci na letni ravni upravičeni do izvzema iz davčne osnove na podlagi enake skupne vsote teh dohodkov. S tako rešitvijo so v enakem davčnem položaju delavci, ki imajo enega delodajalca kot tisti, ki imajo več delodajalcev, kot tudi delavci, ne glede na to, v katerem mesecu v davčnem letu so prejeli poslovno uspešnost ali regres. Taka rešitev je potrebna tudi zato, ker zaradi zakonodaje s področja varovanja osebnih podatkov ni mogoče zahtevati usklajevanja delodajalcev glede skupne višine izplačil dela plače za poslovno uspešnost ali regresa za letni dopust za posameznega delavca, ki ima pri več delodajalcih sklenjeno pogodbo o zaposlitvi za krajši delovni čas ali pogodbo o zaposlitvi za dopolnilno delo.</w:t>
            </w:r>
          </w:p>
        </w:tc>
      </w:tr>
      <w:tr w:rsidR="00FD48D4" w:rsidRPr="001A4710" w14:paraId="77F6DB99" w14:textId="77777777" w:rsidTr="2F2CE5B4">
        <w:trPr>
          <w:trHeight w:val="255"/>
        </w:trPr>
        <w:tc>
          <w:tcPr>
            <w:tcW w:w="567" w:type="dxa"/>
            <w:shd w:val="clear" w:color="auto" w:fill="auto"/>
            <w:noWrap/>
          </w:tcPr>
          <w:p w14:paraId="181718A7" w14:textId="77777777" w:rsidR="00FD48D4" w:rsidRPr="001A4710" w:rsidRDefault="00FD48D4" w:rsidP="00FD48D4">
            <w:pPr>
              <w:pStyle w:val="Odstavekseznama"/>
              <w:numPr>
                <w:ilvl w:val="0"/>
                <w:numId w:val="35"/>
              </w:numPr>
              <w:contextualSpacing/>
              <w:jc w:val="center"/>
              <w:rPr>
                <w:rFonts w:ascii="Arial" w:hAnsi="Arial" w:cs="Arial"/>
                <w:b/>
                <w:color w:val="000000"/>
                <w:sz w:val="20"/>
                <w:szCs w:val="20"/>
              </w:rPr>
            </w:pPr>
          </w:p>
          <w:p w14:paraId="49197B49" w14:textId="77777777" w:rsidR="00FD48D4" w:rsidRPr="001A4710" w:rsidRDefault="00FD48D4" w:rsidP="000D3A59">
            <w:pPr>
              <w:pStyle w:val="Odstavekseznama"/>
              <w:ind w:left="340"/>
              <w:rPr>
                <w:rFonts w:ascii="Arial" w:hAnsi="Arial" w:cs="Arial"/>
                <w:b/>
                <w:color w:val="000000"/>
                <w:sz w:val="20"/>
                <w:szCs w:val="20"/>
              </w:rPr>
            </w:pPr>
          </w:p>
        </w:tc>
        <w:tc>
          <w:tcPr>
            <w:tcW w:w="2903" w:type="dxa"/>
          </w:tcPr>
          <w:p w14:paraId="719B7755"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 xml:space="preserve">Zveza slepih in slabovidnih Slovenije </w:t>
            </w:r>
          </w:p>
          <w:p w14:paraId="743DF395" w14:textId="77777777" w:rsidR="00FD48D4" w:rsidRPr="001A4710" w:rsidRDefault="00FD48D4" w:rsidP="000D3A59">
            <w:pPr>
              <w:spacing w:after="0" w:line="240" w:lineRule="auto"/>
              <w:rPr>
                <w:rFonts w:ascii="Arial" w:hAnsi="Arial" w:cs="Arial"/>
                <w:b/>
                <w:sz w:val="20"/>
                <w:szCs w:val="20"/>
                <w:lang w:eastAsia="sl-SI"/>
              </w:rPr>
            </w:pPr>
          </w:p>
          <w:p w14:paraId="07B69724"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02D0E4DF"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 se odprtje prvega odstavka 112. člena ZDoh-2, na način, da se rezidentu, invalidu z </w:t>
            </w:r>
            <w:r w:rsidRPr="00F740E4">
              <w:rPr>
                <w:rFonts w:ascii="Arial" w:hAnsi="Arial" w:cs="Arial"/>
                <w:sz w:val="20"/>
                <w:szCs w:val="20"/>
                <w:lang w:eastAsia="sl-SI"/>
              </w:rPr>
              <w:t>90% telesno okvaro prizna zmanjšanje letne davčne osnove v višini seštevka povprečne mesečne plače v letu, ki je osnova za izračun dohodnine, če mu je bila priznana pravica do tuje nege in pomoči, na podlagi</w:t>
            </w:r>
            <w:r w:rsidRPr="001A4710">
              <w:rPr>
                <w:rFonts w:ascii="Arial" w:hAnsi="Arial" w:cs="Arial"/>
                <w:sz w:val="20"/>
                <w:szCs w:val="20"/>
                <w:lang w:eastAsia="sl-SI"/>
              </w:rPr>
              <w:t xml:space="preserve"> odločbe ZPIZ, CSD ali upravnega organa, pristojnega za varstvo borcev in vojaških invalidov.</w:t>
            </w:r>
          </w:p>
          <w:p w14:paraId="22E8F99C" w14:textId="77777777" w:rsidR="00FD48D4" w:rsidRPr="001A4710" w:rsidRDefault="00FD48D4" w:rsidP="000D3A59">
            <w:pPr>
              <w:pStyle w:val="Odstavek"/>
              <w:spacing w:before="0"/>
              <w:ind w:firstLine="0"/>
              <w:rPr>
                <w:sz w:val="20"/>
                <w:szCs w:val="20"/>
              </w:rPr>
            </w:pPr>
            <w:r w:rsidRPr="001A4710">
              <w:rPr>
                <w:i/>
                <w:iCs/>
                <w:w w:val="102"/>
                <w:sz w:val="20"/>
                <w:szCs w:val="20"/>
              </w:rPr>
              <w:t>(1) Rezidentu, invalidu z 90% telesno okvaro, se prizna zmanjšanje letne davčne osnove v višini seštevka povprečne neto mesečne plače v letu, ki je osnova za izračun dohodnine, če mu je bila priznana pravica do tuje nege in pomoči, na podlagi odločbe Zavoda za pokojninsko in invalidsko zavarovanje Slovenije, centra za socialno delo ali upravnega organa, pristojnega za varstvo borcev in vojaških invalidov.</w:t>
            </w:r>
          </w:p>
        </w:tc>
        <w:tc>
          <w:tcPr>
            <w:tcW w:w="1553" w:type="dxa"/>
            <w:shd w:val="clear" w:color="auto" w:fill="auto"/>
            <w:noWrap/>
          </w:tcPr>
          <w:p w14:paraId="5EBC8ACC"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02259CA3"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38 te tabele.</w:t>
            </w:r>
          </w:p>
        </w:tc>
      </w:tr>
      <w:tr w:rsidR="00FD48D4" w:rsidRPr="001A4710" w14:paraId="0725C0B0" w14:textId="77777777" w:rsidTr="2F2CE5B4">
        <w:trPr>
          <w:trHeight w:val="255"/>
        </w:trPr>
        <w:tc>
          <w:tcPr>
            <w:tcW w:w="567" w:type="dxa"/>
            <w:shd w:val="clear" w:color="auto" w:fill="auto"/>
            <w:noWrap/>
          </w:tcPr>
          <w:p w14:paraId="54537A3D"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21855818"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FIABCI Slovenija - Slovensko nepremičninsko združenje</w:t>
            </w:r>
          </w:p>
        </w:tc>
        <w:tc>
          <w:tcPr>
            <w:tcW w:w="4894" w:type="dxa"/>
            <w:shd w:val="clear" w:color="auto" w:fill="auto"/>
            <w:noWrap/>
          </w:tcPr>
          <w:p w14:paraId="139153B5"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Nasprotujejo dvigu obdavčitve nepremičnin iz 15% na 25%, saj bodo učinki nižji od predvidenih, če se te spremembe ne podpre še z drugimi ukrepi in aktivnostmi. </w:t>
            </w:r>
          </w:p>
          <w:p w14:paraId="49450911" w14:textId="77777777" w:rsidR="00FD48D4" w:rsidRPr="001A4710" w:rsidRDefault="00FD48D4" w:rsidP="000D3A59">
            <w:pPr>
              <w:spacing w:after="0" w:line="240" w:lineRule="auto"/>
              <w:jc w:val="both"/>
              <w:rPr>
                <w:rFonts w:ascii="Arial" w:hAnsi="Arial" w:cs="Arial"/>
                <w:sz w:val="20"/>
                <w:szCs w:val="20"/>
                <w:lang w:eastAsia="sl-SI"/>
              </w:rPr>
            </w:pPr>
          </w:p>
          <w:p w14:paraId="7879A17F"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lastRenderedPageBreak/>
              <w:t xml:space="preserve">Menijo, da bi bilo primerneje, da se kot davčna osnova upošteva minimalna tržna najemnina, ne glede na dejansko prijavljeno najemnino, pri čemer bi se ta predpisala po posameznih občinah. </w:t>
            </w:r>
          </w:p>
          <w:p w14:paraId="6D357A8C" w14:textId="77777777" w:rsidR="00FD48D4" w:rsidRPr="001A4710" w:rsidRDefault="00FD48D4" w:rsidP="000D3A59">
            <w:pPr>
              <w:spacing w:after="0" w:line="240" w:lineRule="auto"/>
              <w:jc w:val="both"/>
              <w:rPr>
                <w:rFonts w:ascii="Arial" w:hAnsi="Arial" w:cs="Arial"/>
                <w:sz w:val="20"/>
                <w:szCs w:val="20"/>
                <w:lang w:eastAsia="sl-SI"/>
              </w:rPr>
            </w:pPr>
          </w:p>
          <w:p w14:paraId="37AB3EFA"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Predlagajo, da MF prouči pristope in zakonodajne določbe obdavčitve oddajanja stanovanj v najem v okviru javne najemne službe v primerljivih okoljih. Nadalje predlagajo, da se uredi obdavčitev oddajanja stanovanj v javni najem, in sicer, da se prizna najmanj 50 % davčna olajšava. </w:t>
            </w:r>
          </w:p>
        </w:tc>
        <w:tc>
          <w:tcPr>
            <w:tcW w:w="1553" w:type="dxa"/>
            <w:shd w:val="clear" w:color="auto" w:fill="auto"/>
            <w:noWrap/>
          </w:tcPr>
          <w:p w14:paraId="3F9BC8DF"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lastRenderedPageBreak/>
              <w:t>se ne upošteva</w:t>
            </w:r>
          </w:p>
        </w:tc>
        <w:tc>
          <w:tcPr>
            <w:tcW w:w="6101" w:type="dxa"/>
            <w:shd w:val="clear" w:color="auto" w:fill="auto"/>
            <w:noWrap/>
          </w:tcPr>
          <w:p w14:paraId="5675FADC"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17 te tabele.</w:t>
            </w:r>
          </w:p>
        </w:tc>
      </w:tr>
      <w:tr w:rsidR="00244C4E" w:rsidRPr="001A4710" w14:paraId="5DB6E58F" w14:textId="77777777" w:rsidTr="00833C5D">
        <w:trPr>
          <w:trHeight w:val="958"/>
        </w:trPr>
        <w:tc>
          <w:tcPr>
            <w:tcW w:w="567" w:type="dxa"/>
            <w:vMerge w:val="restart"/>
            <w:shd w:val="clear" w:color="auto" w:fill="auto"/>
            <w:noWrap/>
          </w:tcPr>
          <w:p w14:paraId="4E5DCF97"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val="restart"/>
          </w:tcPr>
          <w:p w14:paraId="7FF1C1C6"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Davčno svetovalna zbornica Slovenije</w:t>
            </w:r>
          </w:p>
        </w:tc>
        <w:tc>
          <w:tcPr>
            <w:tcW w:w="4894" w:type="dxa"/>
            <w:shd w:val="clear" w:color="auto" w:fill="auto"/>
            <w:noWrap/>
          </w:tcPr>
          <w:p w14:paraId="78A3B4AC"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Ne strinjajo se, da se pri plačilu za poslovno uspešnost ne upošteva povprečna plača delavca, če je to za njega ugodneje. Predlagajo, da v veljavi ostane obstoječi tekst sedmega odstavka 109. člena ZDoh-2.</w:t>
            </w:r>
          </w:p>
        </w:tc>
        <w:tc>
          <w:tcPr>
            <w:tcW w:w="1553" w:type="dxa"/>
            <w:shd w:val="clear" w:color="auto" w:fill="auto"/>
            <w:noWrap/>
          </w:tcPr>
          <w:p w14:paraId="3B57327B"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B38663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20 te tabele.</w:t>
            </w:r>
          </w:p>
        </w:tc>
      </w:tr>
      <w:tr w:rsidR="00244C4E" w:rsidRPr="001A4710" w14:paraId="23E3E4C1" w14:textId="77777777" w:rsidTr="2F2CE5B4">
        <w:trPr>
          <w:trHeight w:val="952"/>
        </w:trPr>
        <w:tc>
          <w:tcPr>
            <w:tcW w:w="567" w:type="dxa"/>
            <w:vMerge/>
            <w:shd w:val="clear" w:color="auto" w:fill="auto"/>
            <w:noWrap/>
          </w:tcPr>
          <w:p w14:paraId="4C919004"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074EC6F8"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7433BF94" w14:textId="77777777" w:rsidR="00FD48D4" w:rsidRPr="001A4710" w:rsidRDefault="00FD48D4" w:rsidP="000D3A59">
            <w:pPr>
              <w:spacing w:after="0" w:line="240" w:lineRule="auto"/>
              <w:jc w:val="both"/>
              <w:rPr>
                <w:rFonts w:ascii="Arial" w:hAnsi="Arial" w:cs="Arial"/>
                <w:b/>
                <w:bCs/>
                <w:sz w:val="20"/>
                <w:szCs w:val="20"/>
                <w:lang w:eastAsia="sl-SI"/>
              </w:rPr>
            </w:pPr>
            <w:r w:rsidRPr="001A4710">
              <w:rPr>
                <w:rFonts w:ascii="Arial" w:hAnsi="Arial" w:cs="Arial"/>
                <w:sz w:val="20"/>
                <w:szCs w:val="20"/>
                <w:lang w:eastAsia="sl-SI"/>
              </w:rPr>
              <w:t xml:space="preserve">Menijo, da gre pri predlogu spremembe obdavčitve izplačanih vrednosti delnic ali deležev v primeru odsvojitve delnic ali deležev v okviru pridobivanja lastnih delnic ali deležev družbe za nepotrebno spremembo, ki je v nasprotju z ZGD-1. Predlagajo, da se razmisli o dvostopenjski rešitvi: možnost prodaje lastnih deležev se omeji na 10%, kolikor lahko znaša % lastnih delnic pri </w:t>
            </w:r>
            <w:proofErr w:type="spellStart"/>
            <w:r w:rsidRPr="001A4710">
              <w:rPr>
                <w:rFonts w:ascii="Arial" w:hAnsi="Arial" w:cs="Arial"/>
                <w:sz w:val="20"/>
                <w:szCs w:val="20"/>
                <w:lang w:eastAsia="sl-SI"/>
              </w:rPr>
              <w:t>d.d</w:t>
            </w:r>
            <w:proofErr w:type="spellEnd"/>
            <w:r w:rsidRPr="001A4710">
              <w:rPr>
                <w:rFonts w:ascii="Arial" w:hAnsi="Arial" w:cs="Arial"/>
                <w:sz w:val="20"/>
                <w:szCs w:val="20"/>
                <w:lang w:eastAsia="sl-SI"/>
              </w:rPr>
              <w:t xml:space="preserve">., vse nad 10% pa bi se štelo kot dividenda. </w:t>
            </w:r>
          </w:p>
        </w:tc>
        <w:tc>
          <w:tcPr>
            <w:tcW w:w="1553" w:type="dxa"/>
            <w:shd w:val="clear" w:color="auto" w:fill="auto"/>
            <w:noWrap/>
          </w:tcPr>
          <w:p w14:paraId="00498668"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1FB5FE2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 te tabele.</w:t>
            </w:r>
          </w:p>
        </w:tc>
      </w:tr>
      <w:tr w:rsidR="00244C4E" w:rsidRPr="001A4710" w14:paraId="147F26C9" w14:textId="77777777" w:rsidTr="2F2CE5B4">
        <w:trPr>
          <w:trHeight w:val="738"/>
        </w:trPr>
        <w:tc>
          <w:tcPr>
            <w:tcW w:w="567" w:type="dxa"/>
            <w:vMerge/>
            <w:shd w:val="clear" w:color="auto" w:fill="auto"/>
            <w:noWrap/>
          </w:tcPr>
          <w:p w14:paraId="78CB8605"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32E159B7"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0A3B8A8A" w14:textId="77777777" w:rsidR="00FD48D4" w:rsidRPr="001A4710" w:rsidRDefault="00FD48D4" w:rsidP="000D3A59">
            <w:pPr>
              <w:spacing w:after="0" w:line="240" w:lineRule="auto"/>
              <w:jc w:val="both"/>
              <w:rPr>
                <w:rFonts w:ascii="Arial" w:hAnsi="Arial" w:cs="Arial"/>
                <w:b/>
                <w:bCs/>
                <w:sz w:val="20"/>
                <w:szCs w:val="20"/>
                <w:lang w:eastAsia="sl-SI"/>
              </w:rPr>
            </w:pPr>
            <w:r w:rsidRPr="001A4710">
              <w:rPr>
                <w:rFonts w:ascii="Arial" w:hAnsi="Arial" w:cs="Arial"/>
                <w:sz w:val="20"/>
                <w:szCs w:val="20"/>
                <w:lang w:eastAsia="sl-SI"/>
              </w:rPr>
              <w:t>Menijo, da ni potrebe po znižanju splošne davčne olajšave. Predlagajo, da ostane usklajevanje višine splošne dohodninske olajšave do 7.500 EUR.</w:t>
            </w:r>
          </w:p>
        </w:tc>
        <w:tc>
          <w:tcPr>
            <w:tcW w:w="1553" w:type="dxa"/>
            <w:shd w:val="clear" w:color="auto" w:fill="auto"/>
            <w:noWrap/>
          </w:tcPr>
          <w:p w14:paraId="293E876E"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5EDE62BF" w14:textId="77777777" w:rsidR="00FD48D4" w:rsidRPr="001A4710" w:rsidRDefault="00FD48D4" w:rsidP="000D3A59">
            <w:pPr>
              <w:spacing w:after="0" w:line="240" w:lineRule="auto"/>
              <w:jc w:val="both"/>
              <w:rPr>
                <w:rFonts w:ascii="Arial" w:hAnsi="Arial" w:cs="Arial"/>
                <w:b/>
                <w:sz w:val="20"/>
                <w:szCs w:val="20"/>
                <w:lang w:eastAsia="sl-SI"/>
              </w:rPr>
            </w:pPr>
            <w:r w:rsidRPr="001A4710">
              <w:rPr>
                <w:rFonts w:ascii="Arial" w:hAnsi="Arial" w:cs="Arial"/>
                <w:sz w:val="20"/>
                <w:szCs w:val="20"/>
                <w:lang w:eastAsia="sl-SI"/>
              </w:rPr>
              <w:t>Pojasnilo pod točko 5 te tabele.</w:t>
            </w:r>
          </w:p>
        </w:tc>
      </w:tr>
      <w:tr w:rsidR="00244C4E" w:rsidRPr="001A4710" w14:paraId="23C3515F" w14:textId="77777777" w:rsidTr="2F2CE5B4">
        <w:trPr>
          <w:trHeight w:val="952"/>
        </w:trPr>
        <w:tc>
          <w:tcPr>
            <w:tcW w:w="567" w:type="dxa"/>
            <w:vMerge/>
            <w:shd w:val="clear" w:color="auto" w:fill="auto"/>
            <w:noWrap/>
          </w:tcPr>
          <w:p w14:paraId="6CFFA7FC"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26DC6CE1"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7149B0CD"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Menijo, da ni utemeljenega razloga za zviševanje dohodninske stopnje v najvišjem razredu. Če predlagatelj namerava uvesti 50% davčno stopnjo, naj uvede nov dohodninski razred (nad 150.000 EUR). </w:t>
            </w:r>
          </w:p>
        </w:tc>
        <w:tc>
          <w:tcPr>
            <w:tcW w:w="1553" w:type="dxa"/>
            <w:shd w:val="clear" w:color="auto" w:fill="auto"/>
            <w:noWrap/>
          </w:tcPr>
          <w:p w14:paraId="3310AA1A"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215A6437"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10 te tabele.</w:t>
            </w:r>
          </w:p>
        </w:tc>
      </w:tr>
      <w:tr w:rsidR="00244C4E" w:rsidRPr="001A4710" w14:paraId="1600393C" w14:textId="77777777" w:rsidTr="2F2CE5B4">
        <w:trPr>
          <w:trHeight w:val="952"/>
        </w:trPr>
        <w:tc>
          <w:tcPr>
            <w:tcW w:w="567" w:type="dxa"/>
            <w:vMerge/>
            <w:shd w:val="clear" w:color="auto" w:fill="auto"/>
            <w:noWrap/>
          </w:tcPr>
          <w:p w14:paraId="1715769E"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vMerge/>
          </w:tcPr>
          <w:p w14:paraId="2D743B5B" w14:textId="77777777" w:rsidR="00FD48D4" w:rsidRPr="001A4710" w:rsidRDefault="00FD48D4" w:rsidP="000D3A59">
            <w:pPr>
              <w:spacing w:after="0" w:line="240" w:lineRule="auto"/>
              <w:rPr>
                <w:rFonts w:ascii="Arial" w:hAnsi="Arial" w:cs="Arial"/>
                <w:b/>
                <w:sz w:val="20"/>
                <w:szCs w:val="20"/>
                <w:lang w:eastAsia="sl-SI"/>
              </w:rPr>
            </w:pPr>
          </w:p>
        </w:tc>
        <w:tc>
          <w:tcPr>
            <w:tcW w:w="4894" w:type="dxa"/>
            <w:shd w:val="clear" w:color="auto" w:fill="auto"/>
            <w:noWrap/>
          </w:tcPr>
          <w:p w14:paraId="5F15CF20" w14:textId="77777777" w:rsidR="00FD48D4" w:rsidRPr="001A4710" w:rsidRDefault="00FD48D4" w:rsidP="000D3A59">
            <w:pPr>
              <w:spacing w:after="0" w:line="240" w:lineRule="auto"/>
              <w:jc w:val="both"/>
              <w:rPr>
                <w:rFonts w:ascii="Arial" w:hAnsi="Arial" w:cs="Arial"/>
                <w:b/>
                <w:bCs/>
                <w:sz w:val="20"/>
                <w:szCs w:val="20"/>
                <w:lang w:eastAsia="sl-SI"/>
              </w:rPr>
            </w:pPr>
            <w:r w:rsidRPr="001A4710">
              <w:rPr>
                <w:rFonts w:ascii="Arial" w:hAnsi="Arial" w:cs="Arial"/>
                <w:sz w:val="20"/>
                <w:szCs w:val="20"/>
                <w:lang w:eastAsia="sl-SI"/>
              </w:rPr>
              <w:t xml:space="preserve">Nasprotujejo dvigu obdavčitve dohodkov iz oddajanja premoženja v najem iz 15 % na 25 %, saj bo zvišanje imelo negativni učinek na število prijav, sprememba bo destimulativna za davčne zavezance. </w:t>
            </w:r>
          </w:p>
        </w:tc>
        <w:tc>
          <w:tcPr>
            <w:tcW w:w="1553" w:type="dxa"/>
            <w:shd w:val="clear" w:color="auto" w:fill="auto"/>
            <w:noWrap/>
          </w:tcPr>
          <w:p w14:paraId="62B7D9E3"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422EBC72"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17 te tabele.</w:t>
            </w:r>
          </w:p>
        </w:tc>
      </w:tr>
      <w:tr w:rsidR="00FD48D4" w:rsidRPr="001A4710" w14:paraId="1B925D6D" w14:textId="77777777" w:rsidTr="2F2CE5B4">
        <w:trPr>
          <w:trHeight w:val="219"/>
        </w:trPr>
        <w:tc>
          <w:tcPr>
            <w:tcW w:w="567" w:type="dxa"/>
            <w:shd w:val="clear" w:color="auto" w:fill="auto"/>
            <w:noWrap/>
          </w:tcPr>
          <w:p w14:paraId="21A061C7" w14:textId="77777777" w:rsidR="00FD48D4" w:rsidRPr="001A4710" w:rsidRDefault="00FD48D4" w:rsidP="00FD48D4">
            <w:pPr>
              <w:pStyle w:val="Odstavekseznama"/>
              <w:numPr>
                <w:ilvl w:val="0"/>
                <w:numId w:val="35"/>
              </w:numPr>
              <w:contextualSpacing/>
              <w:rPr>
                <w:rFonts w:ascii="Arial" w:hAnsi="Arial" w:cs="Arial"/>
                <w:b/>
                <w:color w:val="000000"/>
                <w:sz w:val="20"/>
                <w:szCs w:val="20"/>
              </w:rPr>
            </w:pPr>
          </w:p>
        </w:tc>
        <w:tc>
          <w:tcPr>
            <w:tcW w:w="2903" w:type="dxa"/>
          </w:tcPr>
          <w:p w14:paraId="20D3E4DD" w14:textId="77777777" w:rsidR="00FD48D4" w:rsidRPr="001A4710" w:rsidRDefault="00FD48D4" w:rsidP="000D3A59">
            <w:pPr>
              <w:spacing w:after="0" w:line="240" w:lineRule="auto"/>
              <w:rPr>
                <w:rFonts w:ascii="Arial" w:hAnsi="Arial" w:cs="Arial"/>
                <w:b/>
                <w:sz w:val="20"/>
                <w:szCs w:val="20"/>
                <w:lang w:eastAsia="sl-SI"/>
              </w:rPr>
            </w:pPr>
            <w:r w:rsidRPr="001A4710">
              <w:rPr>
                <w:rFonts w:ascii="Arial" w:hAnsi="Arial" w:cs="Arial"/>
                <w:b/>
                <w:sz w:val="20"/>
                <w:szCs w:val="20"/>
                <w:lang w:eastAsia="sl-SI"/>
              </w:rPr>
              <w:t>Fizična oseba 15</w:t>
            </w:r>
          </w:p>
        </w:tc>
        <w:tc>
          <w:tcPr>
            <w:tcW w:w="4894" w:type="dxa"/>
            <w:shd w:val="clear" w:color="auto" w:fill="auto"/>
            <w:noWrap/>
          </w:tcPr>
          <w:p w14:paraId="7BFFB664"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 xml:space="preserve">Nasprotuje dvigu obdavčitve dohodkov iz oddajanja premoženja v najem iz 15 % na 25 %, saj bo to pomenilo zvišanje najemnim, ki so že tako visoke in z njimi najemniki komaj shajajo. Predlaga obdavčitev samo praznih stanovanj. </w:t>
            </w:r>
          </w:p>
        </w:tc>
        <w:tc>
          <w:tcPr>
            <w:tcW w:w="1553" w:type="dxa"/>
            <w:shd w:val="clear" w:color="auto" w:fill="auto"/>
            <w:noWrap/>
          </w:tcPr>
          <w:p w14:paraId="1C051ECE" w14:textId="77777777" w:rsidR="00FD48D4" w:rsidRPr="001A4710" w:rsidRDefault="00FD48D4" w:rsidP="000D3A59">
            <w:pPr>
              <w:spacing w:after="0" w:line="240" w:lineRule="auto"/>
              <w:jc w:val="center"/>
              <w:rPr>
                <w:rFonts w:ascii="Arial" w:hAnsi="Arial" w:cs="Arial"/>
                <w:sz w:val="20"/>
                <w:szCs w:val="20"/>
                <w:lang w:eastAsia="sl-SI"/>
              </w:rPr>
            </w:pPr>
            <w:r w:rsidRPr="001A4710">
              <w:rPr>
                <w:rFonts w:ascii="Arial" w:hAnsi="Arial" w:cs="Arial"/>
                <w:sz w:val="20"/>
                <w:szCs w:val="20"/>
                <w:lang w:eastAsia="sl-SI"/>
              </w:rPr>
              <w:t>se ne upošteva</w:t>
            </w:r>
          </w:p>
        </w:tc>
        <w:tc>
          <w:tcPr>
            <w:tcW w:w="6101" w:type="dxa"/>
            <w:shd w:val="clear" w:color="auto" w:fill="auto"/>
            <w:noWrap/>
          </w:tcPr>
          <w:p w14:paraId="0B7B7DB6" w14:textId="77777777" w:rsidR="00FD48D4" w:rsidRPr="001A4710" w:rsidRDefault="00FD48D4" w:rsidP="000D3A59">
            <w:pPr>
              <w:spacing w:after="0" w:line="240" w:lineRule="auto"/>
              <w:jc w:val="both"/>
              <w:rPr>
                <w:rFonts w:ascii="Arial" w:hAnsi="Arial" w:cs="Arial"/>
                <w:sz w:val="20"/>
                <w:szCs w:val="20"/>
                <w:lang w:eastAsia="sl-SI"/>
              </w:rPr>
            </w:pPr>
            <w:r w:rsidRPr="001A4710">
              <w:rPr>
                <w:rFonts w:ascii="Arial" w:hAnsi="Arial" w:cs="Arial"/>
                <w:sz w:val="20"/>
                <w:szCs w:val="20"/>
                <w:lang w:eastAsia="sl-SI"/>
              </w:rPr>
              <w:t>Pojasnilo pod točko 17 te tabele.</w:t>
            </w:r>
          </w:p>
        </w:tc>
      </w:tr>
    </w:tbl>
    <w:p w14:paraId="3619573A" w14:textId="77777777" w:rsidR="00130AA9" w:rsidRDefault="00130AA9"/>
    <w:sectPr w:rsidR="00130AA9" w:rsidSect="00C830E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0395" w14:textId="77777777" w:rsidR="0017790A" w:rsidRDefault="0017790A" w:rsidP="004513FD">
      <w:pPr>
        <w:spacing w:after="0" w:line="240" w:lineRule="auto"/>
      </w:pPr>
      <w:r>
        <w:separator/>
      </w:r>
    </w:p>
  </w:endnote>
  <w:endnote w:type="continuationSeparator" w:id="0">
    <w:p w14:paraId="0366ABB0" w14:textId="77777777" w:rsidR="0017790A" w:rsidRDefault="0017790A" w:rsidP="004513FD">
      <w:pPr>
        <w:spacing w:after="0" w:line="240" w:lineRule="auto"/>
      </w:pPr>
      <w:r>
        <w:continuationSeparator/>
      </w:r>
    </w:p>
  </w:endnote>
  <w:endnote w:type="continuationNotice" w:id="1">
    <w:p w14:paraId="5215BD04" w14:textId="77777777" w:rsidR="0017790A" w:rsidRDefault="00177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78ED" w14:textId="77777777" w:rsidR="0017790A" w:rsidRDefault="0017790A" w:rsidP="004513FD">
      <w:pPr>
        <w:spacing w:after="0" w:line="240" w:lineRule="auto"/>
      </w:pPr>
      <w:r>
        <w:separator/>
      </w:r>
    </w:p>
  </w:footnote>
  <w:footnote w:type="continuationSeparator" w:id="0">
    <w:p w14:paraId="46AE22D6" w14:textId="77777777" w:rsidR="0017790A" w:rsidRDefault="0017790A" w:rsidP="004513FD">
      <w:pPr>
        <w:spacing w:after="0" w:line="240" w:lineRule="auto"/>
      </w:pPr>
      <w:r>
        <w:continuationSeparator/>
      </w:r>
    </w:p>
  </w:footnote>
  <w:footnote w:type="continuationNotice" w:id="1">
    <w:p w14:paraId="1245CA00" w14:textId="77777777" w:rsidR="0017790A" w:rsidRDefault="0017790A">
      <w:pPr>
        <w:spacing w:after="0" w:line="240" w:lineRule="auto"/>
      </w:pPr>
    </w:p>
  </w:footnote>
  <w:footnote w:id="2">
    <w:p w14:paraId="60A7F39E" w14:textId="6C8FC135" w:rsidR="007A3406" w:rsidRDefault="007A3406" w:rsidP="007A3406">
      <w:pPr>
        <w:pStyle w:val="Sprotnaopomba-besedilo"/>
        <w:jc w:val="both"/>
      </w:pPr>
      <w:r w:rsidRPr="0063516D">
        <w:rPr>
          <w:rStyle w:val="Sprotnaopomba-sklic"/>
          <w:sz w:val="18"/>
          <w:szCs w:val="18"/>
        </w:rPr>
        <w:footnoteRef/>
      </w:r>
      <w:r w:rsidRPr="0063516D">
        <w:rPr>
          <w:sz w:val="18"/>
          <w:szCs w:val="18"/>
        </w:rPr>
        <w:t xml:space="preserve"> </w:t>
      </w:r>
      <w:r>
        <w:rPr>
          <w:sz w:val="18"/>
          <w:szCs w:val="18"/>
        </w:rPr>
        <w:t>U</w:t>
      </w:r>
      <w:r w:rsidRPr="0063516D">
        <w:rPr>
          <w:sz w:val="18"/>
          <w:szCs w:val="18"/>
        </w:rPr>
        <w:t>pravn</w:t>
      </w:r>
      <w:r>
        <w:rPr>
          <w:sz w:val="18"/>
          <w:szCs w:val="18"/>
        </w:rPr>
        <w:t>o sodišče je primeroma v odločbi I</w:t>
      </w:r>
      <w:r w:rsidRPr="0063516D">
        <w:rPr>
          <w:sz w:val="18"/>
          <w:szCs w:val="18"/>
        </w:rPr>
        <w:t xml:space="preserve"> U 1064/2018</w:t>
      </w:r>
      <w:r>
        <w:rPr>
          <w:sz w:val="18"/>
          <w:szCs w:val="18"/>
        </w:rPr>
        <w:t>,</w:t>
      </w:r>
      <w:r w:rsidRPr="0063516D">
        <w:rPr>
          <w:sz w:val="18"/>
          <w:szCs w:val="18"/>
        </w:rPr>
        <w:t xml:space="preserve"> z dne 19.</w:t>
      </w:r>
      <w:r w:rsidR="006E5ED2">
        <w:rPr>
          <w:sz w:val="18"/>
          <w:szCs w:val="18"/>
        </w:rPr>
        <w:t> </w:t>
      </w:r>
      <w:r w:rsidRPr="0063516D">
        <w:rPr>
          <w:sz w:val="18"/>
          <w:szCs w:val="18"/>
        </w:rPr>
        <w:t>5.</w:t>
      </w:r>
      <w:r w:rsidR="006E5ED2">
        <w:rPr>
          <w:sz w:val="18"/>
          <w:szCs w:val="18"/>
        </w:rPr>
        <w:t> </w:t>
      </w:r>
      <w:r w:rsidRPr="0063516D">
        <w:rPr>
          <w:sz w:val="18"/>
          <w:szCs w:val="18"/>
        </w:rPr>
        <w:t>2020</w:t>
      </w:r>
      <w:r>
        <w:rPr>
          <w:sz w:val="18"/>
          <w:szCs w:val="18"/>
        </w:rPr>
        <w:t xml:space="preserve">, </w:t>
      </w:r>
      <w:r w:rsidRPr="0063516D">
        <w:rPr>
          <w:sz w:val="18"/>
          <w:szCs w:val="18"/>
        </w:rPr>
        <w:t xml:space="preserve">zavzelo stališče, da povečanje osnovnega kapitala iz sredstev družbe pomeni novo pridobitev </w:t>
      </w:r>
      <w:r>
        <w:rPr>
          <w:sz w:val="18"/>
          <w:szCs w:val="18"/>
        </w:rPr>
        <w:t>deleža</w:t>
      </w:r>
      <w:r w:rsidRPr="0063516D">
        <w:rPr>
          <w:sz w:val="18"/>
          <w:szCs w:val="18"/>
        </w:rPr>
        <w:t>.</w:t>
      </w:r>
    </w:p>
  </w:footnote>
  <w:footnote w:id="3">
    <w:p w14:paraId="68810728" w14:textId="0E45BA9A" w:rsidR="00AC6F2A" w:rsidRPr="00912BB7" w:rsidRDefault="00AC6F2A" w:rsidP="00AC6F2A">
      <w:pPr>
        <w:pStyle w:val="Sprotnaopomba-besedilo"/>
        <w:rPr>
          <w:sz w:val="16"/>
          <w:szCs w:val="16"/>
        </w:rPr>
      </w:pPr>
      <w:r>
        <w:rPr>
          <w:rStyle w:val="Sprotnaopomba-sklic"/>
        </w:rPr>
        <w:footnoteRef/>
      </w:r>
      <w:r>
        <w:t xml:space="preserve"> </w:t>
      </w:r>
      <w:r w:rsidRPr="00912BB7">
        <w:rPr>
          <w:sz w:val="16"/>
          <w:szCs w:val="16"/>
        </w:rPr>
        <w:t xml:space="preserve">Vir: IBFD Tax Research Platform: Country </w:t>
      </w:r>
      <w:r>
        <w:rPr>
          <w:sz w:val="16"/>
          <w:szCs w:val="16"/>
        </w:rPr>
        <w:t xml:space="preserve">Tax Guides, </w:t>
      </w:r>
      <w:r w:rsidR="005D0627">
        <w:rPr>
          <w:sz w:val="16"/>
          <w:szCs w:val="16"/>
        </w:rPr>
        <w:t>junij</w:t>
      </w:r>
      <w:r w:rsidRPr="006672E0">
        <w:rPr>
          <w:sz w:val="16"/>
          <w:szCs w:val="16"/>
        </w:rPr>
        <w:t xml:space="preserve"> 202</w:t>
      </w:r>
      <w:r w:rsidR="005D0627">
        <w:rPr>
          <w:sz w:val="16"/>
          <w:szCs w:val="16"/>
        </w:rPr>
        <w:t>2</w:t>
      </w:r>
      <w:r>
        <w:rPr>
          <w:sz w:val="16"/>
          <w:szCs w:val="16"/>
        </w:rPr>
        <w:t xml:space="preserve">, </w:t>
      </w:r>
      <w:r w:rsidRPr="00D80E8B">
        <w:rPr>
          <w:sz w:val="16"/>
          <w:szCs w:val="16"/>
        </w:rPr>
        <w:t>https://www.ibfd.org/</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6AC0" w14:textId="77777777" w:rsidR="001F3B9D" w:rsidRPr="008F3500" w:rsidRDefault="001F3B9D" w:rsidP="00582681">
    <w:pPr>
      <w:pStyle w:val="Glava"/>
      <w:tabs>
        <w:tab w:val="clear" w:pos="4320"/>
        <w:tab w:val="clear" w:pos="8640"/>
        <w:tab w:val="left" w:pos="5112"/>
      </w:tabs>
      <w:spacing w:line="240" w:lineRule="exact"/>
      <w:rPr>
        <w:rFonts w:cs="Arial"/>
        <w:sz w:val="16"/>
      </w:rPr>
    </w:pPr>
    <w:r w:rsidRPr="008F3500">
      <w:rPr>
        <w:rFonts w:cs="Arial"/>
        <w:sz w:val="16"/>
      </w:rPr>
      <w:tab/>
    </w:r>
  </w:p>
  <w:p w14:paraId="651E0185" w14:textId="77777777" w:rsidR="001F3B9D" w:rsidRPr="008F3500" w:rsidRDefault="001F3B9D" w:rsidP="00582681">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9037169"/>
    <w:multiLevelType w:val="multilevel"/>
    <w:tmpl w:val="47AA988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0C1415"/>
    <w:multiLevelType w:val="hybridMultilevel"/>
    <w:tmpl w:val="31BC7E3E"/>
    <w:lvl w:ilvl="0" w:tplc="350EC86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654836"/>
    <w:multiLevelType w:val="hybridMultilevel"/>
    <w:tmpl w:val="38489CE2"/>
    <w:lvl w:ilvl="0" w:tplc="65B8BF2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2BD1818"/>
    <w:multiLevelType w:val="hybridMultilevel"/>
    <w:tmpl w:val="EE9ED5E6"/>
    <w:lvl w:ilvl="0" w:tplc="39D292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EF5DAE"/>
    <w:multiLevelType w:val="hybridMultilevel"/>
    <w:tmpl w:val="6C986D02"/>
    <w:lvl w:ilvl="0" w:tplc="1362D378">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9F1D2E"/>
    <w:multiLevelType w:val="hybridMultilevel"/>
    <w:tmpl w:val="0C92A804"/>
    <w:lvl w:ilvl="0" w:tplc="76AC1A70">
      <w:start w:val="49"/>
      <w:numFmt w:val="bullet"/>
      <w:lvlText w:val=""/>
      <w:lvlJc w:val="left"/>
      <w:pPr>
        <w:ind w:left="1068" w:hanging="360"/>
      </w:pPr>
      <w:rPr>
        <w:rFonts w:ascii="Symbol" w:eastAsia="Times New Roman" w:hAnsi="Symbol" w:cs="Times New Roman" w:hint="default"/>
      </w:rPr>
    </w:lvl>
    <w:lvl w:ilvl="1" w:tplc="04240019">
      <w:start w:val="1"/>
      <w:numFmt w:val="lowerLetter"/>
      <w:lvlText w:val="%2."/>
      <w:lvlJc w:val="left"/>
      <w:pPr>
        <w:ind w:left="1788" w:hanging="360"/>
      </w:pPr>
    </w:lvl>
    <w:lvl w:ilvl="2" w:tplc="204C81D4">
      <w:start w:val="1"/>
      <w:numFmt w:val="decimal"/>
      <w:lvlText w:val="%3."/>
      <w:lvlJc w:val="left"/>
      <w:pPr>
        <w:ind w:left="2688" w:hanging="360"/>
      </w:pPr>
      <w:rPr>
        <w:rFonts w:hint="default"/>
      </w:r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19AE56FA"/>
    <w:multiLevelType w:val="hybridMultilevel"/>
    <w:tmpl w:val="262A6516"/>
    <w:lvl w:ilvl="0" w:tplc="1362D378">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3C5682"/>
    <w:multiLevelType w:val="multilevel"/>
    <w:tmpl w:val="9244C14C"/>
    <w:lvl w:ilvl="0">
      <w:start w:val="1"/>
      <w:numFmt w:val="upperRoman"/>
      <w:lvlText w:val="%1."/>
      <w:lvlJc w:val="left"/>
      <w:pPr>
        <w:ind w:left="1080" w:hanging="72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802066"/>
    <w:multiLevelType w:val="hybridMultilevel"/>
    <w:tmpl w:val="682CE3AE"/>
    <w:lvl w:ilvl="0" w:tplc="76AC1A70">
      <w:start w:val="49"/>
      <w:numFmt w:val="bullet"/>
      <w:lvlText w:val=""/>
      <w:lvlJc w:val="left"/>
      <w:pPr>
        <w:ind w:left="786" w:hanging="360"/>
      </w:pPr>
      <w:rPr>
        <w:rFonts w:ascii="Symbol" w:eastAsia="Times New Roman" w:hAnsi="Symbol" w:cs="Times New Roman" w:hint="default"/>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2" w15:restartNumberingAfterBreak="0">
    <w:nsid w:val="1EB9684D"/>
    <w:multiLevelType w:val="hybridMultilevel"/>
    <w:tmpl w:val="6388C53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5E2D16"/>
    <w:multiLevelType w:val="hybridMultilevel"/>
    <w:tmpl w:val="CDE68E70"/>
    <w:lvl w:ilvl="0" w:tplc="221630E2">
      <w:start w:val="1"/>
      <w:numFmt w:val="decimal"/>
      <w:suff w:val="space"/>
      <w:lvlText w:val="%1."/>
      <w:lvlJc w:val="left"/>
      <w:pPr>
        <w:ind w:left="360" w:hanging="360"/>
      </w:pPr>
      <w:rPr>
        <w:rFonts w:hint="default"/>
      </w:rPr>
    </w:lvl>
    <w:lvl w:ilvl="1" w:tplc="401AB356">
      <w:start w:val="2"/>
      <w:numFmt w:val="upperRoman"/>
      <w:lvlText w:val="%2."/>
      <w:lvlJc w:val="left"/>
      <w:pPr>
        <w:tabs>
          <w:tab w:val="num" w:pos="1440"/>
        </w:tabs>
        <w:ind w:left="1440" w:hanging="72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282E1D2C"/>
    <w:multiLevelType w:val="hybridMultilevel"/>
    <w:tmpl w:val="C7EC3600"/>
    <w:lvl w:ilvl="0" w:tplc="1362D378">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786"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Aline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AC30079"/>
    <w:multiLevelType w:val="hybridMultilevel"/>
    <w:tmpl w:val="ECE0CAB6"/>
    <w:lvl w:ilvl="0" w:tplc="0424000F">
      <w:start w:val="1"/>
      <w:numFmt w:val="decimal"/>
      <w:lvlText w:val="%1."/>
      <w:lvlJc w:val="left"/>
      <w:pPr>
        <w:tabs>
          <w:tab w:val="num" w:pos="360"/>
        </w:tabs>
        <w:ind w:left="360" w:hanging="360"/>
      </w:pPr>
    </w:lvl>
    <w:lvl w:ilvl="1" w:tplc="401AB356">
      <w:start w:val="2"/>
      <w:numFmt w:val="upperRoman"/>
      <w:lvlText w:val="%2."/>
      <w:lvlJc w:val="left"/>
      <w:pPr>
        <w:tabs>
          <w:tab w:val="num" w:pos="1440"/>
        </w:tabs>
        <w:ind w:left="1440" w:hanging="72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3EEA537A"/>
    <w:multiLevelType w:val="hybridMultilevel"/>
    <w:tmpl w:val="CFC446B0"/>
    <w:lvl w:ilvl="0" w:tplc="F8EAD22E">
      <w:start w:val="1"/>
      <w:numFmt w:val="decimal"/>
      <w:lvlText w:val="%1."/>
      <w:lvlJc w:val="left"/>
      <w:pPr>
        <w:ind w:left="340" w:hanging="34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96853AE"/>
    <w:multiLevelType w:val="hybridMultilevel"/>
    <w:tmpl w:val="D8109D2E"/>
    <w:lvl w:ilvl="0" w:tplc="0424000F">
      <w:start w:val="1"/>
      <w:numFmt w:val="decimal"/>
      <w:pStyle w:val="tevilnatoka"/>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777B58"/>
    <w:multiLevelType w:val="hybridMultilevel"/>
    <w:tmpl w:val="7A2A1156"/>
    <w:lvl w:ilvl="0" w:tplc="39D292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8F2BD5"/>
    <w:multiLevelType w:val="hybridMultilevel"/>
    <w:tmpl w:val="9572A622"/>
    <w:lvl w:ilvl="0" w:tplc="204C81D4">
      <w:start w:val="1"/>
      <w:numFmt w:val="decimal"/>
      <w:lvlText w:val="%1."/>
      <w:lvlJc w:val="left"/>
      <w:pPr>
        <w:ind w:left="268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E2F2DFA"/>
    <w:multiLevelType w:val="hybridMultilevel"/>
    <w:tmpl w:val="240ADB3E"/>
    <w:lvl w:ilvl="0" w:tplc="4E9052E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F650EF"/>
    <w:multiLevelType w:val="hybridMultilevel"/>
    <w:tmpl w:val="43986BE8"/>
    <w:lvl w:ilvl="0" w:tplc="FFFFFFFF">
      <w:start w:val="1"/>
      <w:numFmt w:val="decimal"/>
      <w:lvlText w:val="%1."/>
      <w:lvlJc w:val="left"/>
      <w:pPr>
        <w:tabs>
          <w:tab w:val="num" w:pos="360"/>
        </w:tabs>
        <w:ind w:left="360" w:hanging="360"/>
      </w:pPr>
    </w:lvl>
    <w:lvl w:ilvl="1" w:tplc="FFFFFFFF">
      <w:start w:val="2"/>
      <w:numFmt w:val="upperRoman"/>
      <w:lvlText w:val="%2."/>
      <w:lvlJc w:val="left"/>
      <w:pPr>
        <w:tabs>
          <w:tab w:val="num" w:pos="1440"/>
        </w:tabs>
        <w:ind w:left="1440" w:hanging="72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56545A"/>
    <w:multiLevelType w:val="hybridMultilevel"/>
    <w:tmpl w:val="B6DCC470"/>
    <w:lvl w:ilvl="0" w:tplc="65B8BF2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AAD6186"/>
    <w:multiLevelType w:val="hybridMultilevel"/>
    <w:tmpl w:val="AB80C2C2"/>
    <w:lvl w:ilvl="0" w:tplc="7696B430">
      <w:start w:val="1"/>
      <w:numFmt w:val="ordinal"/>
      <w:lvlText w:val="K %1 členu"/>
      <w:lvlJc w:val="left"/>
      <w:pPr>
        <w:ind w:left="0" w:firstLine="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1E2390"/>
    <w:multiLevelType w:val="multilevel"/>
    <w:tmpl w:val="E59C2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B13FD3"/>
    <w:multiLevelType w:val="hybridMultilevel"/>
    <w:tmpl w:val="9634D0AC"/>
    <w:lvl w:ilvl="0" w:tplc="65B8BF2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0241FEA"/>
    <w:multiLevelType w:val="hybridMultilevel"/>
    <w:tmpl w:val="19FC2802"/>
    <w:lvl w:ilvl="0" w:tplc="76AC1A70">
      <w:start w:val="49"/>
      <w:numFmt w:val="bullet"/>
      <w:pStyle w:val="rkovnatok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1107B4B"/>
    <w:multiLevelType w:val="hybridMultilevel"/>
    <w:tmpl w:val="9D06613A"/>
    <w:lvl w:ilvl="0" w:tplc="75D4E480">
      <w:start w:val="1"/>
      <w:numFmt w:val="ordinal"/>
      <w:lvlText w:val="K %1 členu"/>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7017FF"/>
    <w:multiLevelType w:val="hybridMultilevel"/>
    <w:tmpl w:val="991437DA"/>
    <w:lvl w:ilvl="0" w:tplc="350EC86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6D50969"/>
    <w:multiLevelType w:val="hybridMultilevel"/>
    <w:tmpl w:val="E2407796"/>
    <w:lvl w:ilvl="0" w:tplc="4E102498">
      <w:start w:val="6"/>
      <w:numFmt w:val="bullet"/>
      <w:lvlText w:val="-"/>
      <w:lvlJc w:val="left"/>
      <w:pPr>
        <w:ind w:left="720" w:hanging="360"/>
      </w:pPr>
      <w:rPr>
        <w:rFonts w:ascii="Arial" w:eastAsia="Calibri" w:hAnsi="Arial" w:cs="Aria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C9E0EB7"/>
    <w:multiLevelType w:val="hybridMultilevel"/>
    <w:tmpl w:val="897E3EDE"/>
    <w:lvl w:ilvl="0" w:tplc="39D292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D82428E"/>
    <w:multiLevelType w:val="hybridMultilevel"/>
    <w:tmpl w:val="F1F6284C"/>
    <w:lvl w:ilvl="0" w:tplc="C56414F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5"/>
  </w:num>
  <w:num w:numId="4">
    <w:abstractNumId w:val="0"/>
  </w:num>
  <w:num w:numId="5">
    <w:abstractNumId w:val="32"/>
  </w:num>
  <w:num w:numId="6">
    <w:abstractNumId w:val="16"/>
    <w:lvlOverride w:ilvl="0">
      <w:startOverride w:val="1"/>
    </w:lvlOverride>
  </w:num>
  <w:num w:numId="7">
    <w:abstractNumId w:val="17"/>
  </w:num>
  <w:num w:numId="8">
    <w:abstractNumId w:val="11"/>
  </w:num>
  <w:num w:numId="9">
    <w:abstractNumId w:val="2"/>
  </w:num>
  <w:num w:numId="10">
    <w:abstractNumId w:val="25"/>
  </w:num>
  <w:num w:numId="11">
    <w:abstractNumId w:val="6"/>
  </w:num>
  <w:num w:numId="12">
    <w:abstractNumId w:val="10"/>
  </w:num>
  <w:num w:numId="13">
    <w:abstractNumId w:val="29"/>
  </w:num>
  <w:num w:numId="14">
    <w:abstractNumId w:val="34"/>
  </w:num>
  <w:num w:numId="15">
    <w:abstractNumId w:val="39"/>
  </w:num>
  <w:num w:numId="16">
    <w:abstractNumId w:val="5"/>
  </w:num>
  <w:num w:numId="17">
    <w:abstractNumId w:val="21"/>
  </w:num>
  <w:num w:numId="18">
    <w:abstractNumId w:val="1"/>
  </w:num>
  <w:num w:numId="19">
    <w:abstractNumId w:val="30"/>
  </w:num>
  <w:num w:numId="20">
    <w:abstractNumId w:val="8"/>
  </w:num>
  <w:num w:numId="21">
    <w:abstractNumId w:val="13"/>
  </w:num>
  <w:num w:numId="22">
    <w:abstractNumId w:val="27"/>
  </w:num>
  <w:num w:numId="23">
    <w:abstractNumId w:val="12"/>
  </w:num>
  <w:num w:numId="24">
    <w:abstractNumId w:val="22"/>
  </w:num>
  <w:num w:numId="25">
    <w:abstractNumId w:val="37"/>
  </w:num>
  <w:num w:numId="26">
    <w:abstractNumId w:val="35"/>
  </w:num>
  <w:num w:numId="27">
    <w:abstractNumId w:val="3"/>
  </w:num>
  <w:num w:numId="28">
    <w:abstractNumId w:val="28"/>
  </w:num>
  <w:num w:numId="29">
    <w:abstractNumId w:val="31"/>
  </w:num>
  <w:num w:numId="30">
    <w:abstractNumId w:val="38"/>
  </w:num>
  <w:num w:numId="31">
    <w:abstractNumId w:val="9"/>
  </w:num>
  <w:num w:numId="32">
    <w:abstractNumId w:val="14"/>
  </w:num>
  <w:num w:numId="33">
    <w:abstractNumId w:val="7"/>
  </w:num>
  <w:num w:numId="34">
    <w:abstractNumId w:val="36"/>
  </w:num>
  <w:num w:numId="35">
    <w:abstractNumId w:val="18"/>
  </w:num>
  <w:num w:numId="36">
    <w:abstractNumId w:val="24"/>
  </w:num>
  <w:num w:numId="37">
    <w:abstractNumId w:val="26"/>
  </w:num>
  <w:num w:numId="38">
    <w:abstractNumId w:val="33"/>
  </w:num>
  <w:num w:numId="39">
    <w:abstractNumId w:val="23"/>
  </w:num>
  <w:num w:numId="40">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FD"/>
    <w:rsid w:val="00000076"/>
    <w:rsid w:val="000009B3"/>
    <w:rsid w:val="00004951"/>
    <w:rsid w:val="0000773B"/>
    <w:rsid w:val="00011944"/>
    <w:rsid w:val="000120A7"/>
    <w:rsid w:val="0001231D"/>
    <w:rsid w:val="00012EBD"/>
    <w:rsid w:val="000133FC"/>
    <w:rsid w:val="0001425E"/>
    <w:rsid w:val="000151A3"/>
    <w:rsid w:val="00016FC8"/>
    <w:rsid w:val="000173DF"/>
    <w:rsid w:val="00020980"/>
    <w:rsid w:val="000209C8"/>
    <w:rsid w:val="00020B41"/>
    <w:rsid w:val="0002282F"/>
    <w:rsid w:val="00023527"/>
    <w:rsid w:val="000255DD"/>
    <w:rsid w:val="00026BED"/>
    <w:rsid w:val="000279FF"/>
    <w:rsid w:val="00027F08"/>
    <w:rsid w:val="000308FA"/>
    <w:rsid w:val="00031880"/>
    <w:rsid w:val="000319F2"/>
    <w:rsid w:val="00031BC6"/>
    <w:rsid w:val="00032D1B"/>
    <w:rsid w:val="00032DFC"/>
    <w:rsid w:val="0003507D"/>
    <w:rsid w:val="00035726"/>
    <w:rsid w:val="00035A8F"/>
    <w:rsid w:val="00036A26"/>
    <w:rsid w:val="00037553"/>
    <w:rsid w:val="00037B35"/>
    <w:rsid w:val="00042171"/>
    <w:rsid w:val="00042A4D"/>
    <w:rsid w:val="00042F08"/>
    <w:rsid w:val="000431E0"/>
    <w:rsid w:val="00043674"/>
    <w:rsid w:val="00044227"/>
    <w:rsid w:val="0004544A"/>
    <w:rsid w:val="000454CB"/>
    <w:rsid w:val="0004575F"/>
    <w:rsid w:val="00046970"/>
    <w:rsid w:val="000473D6"/>
    <w:rsid w:val="00047C41"/>
    <w:rsid w:val="00050355"/>
    <w:rsid w:val="00050B0A"/>
    <w:rsid w:val="00051BBA"/>
    <w:rsid w:val="000529D7"/>
    <w:rsid w:val="00052D66"/>
    <w:rsid w:val="00053698"/>
    <w:rsid w:val="00053D08"/>
    <w:rsid w:val="000541AA"/>
    <w:rsid w:val="000541D1"/>
    <w:rsid w:val="000552F5"/>
    <w:rsid w:val="00055A58"/>
    <w:rsid w:val="00055AA3"/>
    <w:rsid w:val="00055FE6"/>
    <w:rsid w:val="0005699F"/>
    <w:rsid w:val="00057374"/>
    <w:rsid w:val="00057BA1"/>
    <w:rsid w:val="0006009A"/>
    <w:rsid w:val="0006031A"/>
    <w:rsid w:val="00060ACC"/>
    <w:rsid w:val="0006151B"/>
    <w:rsid w:val="00061FDF"/>
    <w:rsid w:val="00062242"/>
    <w:rsid w:val="00063A84"/>
    <w:rsid w:val="00063D3A"/>
    <w:rsid w:val="00063E1C"/>
    <w:rsid w:val="0006482B"/>
    <w:rsid w:val="00064E5C"/>
    <w:rsid w:val="00064ECF"/>
    <w:rsid w:val="00065DC2"/>
    <w:rsid w:val="00067ACD"/>
    <w:rsid w:val="00070282"/>
    <w:rsid w:val="00070664"/>
    <w:rsid w:val="00070862"/>
    <w:rsid w:val="00070E4D"/>
    <w:rsid w:val="000712B0"/>
    <w:rsid w:val="000729C5"/>
    <w:rsid w:val="000730F2"/>
    <w:rsid w:val="00073412"/>
    <w:rsid w:val="000765D5"/>
    <w:rsid w:val="00076F4A"/>
    <w:rsid w:val="00081240"/>
    <w:rsid w:val="00081DD3"/>
    <w:rsid w:val="00084FFB"/>
    <w:rsid w:val="00085BA1"/>
    <w:rsid w:val="00087885"/>
    <w:rsid w:val="0009229E"/>
    <w:rsid w:val="0009356C"/>
    <w:rsid w:val="00093BE0"/>
    <w:rsid w:val="00093E46"/>
    <w:rsid w:val="00094A93"/>
    <w:rsid w:val="00094EE4"/>
    <w:rsid w:val="0009540F"/>
    <w:rsid w:val="000958B2"/>
    <w:rsid w:val="0009598E"/>
    <w:rsid w:val="000959B9"/>
    <w:rsid w:val="00096B4D"/>
    <w:rsid w:val="00096C77"/>
    <w:rsid w:val="0009797C"/>
    <w:rsid w:val="000A079B"/>
    <w:rsid w:val="000A1347"/>
    <w:rsid w:val="000A1EF8"/>
    <w:rsid w:val="000A30F1"/>
    <w:rsid w:val="000A3C13"/>
    <w:rsid w:val="000A42BC"/>
    <w:rsid w:val="000A4417"/>
    <w:rsid w:val="000A4A1F"/>
    <w:rsid w:val="000A4C46"/>
    <w:rsid w:val="000A5C23"/>
    <w:rsid w:val="000A7A1C"/>
    <w:rsid w:val="000B1278"/>
    <w:rsid w:val="000B1F6E"/>
    <w:rsid w:val="000B21C0"/>
    <w:rsid w:val="000B2D47"/>
    <w:rsid w:val="000B3333"/>
    <w:rsid w:val="000B54F1"/>
    <w:rsid w:val="000B774D"/>
    <w:rsid w:val="000C0AF3"/>
    <w:rsid w:val="000C0C71"/>
    <w:rsid w:val="000C102C"/>
    <w:rsid w:val="000C1EC4"/>
    <w:rsid w:val="000C4B49"/>
    <w:rsid w:val="000C4FBC"/>
    <w:rsid w:val="000C53AF"/>
    <w:rsid w:val="000C5740"/>
    <w:rsid w:val="000C6989"/>
    <w:rsid w:val="000C75F7"/>
    <w:rsid w:val="000D018F"/>
    <w:rsid w:val="000D123B"/>
    <w:rsid w:val="000D14D0"/>
    <w:rsid w:val="000D2D96"/>
    <w:rsid w:val="000D5182"/>
    <w:rsid w:val="000D54BE"/>
    <w:rsid w:val="000D5FCA"/>
    <w:rsid w:val="000E088E"/>
    <w:rsid w:val="000E1B99"/>
    <w:rsid w:val="000E1FF0"/>
    <w:rsid w:val="000E22A3"/>
    <w:rsid w:val="000E2E52"/>
    <w:rsid w:val="000E4536"/>
    <w:rsid w:val="000E5335"/>
    <w:rsid w:val="000E7539"/>
    <w:rsid w:val="000E76FF"/>
    <w:rsid w:val="000E7791"/>
    <w:rsid w:val="000E7863"/>
    <w:rsid w:val="000F05B6"/>
    <w:rsid w:val="000F1FD8"/>
    <w:rsid w:val="000F2FAE"/>
    <w:rsid w:val="000F3C83"/>
    <w:rsid w:val="000F445D"/>
    <w:rsid w:val="000F4F1F"/>
    <w:rsid w:val="000F502E"/>
    <w:rsid w:val="000F533F"/>
    <w:rsid w:val="000F581B"/>
    <w:rsid w:val="000F6717"/>
    <w:rsid w:val="000F68F8"/>
    <w:rsid w:val="0010031F"/>
    <w:rsid w:val="00100AAE"/>
    <w:rsid w:val="001029C2"/>
    <w:rsid w:val="00103113"/>
    <w:rsid w:val="00107E93"/>
    <w:rsid w:val="00110736"/>
    <w:rsid w:val="001109B4"/>
    <w:rsid w:val="00110E8B"/>
    <w:rsid w:val="00111146"/>
    <w:rsid w:val="001116D5"/>
    <w:rsid w:val="001117E5"/>
    <w:rsid w:val="00113129"/>
    <w:rsid w:val="001136C2"/>
    <w:rsid w:val="00113E51"/>
    <w:rsid w:val="0011468E"/>
    <w:rsid w:val="001170FE"/>
    <w:rsid w:val="0011718D"/>
    <w:rsid w:val="0011759E"/>
    <w:rsid w:val="00117C51"/>
    <w:rsid w:val="00117E7A"/>
    <w:rsid w:val="0012016A"/>
    <w:rsid w:val="0012083C"/>
    <w:rsid w:val="00120D8D"/>
    <w:rsid w:val="00120E1F"/>
    <w:rsid w:val="0012195D"/>
    <w:rsid w:val="001229B7"/>
    <w:rsid w:val="00122C98"/>
    <w:rsid w:val="001247A7"/>
    <w:rsid w:val="00124E22"/>
    <w:rsid w:val="0012586F"/>
    <w:rsid w:val="00125C04"/>
    <w:rsid w:val="00127F11"/>
    <w:rsid w:val="0013091C"/>
    <w:rsid w:val="00130AA9"/>
    <w:rsid w:val="0013391D"/>
    <w:rsid w:val="001348F4"/>
    <w:rsid w:val="00135A6E"/>
    <w:rsid w:val="001376CF"/>
    <w:rsid w:val="00137D9C"/>
    <w:rsid w:val="00140EB1"/>
    <w:rsid w:val="00141120"/>
    <w:rsid w:val="00142306"/>
    <w:rsid w:val="0014262B"/>
    <w:rsid w:val="00145AE0"/>
    <w:rsid w:val="001461D9"/>
    <w:rsid w:val="00146615"/>
    <w:rsid w:val="00146714"/>
    <w:rsid w:val="001502C2"/>
    <w:rsid w:val="001505E2"/>
    <w:rsid w:val="001508A2"/>
    <w:rsid w:val="001508C2"/>
    <w:rsid w:val="0015156D"/>
    <w:rsid w:val="001517A1"/>
    <w:rsid w:val="0015202E"/>
    <w:rsid w:val="00152B2F"/>
    <w:rsid w:val="001536BA"/>
    <w:rsid w:val="00153A55"/>
    <w:rsid w:val="0015482E"/>
    <w:rsid w:val="00155918"/>
    <w:rsid w:val="001601BA"/>
    <w:rsid w:val="001601CE"/>
    <w:rsid w:val="0016088D"/>
    <w:rsid w:val="00161D8F"/>
    <w:rsid w:val="00163E6F"/>
    <w:rsid w:val="00164947"/>
    <w:rsid w:val="0016553D"/>
    <w:rsid w:val="00165D3D"/>
    <w:rsid w:val="00167587"/>
    <w:rsid w:val="00167BA0"/>
    <w:rsid w:val="00167C8D"/>
    <w:rsid w:val="00167E65"/>
    <w:rsid w:val="0017167E"/>
    <w:rsid w:val="0017279A"/>
    <w:rsid w:val="00172BA3"/>
    <w:rsid w:val="00173282"/>
    <w:rsid w:val="001732DB"/>
    <w:rsid w:val="00173D0D"/>
    <w:rsid w:val="001740F0"/>
    <w:rsid w:val="00174201"/>
    <w:rsid w:val="0017499A"/>
    <w:rsid w:val="00175E6D"/>
    <w:rsid w:val="00176297"/>
    <w:rsid w:val="00176A61"/>
    <w:rsid w:val="0017790A"/>
    <w:rsid w:val="0018080C"/>
    <w:rsid w:val="00185045"/>
    <w:rsid w:val="00185CAC"/>
    <w:rsid w:val="001860CA"/>
    <w:rsid w:val="001865F7"/>
    <w:rsid w:val="0018782B"/>
    <w:rsid w:val="00187B7B"/>
    <w:rsid w:val="0019029C"/>
    <w:rsid w:val="00191895"/>
    <w:rsid w:val="001923BE"/>
    <w:rsid w:val="001934AF"/>
    <w:rsid w:val="00193AA1"/>
    <w:rsid w:val="00194352"/>
    <w:rsid w:val="001955FF"/>
    <w:rsid w:val="001956CD"/>
    <w:rsid w:val="001959FE"/>
    <w:rsid w:val="00195E8C"/>
    <w:rsid w:val="0019697C"/>
    <w:rsid w:val="001970A8"/>
    <w:rsid w:val="001A1EDE"/>
    <w:rsid w:val="001A208E"/>
    <w:rsid w:val="001A24E9"/>
    <w:rsid w:val="001A29E5"/>
    <w:rsid w:val="001A318B"/>
    <w:rsid w:val="001A348E"/>
    <w:rsid w:val="001A34BE"/>
    <w:rsid w:val="001A3B56"/>
    <w:rsid w:val="001A4A52"/>
    <w:rsid w:val="001A4E8C"/>
    <w:rsid w:val="001A5BF2"/>
    <w:rsid w:val="001A6210"/>
    <w:rsid w:val="001A7A4E"/>
    <w:rsid w:val="001B0001"/>
    <w:rsid w:val="001B0063"/>
    <w:rsid w:val="001B2627"/>
    <w:rsid w:val="001B3046"/>
    <w:rsid w:val="001B326B"/>
    <w:rsid w:val="001B4AC7"/>
    <w:rsid w:val="001B52BA"/>
    <w:rsid w:val="001B541F"/>
    <w:rsid w:val="001B56FD"/>
    <w:rsid w:val="001B6330"/>
    <w:rsid w:val="001B6745"/>
    <w:rsid w:val="001B6A4E"/>
    <w:rsid w:val="001B6E1C"/>
    <w:rsid w:val="001B70FD"/>
    <w:rsid w:val="001C00B0"/>
    <w:rsid w:val="001C1906"/>
    <w:rsid w:val="001C1D12"/>
    <w:rsid w:val="001C2F18"/>
    <w:rsid w:val="001C30A4"/>
    <w:rsid w:val="001C3BA9"/>
    <w:rsid w:val="001C46B2"/>
    <w:rsid w:val="001C472F"/>
    <w:rsid w:val="001C6097"/>
    <w:rsid w:val="001C72D1"/>
    <w:rsid w:val="001D2B69"/>
    <w:rsid w:val="001D3F0F"/>
    <w:rsid w:val="001D4E2D"/>
    <w:rsid w:val="001D5A66"/>
    <w:rsid w:val="001D5BB2"/>
    <w:rsid w:val="001D7734"/>
    <w:rsid w:val="001D7DE5"/>
    <w:rsid w:val="001E0390"/>
    <w:rsid w:val="001E08A9"/>
    <w:rsid w:val="001E0EED"/>
    <w:rsid w:val="001E66DB"/>
    <w:rsid w:val="001E677E"/>
    <w:rsid w:val="001E6A99"/>
    <w:rsid w:val="001E7596"/>
    <w:rsid w:val="001E75C0"/>
    <w:rsid w:val="001F0D2F"/>
    <w:rsid w:val="001F178B"/>
    <w:rsid w:val="001F1F72"/>
    <w:rsid w:val="001F2063"/>
    <w:rsid w:val="001F2135"/>
    <w:rsid w:val="001F24A0"/>
    <w:rsid w:val="001F27CB"/>
    <w:rsid w:val="001F2C33"/>
    <w:rsid w:val="001F36AB"/>
    <w:rsid w:val="001F3B9D"/>
    <w:rsid w:val="001F3D49"/>
    <w:rsid w:val="001F427D"/>
    <w:rsid w:val="001F4E8F"/>
    <w:rsid w:val="001F5978"/>
    <w:rsid w:val="001F74A0"/>
    <w:rsid w:val="001F789F"/>
    <w:rsid w:val="0020107A"/>
    <w:rsid w:val="002024FD"/>
    <w:rsid w:val="002027CB"/>
    <w:rsid w:val="00203036"/>
    <w:rsid w:val="00205CB9"/>
    <w:rsid w:val="002066D2"/>
    <w:rsid w:val="002067C8"/>
    <w:rsid w:val="0020703D"/>
    <w:rsid w:val="002075E6"/>
    <w:rsid w:val="0021033D"/>
    <w:rsid w:val="00210967"/>
    <w:rsid w:val="00210B82"/>
    <w:rsid w:val="00210CFA"/>
    <w:rsid w:val="00211131"/>
    <w:rsid w:val="0021155E"/>
    <w:rsid w:val="00211B2A"/>
    <w:rsid w:val="00211D12"/>
    <w:rsid w:val="002127CF"/>
    <w:rsid w:val="0021443C"/>
    <w:rsid w:val="002150A7"/>
    <w:rsid w:val="00215D4D"/>
    <w:rsid w:val="00215FF2"/>
    <w:rsid w:val="00215FF3"/>
    <w:rsid w:val="00220C31"/>
    <w:rsid w:val="0022171F"/>
    <w:rsid w:val="00221808"/>
    <w:rsid w:val="00222AF1"/>
    <w:rsid w:val="00223763"/>
    <w:rsid w:val="00223A6F"/>
    <w:rsid w:val="00224EBB"/>
    <w:rsid w:val="002301F3"/>
    <w:rsid w:val="0023130F"/>
    <w:rsid w:val="002316EF"/>
    <w:rsid w:val="00233B10"/>
    <w:rsid w:val="00234F29"/>
    <w:rsid w:val="00237616"/>
    <w:rsid w:val="002400FB"/>
    <w:rsid w:val="0024166B"/>
    <w:rsid w:val="002419B0"/>
    <w:rsid w:val="00243E2F"/>
    <w:rsid w:val="002447E3"/>
    <w:rsid w:val="00244C4E"/>
    <w:rsid w:val="00244DA7"/>
    <w:rsid w:val="00245857"/>
    <w:rsid w:val="00246748"/>
    <w:rsid w:val="00246D5E"/>
    <w:rsid w:val="00247479"/>
    <w:rsid w:val="00252772"/>
    <w:rsid w:val="00252D6A"/>
    <w:rsid w:val="002532EB"/>
    <w:rsid w:val="00253EF4"/>
    <w:rsid w:val="00253F02"/>
    <w:rsid w:val="00254D12"/>
    <w:rsid w:val="00255016"/>
    <w:rsid w:val="00255E19"/>
    <w:rsid w:val="00256DA9"/>
    <w:rsid w:val="00260439"/>
    <w:rsid w:val="00261066"/>
    <w:rsid w:val="0026148A"/>
    <w:rsid w:val="002615A7"/>
    <w:rsid w:val="00261FD0"/>
    <w:rsid w:val="0026226A"/>
    <w:rsid w:val="002633B0"/>
    <w:rsid w:val="00264326"/>
    <w:rsid w:val="00264980"/>
    <w:rsid w:val="00264DE9"/>
    <w:rsid w:val="0026584C"/>
    <w:rsid w:val="0026740F"/>
    <w:rsid w:val="00271379"/>
    <w:rsid w:val="00272319"/>
    <w:rsid w:val="00272708"/>
    <w:rsid w:val="00273D46"/>
    <w:rsid w:val="00273FD9"/>
    <w:rsid w:val="0027425A"/>
    <w:rsid w:val="00274660"/>
    <w:rsid w:val="00277790"/>
    <w:rsid w:val="002779FE"/>
    <w:rsid w:val="00277C17"/>
    <w:rsid w:val="00277C6F"/>
    <w:rsid w:val="0028046B"/>
    <w:rsid w:val="00280C63"/>
    <w:rsid w:val="00282258"/>
    <w:rsid w:val="00282C24"/>
    <w:rsid w:val="00282D2B"/>
    <w:rsid w:val="00282F14"/>
    <w:rsid w:val="00283483"/>
    <w:rsid w:val="002834C8"/>
    <w:rsid w:val="00283556"/>
    <w:rsid w:val="00283DE8"/>
    <w:rsid w:val="00284CB9"/>
    <w:rsid w:val="00284DC1"/>
    <w:rsid w:val="00284E1C"/>
    <w:rsid w:val="0028548E"/>
    <w:rsid w:val="00287505"/>
    <w:rsid w:val="002901F3"/>
    <w:rsid w:val="002908E8"/>
    <w:rsid w:val="00290F4E"/>
    <w:rsid w:val="00292360"/>
    <w:rsid w:val="00293351"/>
    <w:rsid w:val="00293A94"/>
    <w:rsid w:val="00294865"/>
    <w:rsid w:val="00294A3A"/>
    <w:rsid w:val="00296A48"/>
    <w:rsid w:val="00296A93"/>
    <w:rsid w:val="00296DB4"/>
    <w:rsid w:val="0029742B"/>
    <w:rsid w:val="002A061E"/>
    <w:rsid w:val="002A0797"/>
    <w:rsid w:val="002A0BB5"/>
    <w:rsid w:val="002A0C91"/>
    <w:rsid w:val="002A1D00"/>
    <w:rsid w:val="002A2FAD"/>
    <w:rsid w:val="002A412C"/>
    <w:rsid w:val="002A51B6"/>
    <w:rsid w:val="002A5D72"/>
    <w:rsid w:val="002A672C"/>
    <w:rsid w:val="002A6C15"/>
    <w:rsid w:val="002A796F"/>
    <w:rsid w:val="002B0997"/>
    <w:rsid w:val="002B0D6F"/>
    <w:rsid w:val="002B1AF6"/>
    <w:rsid w:val="002B251F"/>
    <w:rsid w:val="002B26F1"/>
    <w:rsid w:val="002B28FF"/>
    <w:rsid w:val="002B3F25"/>
    <w:rsid w:val="002B43EA"/>
    <w:rsid w:val="002B5B93"/>
    <w:rsid w:val="002B61E6"/>
    <w:rsid w:val="002B7200"/>
    <w:rsid w:val="002B7C15"/>
    <w:rsid w:val="002C0116"/>
    <w:rsid w:val="002C3767"/>
    <w:rsid w:val="002C421A"/>
    <w:rsid w:val="002C436F"/>
    <w:rsid w:val="002C43A4"/>
    <w:rsid w:val="002C5241"/>
    <w:rsid w:val="002C6D8F"/>
    <w:rsid w:val="002C75FC"/>
    <w:rsid w:val="002D0DD3"/>
    <w:rsid w:val="002D1FD5"/>
    <w:rsid w:val="002D2524"/>
    <w:rsid w:val="002D6AAF"/>
    <w:rsid w:val="002E0A10"/>
    <w:rsid w:val="002E1176"/>
    <w:rsid w:val="002E1213"/>
    <w:rsid w:val="002E12AC"/>
    <w:rsid w:val="002E13F9"/>
    <w:rsid w:val="002E1D31"/>
    <w:rsid w:val="002E2B9C"/>
    <w:rsid w:val="002E2F0C"/>
    <w:rsid w:val="002E61AD"/>
    <w:rsid w:val="002E71A2"/>
    <w:rsid w:val="002E733B"/>
    <w:rsid w:val="002F150F"/>
    <w:rsid w:val="002F1573"/>
    <w:rsid w:val="002F16E3"/>
    <w:rsid w:val="002F196B"/>
    <w:rsid w:val="002F257B"/>
    <w:rsid w:val="002F33E8"/>
    <w:rsid w:val="002F364D"/>
    <w:rsid w:val="002F3E11"/>
    <w:rsid w:val="002F4CFA"/>
    <w:rsid w:val="002F5582"/>
    <w:rsid w:val="002F63BA"/>
    <w:rsid w:val="002F6442"/>
    <w:rsid w:val="002F6444"/>
    <w:rsid w:val="002F6BCB"/>
    <w:rsid w:val="002F6DE3"/>
    <w:rsid w:val="002F6F13"/>
    <w:rsid w:val="002F79AE"/>
    <w:rsid w:val="003011FF"/>
    <w:rsid w:val="003019E0"/>
    <w:rsid w:val="003029BC"/>
    <w:rsid w:val="003036D9"/>
    <w:rsid w:val="00303723"/>
    <w:rsid w:val="00303E2C"/>
    <w:rsid w:val="00303EBD"/>
    <w:rsid w:val="003040F2"/>
    <w:rsid w:val="00304AD9"/>
    <w:rsid w:val="00304CDC"/>
    <w:rsid w:val="00305246"/>
    <w:rsid w:val="00305EE0"/>
    <w:rsid w:val="003068CF"/>
    <w:rsid w:val="003071A6"/>
    <w:rsid w:val="00310030"/>
    <w:rsid w:val="003104C6"/>
    <w:rsid w:val="00311047"/>
    <w:rsid w:val="00311226"/>
    <w:rsid w:val="003118E6"/>
    <w:rsid w:val="00311F9C"/>
    <w:rsid w:val="00312011"/>
    <w:rsid w:val="003134F7"/>
    <w:rsid w:val="003135CB"/>
    <w:rsid w:val="00313DAF"/>
    <w:rsid w:val="003146F6"/>
    <w:rsid w:val="00315255"/>
    <w:rsid w:val="00315545"/>
    <w:rsid w:val="00315623"/>
    <w:rsid w:val="00315E56"/>
    <w:rsid w:val="00317694"/>
    <w:rsid w:val="00317CC8"/>
    <w:rsid w:val="00317CEE"/>
    <w:rsid w:val="00320C52"/>
    <w:rsid w:val="00321A69"/>
    <w:rsid w:val="00321F7C"/>
    <w:rsid w:val="003221C9"/>
    <w:rsid w:val="003241F4"/>
    <w:rsid w:val="00325E89"/>
    <w:rsid w:val="00326A99"/>
    <w:rsid w:val="00326D97"/>
    <w:rsid w:val="00326DFE"/>
    <w:rsid w:val="003274B0"/>
    <w:rsid w:val="0033104B"/>
    <w:rsid w:val="00331617"/>
    <w:rsid w:val="00331A38"/>
    <w:rsid w:val="00331C6B"/>
    <w:rsid w:val="00332AB4"/>
    <w:rsid w:val="00332D4B"/>
    <w:rsid w:val="00333EC5"/>
    <w:rsid w:val="003356D1"/>
    <w:rsid w:val="003357F7"/>
    <w:rsid w:val="00336281"/>
    <w:rsid w:val="00336E2D"/>
    <w:rsid w:val="003373E8"/>
    <w:rsid w:val="00337778"/>
    <w:rsid w:val="00337B46"/>
    <w:rsid w:val="00337DEC"/>
    <w:rsid w:val="003404DE"/>
    <w:rsid w:val="003404F8"/>
    <w:rsid w:val="0034077D"/>
    <w:rsid w:val="0034214E"/>
    <w:rsid w:val="00343906"/>
    <w:rsid w:val="00343FB5"/>
    <w:rsid w:val="00345365"/>
    <w:rsid w:val="0034671A"/>
    <w:rsid w:val="00346B58"/>
    <w:rsid w:val="00352CF5"/>
    <w:rsid w:val="00352E78"/>
    <w:rsid w:val="003537D6"/>
    <w:rsid w:val="00355CD5"/>
    <w:rsid w:val="00356894"/>
    <w:rsid w:val="00357479"/>
    <w:rsid w:val="00357895"/>
    <w:rsid w:val="00360225"/>
    <w:rsid w:val="00362D6E"/>
    <w:rsid w:val="00363D02"/>
    <w:rsid w:val="00364024"/>
    <w:rsid w:val="003640A3"/>
    <w:rsid w:val="00364749"/>
    <w:rsid w:val="00365070"/>
    <w:rsid w:val="00365165"/>
    <w:rsid w:val="0036652C"/>
    <w:rsid w:val="00366A3F"/>
    <w:rsid w:val="003672D8"/>
    <w:rsid w:val="003720C4"/>
    <w:rsid w:val="003737F3"/>
    <w:rsid w:val="00373EAA"/>
    <w:rsid w:val="00374A13"/>
    <w:rsid w:val="0037646A"/>
    <w:rsid w:val="00376CAD"/>
    <w:rsid w:val="00377748"/>
    <w:rsid w:val="00377CDF"/>
    <w:rsid w:val="00383242"/>
    <w:rsid w:val="00385367"/>
    <w:rsid w:val="00386394"/>
    <w:rsid w:val="00386449"/>
    <w:rsid w:val="003868AB"/>
    <w:rsid w:val="00387198"/>
    <w:rsid w:val="003874FD"/>
    <w:rsid w:val="003900C3"/>
    <w:rsid w:val="00390E12"/>
    <w:rsid w:val="00391148"/>
    <w:rsid w:val="00391494"/>
    <w:rsid w:val="00392634"/>
    <w:rsid w:val="0039272D"/>
    <w:rsid w:val="003933FF"/>
    <w:rsid w:val="00394E80"/>
    <w:rsid w:val="00395847"/>
    <w:rsid w:val="00395884"/>
    <w:rsid w:val="00396994"/>
    <w:rsid w:val="003975B8"/>
    <w:rsid w:val="003A0183"/>
    <w:rsid w:val="003A110A"/>
    <w:rsid w:val="003A155E"/>
    <w:rsid w:val="003A1714"/>
    <w:rsid w:val="003A33DD"/>
    <w:rsid w:val="003A4178"/>
    <w:rsid w:val="003A4226"/>
    <w:rsid w:val="003A4AC4"/>
    <w:rsid w:val="003A665F"/>
    <w:rsid w:val="003A6BA1"/>
    <w:rsid w:val="003A706E"/>
    <w:rsid w:val="003A7679"/>
    <w:rsid w:val="003A7D81"/>
    <w:rsid w:val="003A7DDA"/>
    <w:rsid w:val="003B0867"/>
    <w:rsid w:val="003B19D6"/>
    <w:rsid w:val="003B1C1E"/>
    <w:rsid w:val="003B28C3"/>
    <w:rsid w:val="003B2B53"/>
    <w:rsid w:val="003B45BF"/>
    <w:rsid w:val="003B4853"/>
    <w:rsid w:val="003B4C42"/>
    <w:rsid w:val="003B53AF"/>
    <w:rsid w:val="003B6739"/>
    <w:rsid w:val="003B6ACB"/>
    <w:rsid w:val="003B7A8C"/>
    <w:rsid w:val="003C0B30"/>
    <w:rsid w:val="003C1354"/>
    <w:rsid w:val="003C61DE"/>
    <w:rsid w:val="003C7244"/>
    <w:rsid w:val="003C7DE4"/>
    <w:rsid w:val="003C7F79"/>
    <w:rsid w:val="003D0BEA"/>
    <w:rsid w:val="003D2FF7"/>
    <w:rsid w:val="003D3A7C"/>
    <w:rsid w:val="003D4B41"/>
    <w:rsid w:val="003D52F2"/>
    <w:rsid w:val="003D53AE"/>
    <w:rsid w:val="003D5DD8"/>
    <w:rsid w:val="003D5ECE"/>
    <w:rsid w:val="003D7732"/>
    <w:rsid w:val="003E03D3"/>
    <w:rsid w:val="003E1A68"/>
    <w:rsid w:val="003E1DD4"/>
    <w:rsid w:val="003E2A00"/>
    <w:rsid w:val="003E2D6E"/>
    <w:rsid w:val="003E38A8"/>
    <w:rsid w:val="003E3A73"/>
    <w:rsid w:val="003E4614"/>
    <w:rsid w:val="003E5457"/>
    <w:rsid w:val="003E72AC"/>
    <w:rsid w:val="003E75F6"/>
    <w:rsid w:val="003F0E1B"/>
    <w:rsid w:val="003F0F03"/>
    <w:rsid w:val="003F3827"/>
    <w:rsid w:val="003F38A1"/>
    <w:rsid w:val="003F3B10"/>
    <w:rsid w:val="003F3C91"/>
    <w:rsid w:val="003F3FFD"/>
    <w:rsid w:val="003F47D3"/>
    <w:rsid w:val="003F5221"/>
    <w:rsid w:val="003F69AB"/>
    <w:rsid w:val="00400ED6"/>
    <w:rsid w:val="0040135A"/>
    <w:rsid w:val="00401844"/>
    <w:rsid w:val="004069EE"/>
    <w:rsid w:val="00406B16"/>
    <w:rsid w:val="004113D6"/>
    <w:rsid w:val="00411681"/>
    <w:rsid w:val="00412DC8"/>
    <w:rsid w:val="004140D8"/>
    <w:rsid w:val="00414F8A"/>
    <w:rsid w:val="00415D94"/>
    <w:rsid w:val="00416A02"/>
    <w:rsid w:val="00420505"/>
    <w:rsid w:val="004206F1"/>
    <w:rsid w:val="00422808"/>
    <w:rsid w:val="00422C36"/>
    <w:rsid w:val="00424196"/>
    <w:rsid w:val="004244BF"/>
    <w:rsid w:val="00424C2A"/>
    <w:rsid w:val="00426889"/>
    <w:rsid w:val="00430AA4"/>
    <w:rsid w:val="00431971"/>
    <w:rsid w:val="004336D8"/>
    <w:rsid w:val="004337C3"/>
    <w:rsid w:val="00435121"/>
    <w:rsid w:val="004352E9"/>
    <w:rsid w:val="004357AD"/>
    <w:rsid w:val="00435FAF"/>
    <w:rsid w:val="00437AE4"/>
    <w:rsid w:val="00440305"/>
    <w:rsid w:val="004416BE"/>
    <w:rsid w:val="00442C73"/>
    <w:rsid w:val="00443DBD"/>
    <w:rsid w:val="00443DFA"/>
    <w:rsid w:val="00445EF3"/>
    <w:rsid w:val="004468D8"/>
    <w:rsid w:val="0045046C"/>
    <w:rsid w:val="004513FD"/>
    <w:rsid w:val="00453908"/>
    <w:rsid w:val="0045564A"/>
    <w:rsid w:val="00460AD8"/>
    <w:rsid w:val="00461433"/>
    <w:rsid w:val="004620B7"/>
    <w:rsid w:val="00462A9F"/>
    <w:rsid w:val="00462BD6"/>
    <w:rsid w:val="00463D67"/>
    <w:rsid w:val="00464A2E"/>
    <w:rsid w:val="00466A8A"/>
    <w:rsid w:val="00467EC9"/>
    <w:rsid w:val="00471777"/>
    <w:rsid w:val="00471E37"/>
    <w:rsid w:val="00471E63"/>
    <w:rsid w:val="00472DDC"/>
    <w:rsid w:val="00473E95"/>
    <w:rsid w:val="00474153"/>
    <w:rsid w:val="004742D9"/>
    <w:rsid w:val="00474BBA"/>
    <w:rsid w:val="00475019"/>
    <w:rsid w:val="004774F2"/>
    <w:rsid w:val="00481593"/>
    <w:rsid w:val="004829CD"/>
    <w:rsid w:val="004853B1"/>
    <w:rsid w:val="00485F0F"/>
    <w:rsid w:val="0048649A"/>
    <w:rsid w:val="00487E87"/>
    <w:rsid w:val="0049009F"/>
    <w:rsid w:val="004902DD"/>
    <w:rsid w:val="00491935"/>
    <w:rsid w:val="004930E9"/>
    <w:rsid w:val="00493ADE"/>
    <w:rsid w:val="004940E0"/>
    <w:rsid w:val="004956A6"/>
    <w:rsid w:val="00496FA8"/>
    <w:rsid w:val="004A062D"/>
    <w:rsid w:val="004A1F87"/>
    <w:rsid w:val="004A2832"/>
    <w:rsid w:val="004A3824"/>
    <w:rsid w:val="004A3C05"/>
    <w:rsid w:val="004A423F"/>
    <w:rsid w:val="004A42E2"/>
    <w:rsid w:val="004A471B"/>
    <w:rsid w:val="004A4C04"/>
    <w:rsid w:val="004A4DC9"/>
    <w:rsid w:val="004A663F"/>
    <w:rsid w:val="004A69EA"/>
    <w:rsid w:val="004A72D4"/>
    <w:rsid w:val="004B0EC2"/>
    <w:rsid w:val="004B10F7"/>
    <w:rsid w:val="004B50CD"/>
    <w:rsid w:val="004B54D9"/>
    <w:rsid w:val="004B6136"/>
    <w:rsid w:val="004B6858"/>
    <w:rsid w:val="004C0287"/>
    <w:rsid w:val="004C0ABC"/>
    <w:rsid w:val="004C0AD8"/>
    <w:rsid w:val="004C1540"/>
    <w:rsid w:val="004C2152"/>
    <w:rsid w:val="004C2C58"/>
    <w:rsid w:val="004C32F3"/>
    <w:rsid w:val="004C3958"/>
    <w:rsid w:val="004C397A"/>
    <w:rsid w:val="004C43B3"/>
    <w:rsid w:val="004C510B"/>
    <w:rsid w:val="004C6243"/>
    <w:rsid w:val="004C6619"/>
    <w:rsid w:val="004C6CEB"/>
    <w:rsid w:val="004C7FF3"/>
    <w:rsid w:val="004D0F4F"/>
    <w:rsid w:val="004D141C"/>
    <w:rsid w:val="004D177A"/>
    <w:rsid w:val="004D1963"/>
    <w:rsid w:val="004D2285"/>
    <w:rsid w:val="004D2906"/>
    <w:rsid w:val="004D545D"/>
    <w:rsid w:val="004D5BA9"/>
    <w:rsid w:val="004D6662"/>
    <w:rsid w:val="004D6BEE"/>
    <w:rsid w:val="004D7631"/>
    <w:rsid w:val="004E0226"/>
    <w:rsid w:val="004E055C"/>
    <w:rsid w:val="004E22A4"/>
    <w:rsid w:val="004E28EE"/>
    <w:rsid w:val="004E36CE"/>
    <w:rsid w:val="004E4901"/>
    <w:rsid w:val="004E4CC8"/>
    <w:rsid w:val="004E5E5D"/>
    <w:rsid w:val="004E6019"/>
    <w:rsid w:val="004E7AEC"/>
    <w:rsid w:val="004F1205"/>
    <w:rsid w:val="004F156C"/>
    <w:rsid w:val="004F1B97"/>
    <w:rsid w:val="004F271B"/>
    <w:rsid w:val="004F2DCB"/>
    <w:rsid w:val="004F3703"/>
    <w:rsid w:val="004F3741"/>
    <w:rsid w:val="004F551E"/>
    <w:rsid w:val="004F63D6"/>
    <w:rsid w:val="00500D32"/>
    <w:rsid w:val="00501AB0"/>
    <w:rsid w:val="005021F1"/>
    <w:rsid w:val="0050248E"/>
    <w:rsid w:val="00502A0F"/>
    <w:rsid w:val="00503581"/>
    <w:rsid w:val="00504082"/>
    <w:rsid w:val="0050590F"/>
    <w:rsid w:val="005061FF"/>
    <w:rsid w:val="00507F77"/>
    <w:rsid w:val="005102D0"/>
    <w:rsid w:val="00510492"/>
    <w:rsid w:val="0051058F"/>
    <w:rsid w:val="005123A2"/>
    <w:rsid w:val="00512AA1"/>
    <w:rsid w:val="00512B0F"/>
    <w:rsid w:val="00515754"/>
    <w:rsid w:val="00515878"/>
    <w:rsid w:val="00516ED4"/>
    <w:rsid w:val="00517A17"/>
    <w:rsid w:val="00517F0B"/>
    <w:rsid w:val="00521C4D"/>
    <w:rsid w:val="00521D87"/>
    <w:rsid w:val="00522DEF"/>
    <w:rsid w:val="00524978"/>
    <w:rsid w:val="0052557D"/>
    <w:rsid w:val="005259B0"/>
    <w:rsid w:val="005259F1"/>
    <w:rsid w:val="00526BE1"/>
    <w:rsid w:val="00527182"/>
    <w:rsid w:val="005279A9"/>
    <w:rsid w:val="0053031B"/>
    <w:rsid w:val="00531442"/>
    <w:rsid w:val="0053206E"/>
    <w:rsid w:val="00532CDD"/>
    <w:rsid w:val="00535E0E"/>
    <w:rsid w:val="00536401"/>
    <w:rsid w:val="00537ADE"/>
    <w:rsid w:val="005408C7"/>
    <w:rsid w:val="00540F8A"/>
    <w:rsid w:val="005418A4"/>
    <w:rsid w:val="005420A2"/>
    <w:rsid w:val="0054294B"/>
    <w:rsid w:val="00542DC4"/>
    <w:rsid w:val="005446B9"/>
    <w:rsid w:val="00545DD6"/>
    <w:rsid w:val="00545E9A"/>
    <w:rsid w:val="005464A7"/>
    <w:rsid w:val="00546BE8"/>
    <w:rsid w:val="00550368"/>
    <w:rsid w:val="00550CC1"/>
    <w:rsid w:val="005512D4"/>
    <w:rsid w:val="00551B97"/>
    <w:rsid w:val="005520E3"/>
    <w:rsid w:val="00552C57"/>
    <w:rsid w:val="00553617"/>
    <w:rsid w:val="00553E59"/>
    <w:rsid w:val="00555AD5"/>
    <w:rsid w:val="005562F7"/>
    <w:rsid w:val="0055707C"/>
    <w:rsid w:val="00557D5D"/>
    <w:rsid w:val="005604AF"/>
    <w:rsid w:val="00560EA8"/>
    <w:rsid w:val="00562267"/>
    <w:rsid w:val="005626A7"/>
    <w:rsid w:val="00563441"/>
    <w:rsid w:val="00563548"/>
    <w:rsid w:val="005639B0"/>
    <w:rsid w:val="0056438C"/>
    <w:rsid w:val="00565596"/>
    <w:rsid w:val="005656FF"/>
    <w:rsid w:val="00565A0E"/>
    <w:rsid w:val="00565EF3"/>
    <w:rsid w:val="005666C3"/>
    <w:rsid w:val="00566EBA"/>
    <w:rsid w:val="00570FBA"/>
    <w:rsid w:val="005712F6"/>
    <w:rsid w:val="00572768"/>
    <w:rsid w:val="00574071"/>
    <w:rsid w:val="00576114"/>
    <w:rsid w:val="005767F1"/>
    <w:rsid w:val="00577368"/>
    <w:rsid w:val="00577B8D"/>
    <w:rsid w:val="00580F3E"/>
    <w:rsid w:val="00581348"/>
    <w:rsid w:val="00582681"/>
    <w:rsid w:val="005839CE"/>
    <w:rsid w:val="00583AE6"/>
    <w:rsid w:val="005844CB"/>
    <w:rsid w:val="00584788"/>
    <w:rsid w:val="00584F0F"/>
    <w:rsid w:val="0058616F"/>
    <w:rsid w:val="005863E7"/>
    <w:rsid w:val="005902C0"/>
    <w:rsid w:val="005910D8"/>
    <w:rsid w:val="005924A2"/>
    <w:rsid w:val="005930FA"/>
    <w:rsid w:val="0059408F"/>
    <w:rsid w:val="00594CDC"/>
    <w:rsid w:val="005969D4"/>
    <w:rsid w:val="00596B0D"/>
    <w:rsid w:val="005A0DFF"/>
    <w:rsid w:val="005A2185"/>
    <w:rsid w:val="005A2AD6"/>
    <w:rsid w:val="005A2D25"/>
    <w:rsid w:val="005A370F"/>
    <w:rsid w:val="005A41B4"/>
    <w:rsid w:val="005A424B"/>
    <w:rsid w:val="005A4904"/>
    <w:rsid w:val="005A492F"/>
    <w:rsid w:val="005A7224"/>
    <w:rsid w:val="005A776B"/>
    <w:rsid w:val="005B01DA"/>
    <w:rsid w:val="005B0595"/>
    <w:rsid w:val="005B0785"/>
    <w:rsid w:val="005B0933"/>
    <w:rsid w:val="005B0D16"/>
    <w:rsid w:val="005B20BD"/>
    <w:rsid w:val="005B2360"/>
    <w:rsid w:val="005B4355"/>
    <w:rsid w:val="005B4B4F"/>
    <w:rsid w:val="005B529C"/>
    <w:rsid w:val="005B71AC"/>
    <w:rsid w:val="005C00C3"/>
    <w:rsid w:val="005C02D8"/>
    <w:rsid w:val="005C0A8A"/>
    <w:rsid w:val="005C1748"/>
    <w:rsid w:val="005C1790"/>
    <w:rsid w:val="005C1F6F"/>
    <w:rsid w:val="005C2A90"/>
    <w:rsid w:val="005C2BBB"/>
    <w:rsid w:val="005C3224"/>
    <w:rsid w:val="005C422B"/>
    <w:rsid w:val="005C4CCC"/>
    <w:rsid w:val="005C5964"/>
    <w:rsid w:val="005C610E"/>
    <w:rsid w:val="005C6725"/>
    <w:rsid w:val="005C6D0E"/>
    <w:rsid w:val="005C798E"/>
    <w:rsid w:val="005C7B67"/>
    <w:rsid w:val="005C7B68"/>
    <w:rsid w:val="005D03EE"/>
    <w:rsid w:val="005D0627"/>
    <w:rsid w:val="005D0B80"/>
    <w:rsid w:val="005D10D6"/>
    <w:rsid w:val="005D29E3"/>
    <w:rsid w:val="005D35AF"/>
    <w:rsid w:val="005D3D3A"/>
    <w:rsid w:val="005D3EF1"/>
    <w:rsid w:val="005D4B54"/>
    <w:rsid w:val="005D4BB7"/>
    <w:rsid w:val="005D4DA6"/>
    <w:rsid w:val="005D5152"/>
    <w:rsid w:val="005D706D"/>
    <w:rsid w:val="005E0182"/>
    <w:rsid w:val="005E0BC4"/>
    <w:rsid w:val="005E237B"/>
    <w:rsid w:val="005E32C1"/>
    <w:rsid w:val="005E35E5"/>
    <w:rsid w:val="005E38EB"/>
    <w:rsid w:val="005E412C"/>
    <w:rsid w:val="005E4154"/>
    <w:rsid w:val="005E57A3"/>
    <w:rsid w:val="005E6F63"/>
    <w:rsid w:val="005E7518"/>
    <w:rsid w:val="005E78C4"/>
    <w:rsid w:val="005F23EB"/>
    <w:rsid w:val="005F37F4"/>
    <w:rsid w:val="005F40B8"/>
    <w:rsid w:val="005F62B7"/>
    <w:rsid w:val="005F750E"/>
    <w:rsid w:val="005F7B41"/>
    <w:rsid w:val="005F7E72"/>
    <w:rsid w:val="0060224D"/>
    <w:rsid w:val="00602575"/>
    <w:rsid w:val="00602C34"/>
    <w:rsid w:val="006030E9"/>
    <w:rsid w:val="006033B6"/>
    <w:rsid w:val="00603CBC"/>
    <w:rsid w:val="00605044"/>
    <w:rsid w:val="00607276"/>
    <w:rsid w:val="00607F2D"/>
    <w:rsid w:val="006102DE"/>
    <w:rsid w:val="006115F8"/>
    <w:rsid w:val="00612848"/>
    <w:rsid w:val="00612AC8"/>
    <w:rsid w:val="00616836"/>
    <w:rsid w:val="00617859"/>
    <w:rsid w:val="006200F0"/>
    <w:rsid w:val="006214D9"/>
    <w:rsid w:val="00622BB5"/>
    <w:rsid w:val="00622D36"/>
    <w:rsid w:val="00623939"/>
    <w:rsid w:val="00623F01"/>
    <w:rsid w:val="00623F5E"/>
    <w:rsid w:val="0062448C"/>
    <w:rsid w:val="00624DE5"/>
    <w:rsid w:val="00626932"/>
    <w:rsid w:val="006304BC"/>
    <w:rsid w:val="0063055E"/>
    <w:rsid w:val="00630FA7"/>
    <w:rsid w:val="00631F96"/>
    <w:rsid w:val="00631FAD"/>
    <w:rsid w:val="006325AB"/>
    <w:rsid w:val="00633F55"/>
    <w:rsid w:val="00634560"/>
    <w:rsid w:val="00634976"/>
    <w:rsid w:val="0063557C"/>
    <w:rsid w:val="00635890"/>
    <w:rsid w:val="006363EF"/>
    <w:rsid w:val="00636E26"/>
    <w:rsid w:val="0063707A"/>
    <w:rsid w:val="0064037A"/>
    <w:rsid w:val="0064263A"/>
    <w:rsid w:val="00642A02"/>
    <w:rsid w:val="00642F19"/>
    <w:rsid w:val="00643F11"/>
    <w:rsid w:val="00644354"/>
    <w:rsid w:val="00644661"/>
    <w:rsid w:val="0064484A"/>
    <w:rsid w:val="00645093"/>
    <w:rsid w:val="006456EE"/>
    <w:rsid w:val="00645C07"/>
    <w:rsid w:val="006461A5"/>
    <w:rsid w:val="006463A1"/>
    <w:rsid w:val="0064652C"/>
    <w:rsid w:val="006476CC"/>
    <w:rsid w:val="00647813"/>
    <w:rsid w:val="00647B0E"/>
    <w:rsid w:val="00647E55"/>
    <w:rsid w:val="006507A9"/>
    <w:rsid w:val="00650D9E"/>
    <w:rsid w:val="0065196A"/>
    <w:rsid w:val="00652066"/>
    <w:rsid w:val="00653854"/>
    <w:rsid w:val="0065414E"/>
    <w:rsid w:val="00654456"/>
    <w:rsid w:val="0065479F"/>
    <w:rsid w:val="00655AC2"/>
    <w:rsid w:val="006564BF"/>
    <w:rsid w:val="006605DA"/>
    <w:rsid w:val="00660919"/>
    <w:rsid w:val="00660C0E"/>
    <w:rsid w:val="00661B02"/>
    <w:rsid w:val="00662BD4"/>
    <w:rsid w:val="00664893"/>
    <w:rsid w:val="00664B75"/>
    <w:rsid w:val="00665071"/>
    <w:rsid w:val="0066564F"/>
    <w:rsid w:val="00665872"/>
    <w:rsid w:val="00665CF4"/>
    <w:rsid w:val="00667015"/>
    <w:rsid w:val="006708D5"/>
    <w:rsid w:val="00670C11"/>
    <w:rsid w:val="0067210F"/>
    <w:rsid w:val="006727E1"/>
    <w:rsid w:val="006740DD"/>
    <w:rsid w:val="00674227"/>
    <w:rsid w:val="00674E66"/>
    <w:rsid w:val="00675E6B"/>
    <w:rsid w:val="006809AB"/>
    <w:rsid w:val="00680A87"/>
    <w:rsid w:val="00682A7B"/>
    <w:rsid w:val="00682D94"/>
    <w:rsid w:val="0068385E"/>
    <w:rsid w:val="0068387E"/>
    <w:rsid w:val="0068524E"/>
    <w:rsid w:val="00685FA7"/>
    <w:rsid w:val="006862A2"/>
    <w:rsid w:val="006874EF"/>
    <w:rsid w:val="00687C3D"/>
    <w:rsid w:val="00691579"/>
    <w:rsid w:val="0069218A"/>
    <w:rsid w:val="006924A3"/>
    <w:rsid w:val="0069271A"/>
    <w:rsid w:val="00692866"/>
    <w:rsid w:val="00692C3D"/>
    <w:rsid w:val="00693442"/>
    <w:rsid w:val="00694A34"/>
    <w:rsid w:val="00696B5B"/>
    <w:rsid w:val="00696EFE"/>
    <w:rsid w:val="00697534"/>
    <w:rsid w:val="006A0771"/>
    <w:rsid w:val="006A1A58"/>
    <w:rsid w:val="006A2362"/>
    <w:rsid w:val="006A24B1"/>
    <w:rsid w:val="006A31F4"/>
    <w:rsid w:val="006A325E"/>
    <w:rsid w:val="006A333F"/>
    <w:rsid w:val="006A3787"/>
    <w:rsid w:val="006A3CF3"/>
    <w:rsid w:val="006A5160"/>
    <w:rsid w:val="006A665D"/>
    <w:rsid w:val="006A67DF"/>
    <w:rsid w:val="006A740C"/>
    <w:rsid w:val="006B0539"/>
    <w:rsid w:val="006B104E"/>
    <w:rsid w:val="006B17F4"/>
    <w:rsid w:val="006B2A66"/>
    <w:rsid w:val="006B4785"/>
    <w:rsid w:val="006B4BA8"/>
    <w:rsid w:val="006B56C9"/>
    <w:rsid w:val="006B71A4"/>
    <w:rsid w:val="006B78BA"/>
    <w:rsid w:val="006B78E0"/>
    <w:rsid w:val="006B7D5A"/>
    <w:rsid w:val="006B7E0B"/>
    <w:rsid w:val="006C0B47"/>
    <w:rsid w:val="006C1958"/>
    <w:rsid w:val="006C2270"/>
    <w:rsid w:val="006C298F"/>
    <w:rsid w:val="006C3EC9"/>
    <w:rsid w:val="006C5909"/>
    <w:rsid w:val="006C6A94"/>
    <w:rsid w:val="006C6CCB"/>
    <w:rsid w:val="006C7F1F"/>
    <w:rsid w:val="006D0F31"/>
    <w:rsid w:val="006D2D71"/>
    <w:rsid w:val="006D2F92"/>
    <w:rsid w:val="006D3B73"/>
    <w:rsid w:val="006D3C88"/>
    <w:rsid w:val="006D4599"/>
    <w:rsid w:val="006D4C2E"/>
    <w:rsid w:val="006D6788"/>
    <w:rsid w:val="006D6A43"/>
    <w:rsid w:val="006D6A89"/>
    <w:rsid w:val="006D7956"/>
    <w:rsid w:val="006E09FD"/>
    <w:rsid w:val="006E17E1"/>
    <w:rsid w:val="006E1FF3"/>
    <w:rsid w:val="006E208F"/>
    <w:rsid w:val="006E2228"/>
    <w:rsid w:val="006E2609"/>
    <w:rsid w:val="006E2C80"/>
    <w:rsid w:val="006E32A6"/>
    <w:rsid w:val="006E410F"/>
    <w:rsid w:val="006E5ED2"/>
    <w:rsid w:val="006E6B31"/>
    <w:rsid w:val="006E713A"/>
    <w:rsid w:val="006E77AF"/>
    <w:rsid w:val="006F0CA5"/>
    <w:rsid w:val="006F11F0"/>
    <w:rsid w:val="006F1611"/>
    <w:rsid w:val="006F1CE5"/>
    <w:rsid w:val="006F20F9"/>
    <w:rsid w:val="006F2E65"/>
    <w:rsid w:val="006F42D9"/>
    <w:rsid w:val="006F4E34"/>
    <w:rsid w:val="006F50ED"/>
    <w:rsid w:val="006F75E0"/>
    <w:rsid w:val="006F76D8"/>
    <w:rsid w:val="006F7711"/>
    <w:rsid w:val="007006EA"/>
    <w:rsid w:val="007011A6"/>
    <w:rsid w:val="007018B5"/>
    <w:rsid w:val="00702C00"/>
    <w:rsid w:val="00704410"/>
    <w:rsid w:val="00704D52"/>
    <w:rsid w:val="007050B7"/>
    <w:rsid w:val="007054F3"/>
    <w:rsid w:val="00706818"/>
    <w:rsid w:val="007074A4"/>
    <w:rsid w:val="00707730"/>
    <w:rsid w:val="00710B9D"/>
    <w:rsid w:val="00710EA6"/>
    <w:rsid w:val="00711C09"/>
    <w:rsid w:val="00712820"/>
    <w:rsid w:val="00712BC4"/>
    <w:rsid w:val="007161BD"/>
    <w:rsid w:val="0071646D"/>
    <w:rsid w:val="007176DA"/>
    <w:rsid w:val="00717B79"/>
    <w:rsid w:val="007217EA"/>
    <w:rsid w:val="007222C1"/>
    <w:rsid w:val="0072235C"/>
    <w:rsid w:val="00722DA8"/>
    <w:rsid w:val="00722E3D"/>
    <w:rsid w:val="007239AD"/>
    <w:rsid w:val="00725DC6"/>
    <w:rsid w:val="00725EC4"/>
    <w:rsid w:val="00726192"/>
    <w:rsid w:val="007261EE"/>
    <w:rsid w:val="00726A80"/>
    <w:rsid w:val="00726FC2"/>
    <w:rsid w:val="0073232A"/>
    <w:rsid w:val="00732E0C"/>
    <w:rsid w:val="0073385B"/>
    <w:rsid w:val="007339A1"/>
    <w:rsid w:val="00734DB5"/>
    <w:rsid w:val="007350B0"/>
    <w:rsid w:val="00736359"/>
    <w:rsid w:val="00736720"/>
    <w:rsid w:val="00736918"/>
    <w:rsid w:val="0074151A"/>
    <w:rsid w:val="00741C12"/>
    <w:rsid w:val="00743342"/>
    <w:rsid w:val="0074396E"/>
    <w:rsid w:val="00743ABB"/>
    <w:rsid w:val="00745833"/>
    <w:rsid w:val="007460B2"/>
    <w:rsid w:val="007467ED"/>
    <w:rsid w:val="00750EFB"/>
    <w:rsid w:val="00751270"/>
    <w:rsid w:val="0075214A"/>
    <w:rsid w:val="00753889"/>
    <w:rsid w:val="00754A9B"/>
    <w:rsid w:val="007553BA"/>
    <w:rsid w:val="007559F7"/>
    <w:rsid w:val="00755DFF"/>
    <w:rsid w:val="00756299"/>
    <w:rsid w:val="00756600"/>
    <w:rsid w:val="007568BC"/>
    <w:rsid w:val="007573BA"/>
    <w:rsid w:val="00757CA7"/>
    <w:rsid w:val="00760820"/>
    <w:rsid w:val="00762CF3"/>
    <w:rsid w:val="0076560C"/>
    <w:rsid w:val="00766069"/>
    <w:rsid w:val="0076681A"/>
    <w:rsid w:val="00767A5E"/>
    <w:rsid w:val="00770284"/>
    <w:rsid w:val="007711C7"/>
    <w:rsid w:val="00774956"/>
    <w:rsid w:val="00775971"/>
    <w:rsid w:val="007764D7"/>
    <w:rsid w:val="007764E6"/>
    <w:rsid w:val="007769A8"/>
    <w:rsid w:val="00777923"/>
    <w:rsid w:val="00781134"/>
    <w:rsid w:val="00781BC2"/>
    <w:rsid w:val="007820FD"/>
    <w:rsid w:val="0078242D"/>
    <w:rsid w:val="00782776"/>
    <w:rsid w:val="00783836"/>
    <w:rsid w:val="00784932"/>
    <w:rsid w:val="00784B9A"/>
    <w:rsid w:val="0078581E"/>
    <w:rsid w:val="00786036"/>
    <w:rsid w:val="00787A79"/>
    <w:rsid w:val="0079280D"/>
    <w:rsid w:val="00792D3E"/>
    <w:rsid w:val="007937A8"/>
    <w:rsid w:val="00793DF4"/>
    <w:rsid w:val="0079642E"/>
    <w:rsid w:val="007967F3"/>
    <w:rsid w:val="0079692B"/>
    <w:rsid w:val="007A165F"/>
    <w:rsid w:val="007A1ED6"/>
    <w:rsid w:val="007A223E"/>
    <w:rsid w:val="007A30AD"/>
    <w:rsid w:val="007A3406"/>
    <w:rsid w:val="007A40AA"/>
    <w:rsid w:val="007A4463"/>
    <w:rsid w:val="007A61B4"/>
    <w:rsid w:val="007A65EC"/>
    <w:rsid w:val="007A6775"/>
    <w:rsid w:val="007A6F2A"/>
    <w:rsid w:val="007B07EF"/>
    <w:rsid w:val="007B1088"/>
    <w:rsid w:val="007B176B"/>
    <w:rsid w:val="007B1BA4"/>
    <w:rsid w:val="007B463E"/>
    <w:rsid w:val="007B4895"/>
    <w:rsid w:val="007B551B"/>
    <w:rsid w:val="007B565A"/>
    <w:rsid w:val="007B6895"/>
    <w:rsid w:val="007B7923"/>
    <w:rsid w:val="007C01BD"/>
    <w:rsid w:val="007C074B"/>
    <w:rsid w:val="007C0FD5"/>
    <w:rsid w:val="007C12D1"/>
    <w:rsid w:val="007C15F1"/>
    <w:rsid w:val="007C2026"/>
    <w:rsid w:val="007C234E"/>
    <w:rsid w:val="007C27D1"/>
    <w:rsid w:val="007C4467"/>
    <w:rsid w:val="007C4560"/>
    <w:rsid w:val="007C6B76"/>
    <w:rsid w:val="007C70F8"/>
    <w:rsid w:val="007C7AAC"/>
    <w:rsid w:val="007C7DC6"/>
    <w:rsid w:val="007D0682"/>
    <w:rsid w:val="007D2195"/>
    <w:rsid w:val="007D2972"/>
    <w:rsid w:val="007D54EF"/>
    <w:rsid w:val="007D6B5F"/>
    <w:rsid w:val="007D70BD"/>
    <w:rsid w:val="007D72C0"/>
    <w:rsid w:val="007E1E74"/>
    <w:rsid w:val="007E258F"/>
    <w:rsid w:val="007E2873"/>
    <w:rsid w:val="007E410C"/>
    <w:rsid w:val="007E4F96"/>
    <w:rsid w:val="007E4F9C"/>
    <w:rsid w:val="007E5B24"/>
    <w:rsid w:val="007E5D55"/>
    <w:rsid w:val="007E649E"/>
    <w:rsid w:val="007E7327"/>
    <w:rsid w:val="007F030C"/>
    <w:rsid w:val="007F0C56"/>
    <w:rsid w:val="007F1F20"/>
    <w:rsid w:val="007F1FD6"/>
    <w:rsid w:val="007F2052"/>
    <w:rsid w:val="007F232A"/>
    <w:rsid w:val="007F2D6A"/>
    <w:rsid w:val="007F2FA9"/>
    <w:rsid w:val="007F442B"/>
    <w:rsid w:val="007F47F9"/>
    <w:rsid w:val="007F4B08"/>
    <w:rsid w:val="007F4D43"/>
    <w:rsid w:val="007F5850"/>
    <w:rsid w:val="007F66C5"/>
    <w:rsid w:val="007F6CEC"/>
    <w:rsid w:val="007F7FA6"/>
    <w:rsid w:val="00800C94"/>
    <w:rsid w:val="00801FBC"/>
    <w:rsid w:val="00801FE0"/>
    <w:rsid w:val="00802191"/>
    <w:rsid w:val="00803336"/>
    <w:rsid w:val="00803AFE"/>
    <w:rsid w:val="00803F3B"/>
    <w:rsid w:val="00804588"/>
    <w:rsid w:val="00804D42"/>
    <w:rsid w:val="00805853"/>
    <w:rsid w:val="008058F4"/>
    <w:rsid w:val="008060DC"/>
    <w:rsid w:val="00807FD1"/>
    <w:rsid w:val="0081134C"/>
    <w:rsid w:val="00811687"/>
    <w:rsid w:val="00812384"/>
    <w:rsid w:val="008123F6"/>
    <w:rsid w:val="0081245B"/>
    <w:rsid w:val="00813701"/>
    <w:rsid w:val="008139B8"/>
    <w:rsid w:val="00813A75"/>
    <w:rsid w:val="008141F0"/>
    <w:rsid w:val="008146C3"/>
    <w:rsid w:val="008148E4"/>
    <w:rsid w:val="00815F02"/>
    <w:rsid w:val="00817039"/>
    <w:rsid w:val="0081738E"/>
    <w:rsid w:val="0081747D"/>
    <w:rsid w:val="00817D13"/>
    <w:rsid w:val="008208BE"/>
    <w:rsid w:val="00820AEE"/>
    <w:rsid w:val="00822581"/>
    <w:rsid w:val="00824EA3"/>
    <w:rsid w:val="0082526C"/>
    <w:rsid w:val="00826F53"/>
    <w:rsid w:val="008270E2"/>
    <w:rsid w:val="00831759"/>
    <w:rsid w:val="00831D49"/>
    <w:rsid w:val="00833C26"/>
    <w:rsid w:val="00833C5D"/>
    <w:rsid w:val="0083492E"/>
    <w:rsid w:val="00834A23"/>
    <w:rsid w:val="00834B3C"/>
    <w:rsid w:val="00835678"/>
    <w:rsid w:val="00843238"/>
    <w:rsid w:val="008436B3"/>
    <w:rsid w:val="0084374A"/>
    <w:rsid w:val="00843EA2"/>
    <w:rsid w:val="00844ACB"/>
    <w:rsid w:val="00844DC5"/>
    <w:rsid w:val="008457F5"/>
    <w:rsid w:val="00846EDA"/>
    <w:rsid w:val="00847BE3"/>
    <w:rsid w:val="00850737"/>
    <w:rsid w:val="008528F5"/>
    <w:rsid w:val="00852928"/>
    <w:rsid w:val="00854D24"/>
    <w:rsid w:val="00855051"/>
    <w:rsid w:val="00855DD4"/>
    <w:rsid w:val="00856824"/>
    <w:rsid w:val="00856F22"/>
    <w:rsid w:val="00857716"/>
    <w:rsid w:val="00857DB0"/>
    <w:rsid w:val="008609C0"/>
    <w:rsid w:val="00863C60"/>
    <w:rsid w:val="008648A6"/>
    <w:rsid w:val="008657C0"/>
    <w:rsid w:val="0086750E"/>
    <w:rsid w:val="00870990"/>
    <w:rsid w:val="008720B3"/>
    <w:rsid w:val="008722CC"/>
    <w:rsid w:val="00873CE0"/>
    <w:rsid w:val="00876524"/>
    <w:rsid w:val="00877E07"/>
    <w:rsid w:val="00880131"/>
    <w:rsid w:val="0088044D"/>
    <w:rsid w:val="008806A6"/>
    <w:rsid w:val="00882879"/>
    <w:rsid w:val="00882B77"/>
    <w:rsid w:val="00883C17"/>
    <w:rsid w:val="00885881"/>
    <w:rsid w:val="00886F1E"/>
    <w:rsid w:val="00886FFE"/>
    <w:rsid w:val="0089054C"/>
    <w:rsid w:val="00890881"/>
    <w:rsid w:val="008913FB"/>
    <w:rsid w:val="0089149C"/>
    <w:rsid w:val="00891F8A"/>
    <w:rsid w:val="008970AD"/>
    <w:rsid w:val="008A0B3A"/>
    <w:rsid w:val="008A122A"/>
    <w:rsid w:val="008A18CF"/>
    <w:rsid w:val="008A2E69"/>
    <w:rsid w:val="008A3F39"/>
    <w:rsid w:val="008A5639"/>
    <w:rsid w:val="008A5B19"/>
    <w:rsid w:val="008A5C18"/>
    <w:rsid w:val="008A5D0F"/>
    <w:rsid w:val="008A6A4D"/>
    <w:rsid w:val="008A6AD4"/>
    <w:rsid w:val="008A6C86"/>
    <w:rsid w:val="008A707A"/>
    <w:rsid w:val="008A7216"/>
    <w:rsid w:val="008A7506"/>
    <w:rsid w:val="008A771B"/>
    <w:rsid w:val="008A7761"/>
    <w:rsid w:val="008A7932"/>
    <w:rsid w:val="008A7D23"/>
    <w:rsid w:val="008A7D89"/>
    <w:rsid w:val="008B0626"/>
    <w:rsid w:val="008B096B"/>
    <w:rsid w:val="008B176F"/>
    <w:rsid w:val="008B373D"/>
    <w:rsid w:val="008B39F3"/>
    <w:rsid w:val="008B4FDB"/>
    <w:rsid w:val="008B502A"/>
    <w:rsid w:val="008C1477"/>
    <w:rsid w:val="008C3211"/>
    <w:rsid w:val="008C3583"/>
    <w:rsid w:val="008C44F9"/>
    <w:rsid w:val="008C4C2B"/>
    <w:rsid w:val="008C4C58"/>
    <w:rsid w:val="008C5253"/>
    <w:rsid w:val="008C5B22"/>
    <w:rsid w:val="008C71F3"/>
    <w:rsid w:val="008D0D7F"/>
    <w:rsid w:val="008D1040"/>
    <w:rsid w:val="008D107D"/>
    <w:rsid w:val="008D130F"/>
    <w:rsid w:val="008D2AA5"/>
    <w:rsid w:val="008D2E27"/>
    <w:rsid w:val="008D3E12"/>
    <w:rsid w:val="008D42BE"/>
    <w:rsid w:val="008D49EB"/>
    <w:rsid w:val="008D5512"/>
    <w:rsid w:val="008D57D0"/>
    <w:rsid w:val="008D5820"/>
    <w:rsid w:val="008D5D82"/>
    <w:rsid w:val="008D5F84"/>
    <w:rsid w:val="008D6AE1"/>
    <w:rsid w:val="008E04B3"/>
    <w:rsid w:val="008E2884"/>
    <w:rsid w:val="008E295C"/>
    <w:rsid w:val="008E2F74"/>
    <w:rsid w:val="008E5538"/>
    <w:rsid w:val="008E608A"/>
    <w:rsid w:val="008E641F"/>
    <w:rsid w:val="008E7A00"/>
    <w:rsid w:val="008E7EFE"/>
    <w:rsid w:val="008F062A"/>
    <w:rsid w:val="008F086E"/>
    <w:rsid w:val="008F163D"/>
    <w:rsid w:val="008F1C29"/>
    <w:rsid w:val="008F1D7D"/>
    <w:rsid w:val="008F2117"/>
    <w:rsid w:val="008F2359"/>
    <w:rsid w:val="008F36CF"/>
    <w:rsid w:val="008F3BDB"/>
    <w:rsid w:val="008F4EB4"/>
    <w:rsid w:val="008F4FAF"/>
    <w:rsid w:val="008F5950"/>
    <w:rsid w:val="008F6AF5"/>
    <w:rsid w:val="008F710E"/>
    <w:rsid w:val="008F7BC0"/>
    <w:rsid w:val="00900E07"/>
    <w:rsid w:val="00900E95"/>
    <w:rsid w:val="00901081"/>
    <w:rsid w:val="00901916"/>
    <w:rsid w:val="00902193"/>
    <w:rsid w:val="0090367F"/>
    <w:rsid w:val="009042A9"/>
    <w:rsid w:val="0090512D"/>
    <w:rsid w:val="00905781"/>
    <w:rsid w:val="009065A7"/>
    <w:rsid w:val="009067E9"/>
    <w:rsid w:val="00906BD3"/>
    <w:rsid w:val="00907E77"/>
    <w:rsid w:val="00911461"/>
    <w:rsid w:val="00911E17"/>
    <w:rsid w:val="00912D96"/>
    <w:rsid w:val="00913001"/>
    <w:rsid w:val="009141E2"/>
    <w:rsid w:val="00914B70"/>
    <w:rsid w:val="00915F7B"/>
    <w:rsid w:val="00916F05"/>
    <w:rsid w:val="009175B2"/>
    <w:rsid w:val="00917834"/>
    <w:rsid w:val="00917EA1"/>
    <w:rsid w:val="009207A4"/>
    <w:rsid w:val="00922733"/>
    <w:rsid w:val="0092312B"/>
    <w:rsid w:val="00923993"/>
    <w:rsid w:val="00923FCF"/>
    <w:rsid w:val="00924387"/>
    <w:rsid w:val="00924D65"/>
    <w:rsid w:val="009251B4"/>
    <w:rsid w:val="0092597C"/>
    <w:rsid w:val="00927661"/>
    <w:rsid w:val="00927921"/>
    <w:rsid w:val="00930395"/>
    <w:rsid w:val="009305AB"/>
    <w:rsid w:val="0093064A"/>
    <w:rsid w:val="00930D4A"/>
    <w:rsid w:val="00931FA0"/>
    <w:rsid w:val="009321A9"/>
    <w:rsid w:val="00932244"/>
    <w:rsid w:val="00932578"/>
    <w:rsid w:val="009332F5"/>
    <w:rsid w:val="00933EC4"/>
    <w:rsid w:val="0093538E"/>
    <w:rsid w:val="00936BDE"/>
    <w:rsid w:val="0093796C"/>
    <w:rsid w:val="009407D7"/>
    <w:rsid w:val="00940871"/>
    <w:rsid w:val="009411C7"/>
    <w:rsid w:val="00942822"/>
    <w:rsid w:val="00942C68"/>
    <w:rsid w:val="009438D3"/>
    <w:rsid w:val="0094541A"/>
    <w:rsid w:val="00945483"/>
    <w:rsid w:val="009458D9"/>
    <w:rsid w:val="00947B7F"/>
    <w:rsid w:val="00950DD2"/>
    <w:rsid w:val="00950E76"/>
    <w:rsid w:val="00951734"/>
    <w:rsid w:val="00951BAE"/>
    <w:rsid w:val="009526A8"/>
    <w:rsid w:val="009527FB"/>
    <w:rsid w:val="00952BCA"/>
    <w:rsid w:val="00953CE5"/>
    <w:rsid w:val="00953CE6"/>
    <w:rsid w:val="0095421A"/>
    <w:rsid w:val="009549F8"/>
    <w:rsid w:val="009552C9"/>
    <w:rsid w:val="00957307"/>
    <w:rsid w:val="00957C91"/>
    <w:rsid w:val="009600CC"/>
    <w:rsid w:val="00960C42"/>
    <w:rsid w:val="009616DD"/>
    <w:rsid w:val="00961AEA"/>
    <w:rsid w:val="0096331E"/>
    <w:rsid w:val="00963398"/>
    <w:rsid w:val="00967575"/>
    <w:rsid w:val="009675DC"/>
    <w:rsid w:val="00967D6D"/>
    <w:rsid w:val="00967E44"/>
    <w:rsid w:val="0097139F"/>
    <w:rsid w:val="00971B75"/>
    <w:rsid w:val="00972837"/>
    <w:rsid w:val="00975B61"/>
    <w:rsid w:val="009768E2"/>
    <w:rsid w:val="00976E2D"/>
    <w:rsid w:val="009808E9"/>
    <w:rsid w:val="0098169E"/>
    <w:rsid w:val="00982CEE"/>
    <w:rsid w:val="00982D6D"/>
    <w:rsid w:val="009835B0"/>
    <w:rsid w:val="0098399B"/>
    <w:rsid w:val="00983B63"/>
    <w:rsid w:val="00983E32"/>
    <w:rsid w:val="00984A07"/>
    <w:rsid w:val="00985EBE"/>
    <w:rsid w:val="00986633"/>
    <w:rsid w:val="00987476"/>
    <w:rsid w:val="00990569"/>
    <w:rsid w:val="00990A6D"/>
    <w:rsid w:val="00990CAA"/>
    <w:rsid w:val="00991170"/>
    <w:rsid w:val="0099200B"/>
    <w:rsid w:val="00992558"/>
    <w:rsid w:val="009926FB"/>
    <w:rsid w:val="0099305F"/>
    <w:rsid w:val="0099375C"/>
    <w:rsid w:val="00994104"/>
    <w:rsid w:val="00994CA3"/>
    <w:rsid w:val="009953B9"/>
    <w:rsid w:val="00995BD2"/>
    <w:rsid w:val="0099640F"/>
    <w:rsid w:val="00996410"/>
    <w:rsid w:val="00996A7F"/>
    <w:rsid w:val="0099798F"/>
    <w:rsid w:val="00997E1E"/>
    <w:rsid w:val="009A2225"/>
    <w:rsid w:val="009A2FB8"/>
    <w:rsid w:val="009A30E9"/>
    <w:rsid w:val="009A4139"/>
    <w:rsid w:val="009A58A0"/>
    <w:rsid w:val="009A6BF5"/>
    <w:rsid w:val="009A70D5"/>
    <w:rsid w:val="009A7339"/>
    <w:rsid w:val="009A7887"/>
    <w:rsid w:val="009A788C"/>
    <w:rsid w:val="009A7FEE"/>
    <w:rsid w:val="009B0500"/>
    <w:rsid w:val="009B1561"/>
    <w:rsid w:val="009B1E96"/>
    <w:rsid w:val="009B2915"/>
    <w:rsid w:val="009B39FB"/>
    <w:rsid w:val="009B4EDC"/>
    <w:rsid w:val="009B4EDD"/>
    <w:rsid w:val="009B523C"/>
    <w:rsid w:val="009B58BF"/>
    <w:rsid w:val="009B5F9F"/>
    <w:rsid w:val="009B699F"/>
    <w:rsid w:val="009B7420"/>
    <w:rsid w:val="009B785A"/>
    <w:rsid w:val="009B7D06"/>
    <w:rsid w:val="009C2098"/>
    <w:rsid w:val="009C2334"/>
    <w:rsid w:val="009C2DE8"/>
    <w:rsid w:val="009C3128"/>
    <w:rsid w:val="009C3BD5"/>
    <w:rsid w:val="009C4313"/>
    <w:rsid w:val="009C59C1"/>
    <w:rsid w:val="009C6488"/>
    <w:rsid w:val="009C773A"/>
    <w:rsid w:val="009D05CB"/>
    <w:rsid w:val="009D05FC"/>
    <w:rsid w:val="009D06DB"/>
    <w:rsid w:val="009D0849"/>
    <w:rsid w:val="009D0C2D"/>
    <w:rsid w:val="009D139B"/>
    <w:rsid w:val="009D2C43"/>
    <w:rsid w:val="009D3020"/>
    <w:rsid w:val="009D330B"/>
    <w:rsid w:val="009D417B"/>
    <w:rsid w:val="009D477E"/>
    <w:rsid w:val="009D4B7F"/>
    <w:rsid w:val="009D55E0"/>
    <w:rsid w:val="009D5720"/>
    <w:rsid w:val="009D5900"/>
    <w:rsid w:val="009D63EF"/>
    <w:rsid w:val="009D6AC6"/>
    <w:rsid w:val="009D76AD"/>
    <w:rsid w:val="009D77C0"/>
    <w:rsid w:val="009E16C4"/>
    <w:rsid w:val="009E2B81"/>
    <w:rsid w:val="009E38CE"/>
    <w:rsid w:val="009E3C6A"/>
    <w:rsid w:val="009E3CB4"/>
    <w:rsid w:val="009E4588"/>
    <w:rsid w:val="009E4872"/>
    <w:rsid w:val="009E6AE4"/>
    <w:rsid w:val="009E7624"/>
    <w:rsid w:val="009E76ED"/>
    <w:rsid w:val="009E789F"/>
    <w:rsid w:val="009F03DB"/>
    <w:rsid w:val="009F07AF"/>
    <w:rsid w:val="009F1775"/>
    <w:rsid w:val="009F331B"/>
    <w:rsid w:val="009F3C66"/>
    <w:rsid w:val="009F4181"/>
    <w:rsid w:val="009F4775"/>
    <w:rsid w:val="009F4ED8"/>
    <w:rsid w:val="009F62A0"/>
    <w:rsid w:val="00A00971"/>
    <w:rsid w:val="00A02327"/>
    <w:rsid w:val="00A02A2B"/>
    <w:rsid w:val="00A02E95"/>
    <w:rsid w:val="00A03167"/>
    <w:rsid w:val="00A03442"/>
    <w:rsid w:val="00A037B4"/>
    <w:rsid w:val="00A03E25"/>
    <w:rsid w:val="00A04494"/>
    <w:rsid w:val="00A0522B"/>
    <w:rsid w:val="00A0597D"/>
    <w:rsid w:val="00A06D04"/>
    <w:rsid w:val="00A06DBB"/>
    <w:rsid w:val="00A07595"/>
    <w:rsid w:val="00A07A02"/>
    <w:rsid w:val="00A07A69"/>
    <w:rsid w:val="00A07D4C"/>
    <w:rsid w:val="00A07DAE"/>
    <w:rsid w:val="00A10026"/>
    <w:rsid w:val="00A1023A"/>
    <w:rsid w:val="00A12F70"/>
    <w:rsid w:val="00A13FD6"/>
    <w:rsid w:val="00A146C9"/>
    <w:rsid w:val="00A1624E"/>
    <w:rsid w:val="00A16AD9"/>
    <w:rsid w:val="00A20CA5"/>
    <w:rsid w:val="00A2142C"/>
    <w:rsid w:val="00A2152D"/>
    <w:rsid w:val="00A21D3D"/>
    <w:rsid w:val="00A22022"/>
    <w:rsid w:val="00A2272D"/>
    <w:rsid w:val="00A22AC2"/>
    <w:rsid w:val="00A23040"/>
    <w:rsid w:val="00A27523"/>
    <w:rsid w:val="00A30621"/>
    <w:rsid w:val="00A31CAE"/>
    <w:rsid w:val="00A32737"/>
    <w:rsid w:val="00A3387C"/>
    <w:rsid w:val="00A33BF1"/>
    <w:rsid w:val="00A3513C"/>
    <w:rsid w:val="00A35943"/>
    <w:rsid w:val="00A35E34"/>
    <w:rsid w:val="00A36351"/>
    <w:rsid w:val="00A3644B"/>
    <w:rsid w:val="00A36532"/>
    <w:rsid w:val="00A36BB9"/>
    <w:rsid w:val="00A37F20"/>
    <w:rsid w:val="00A406C8"/>
    <w:rsid w:val="00A407BF"/>
    <w:rsid w:val="00A42B09"/>
    <w:rsid w:val="00A44BBA"/>
    <w:rsid w:val="00A45667"/>
    <w:rsid w:val="00A456E7"/>
    <w:rsid w:val="00A461CD"/>
    <w:rsid w:val="00A4688C"/>
    <w:rsid w:val="00A469E4"/>
    <w:rsid w:val="00A51213"/>
    <w:rsid w:val="00A51262"/>
    <w:rsid w:val="00A514D3"/>
    <w:rsid w:val="00A516F0"/>
    <w:rsid w:val="00A53C63"/>
    <w:rsid w:val="00A54312"/>
    <w:rsid w:val="00A5455F"/>
    <w:rsid w:val="00A54E89"/>
    <w:rsid w:val="00A54E95"/>
    <w:rsid w:val="00A559C2"/>
    <w:rsid w:val="00A55B78"/>
    <w:rsid w:val="00A55E72"/>
    <w:rsid w:val="00A5639C"/>
    <w:rsid w:val="00A5657F"/>
    <w:rsid w:val="00A565E6"/>
    <w:rsid w:val="00A60194"/>
    <w:rsid w:val="00A607EA"/>
    <w:rsid w:val="00A60B9E"/>
    <w:rsid w:val="00A60DF1"/>
    <w:rsid w:val="00A616B1"/>
    <w:rsid w:val="00A61D66"/>
    <w:rsid w:val="00A639E1"/>
    <w:rsid w:val="00A63C4E"/>
    <w:rsid w:val="00A64A2D"/>
    <w:rsid w:val="00A65C78"/>
    <w:rsid w:val="00A664C7"/>
    <w:rsid w:val="00A67749"/>
    <w:rsid w:val="00A678A6"/>
    <w:rsid w:val="00A71281"/>
    <w:rsid w:val="00A722D9"/>
    <w:rsid w:val="00A72981"/>
    <w:rsid w:val="00A73E4C"/>
    <w:rsid w:val="00A75030"/>
    <w:rsid w:val="00A75BAB"/>
    <w:rsid w:val="00A75E7C"/>
    <w:rsid w:val="00A76135"/>
    <w:rsid w:val="00A778A4"/>
    <w:rsid w:val="00A80384"/>
    <w:rsid w:val="00A80F7E"/>
    <w:rsid w:val="00A8131D"/>
    <w:rsid w:val="00A81392"/>
    <w:rsid w:val="00A81957"/>
    <w:rsid w:val="00A82131"/>
    <w:rsid w:val="00A832D7"/>
    <w:rsid w:val="00A832ED"/>
    <w:rsid w:val="00A84AB0"/>
    <w:rsid w:val="00A859F9"/>
    <w:rsid w:val="00A86606"/>
    <w:rsid w:val="00A8798E"/>
    <w:rsid w:val="00A87C57"/>
    <w:rsid w:val="00A87EDE"/>
    <w:rsid w:val="00A90CA0"/>
    <w:rsid w:val="00A919FD"/>
    <w:rsid w:val="00A9223B"/>
    <w:rsid w:val="00A92488"/>
    <w:rsid w:val="00A93FC0"/>
    <w:rsid w:val="00A9579F"/>
    <w:rsid w:val="00A96247"/>
    <w:rsid w:val="00A9689D"/>
    <w:rsid w:val="00A97F3F"/>
    <w:rsid w:val="00AA0445"/>
    <w:rsid w:val="00AA1D56"/>
    <w:rsid w:val="00AA1EB8"/>
    <w:rsid w:val="00AA21A2"/>
    <w:rsid w:val="00AA23D1"/>
    <w:rsid w:val="00AA23E0"/>
    <w:rsid w:val="00AA2508"/>
    <w:rsid w:val="00AA27AE"/>
    <w:rsid w:val="00AA2DD2"/>
    <w:rsid w:val="00AA3C34"/>
    <w:rsid w:val="00AA4BC0"/>
    <w:rsid w:val="00AA5A30"/>
    <w:rsid w:val="00AA5A93"/>
    <w:rsid w:val="00AA5DD3"/>
    <w:rsid w:val="00AA6C82"/>
    <w:rsid w:val="00AA700E"/>
    <w:rsid w:val="00AA7020"/>
    <w:rsid w:val="00AA71CC"/>
    <w:rsid w:val="00AA76B8"/>
    <w:rsid w:val="00AA776B"/>
    <w:rsid w:val="00AA7A91"/>
    <w:rsid w:val="00AA7DB4"/>
    <w:rsid w:val="00AB0B55"/>
    <w:rsid w:val="00AB162A"/>
    <w:rsid w:val="00AB27DC"/>
    <w:rsid w:val="00AB28A7"/>
    <w:rsid w:val="00AB3023"/>
    <w:rsid w:val="00AB437D"/>
    <w:rsid w:val="00AB45A4"/>
    <w:rsid w:val="00AB4FA6"/>
    <w:rsid w:val="00AB6494"/>
    <w:rsid w:val="00AB72E6"/>
    <w:rsid w:val="00AB74FD"/>
    <w:rsid w:val="00AC0EBB"/>
    <w:rsid w:val="00AC20B8"/>
    <w:rsid w:val="00AC2D3D"/>
    <w:rsid w:val="00AC325F"/>
    <w:rsid w:val="00AC3F3E"/>
    <w:rsid w:val="00AC40A1"/>
    <w:rsid w:val="00AC43D3"/>
    <w:rsid w:val="00AC5AE6"/>
    <w:rsid w:val="00AC5C52"/>
    <w:rsid w:val="00AC5FB8"/>
    <w:rsid w:val="00AC62FC"/>
    <w:rsid w:val="00AC6F2A"/>
    <w:rsid w:val="00AC6F48"/>
    <w:rsid w:val="00AD191F"/>
    <w:rsid w:val="00AD21CD"/>
    <w:rsid w:val="00AD4B6F"/>
    <w:rsid w:val="00AD68A5"/>
    <w:rsid w:val="00AD7D9A"/>
    <w:rsid w:val="00AE071D"/>
    <w:rsid w:val="00AE0BC6"/>
    <w:rsid w:val="00AE0E67"/>
    <w:rsid w:val="00AE0FEF"/>
    <w:rsid w:val="00AE196C"/>
    <w:rsid w:val="00AE3262"/>
    <w:rsid w:val="00AE3948"/>
    <w:rsid w:val="00AE3EC8"/>
    <w:rsid w:val="00AE52EF"/>
    <w:rsid w:val="00AE541F"/>
    <w:rsid w:val="00AE5B43"/>
    <w:rsid w:val="00AE6C27"/>
    <w:rsid w:val="00AE7F28"/>
    <w:rsid w:val="00AF0663"/>
    <w:rsid w:val="00AF1052"/>
    <w:rsid w:val="00AF1F92"/>
    <w:rsid w:val="00AF207F"/>
    <w:rsid w:val="00AF2AE8"/>
    <w:rsid w:val="00AF2C5F"/>
    <w:rsid w:val="00AF3521"/>
    <w:rsid w:val="00AF3CA4"/>
    <w:rsid w:val="00AF3D8C"/>
    <w:rsid w:val="00AF556E"/>
    <w:rsid w:val="00AF6579"/>
    <w:rsid w:val="00AF682E"/>
    <w:rsid w:val="00AF7A64"/>
    <w:rsid w:val="00B00C31"/>
    <w:rsid w:val="00B0150D"/>
    <w:rsid w:val="00B021EC"/>
    <w:rsid w:val="00B02555"/>
    <w:rsid w:val="00B02C7D"/>
    <w:rsid w:val="00B0354B"/>
    <w:rsid w:val="00B042B5"/>
    <w:rsid w:val="00B04861"/>
    <w:rsid w:val="00B110A2"/>
    <w:rsid w:val="00B12A80"/>
    <w:rsid w:val="00B12E64"/>
    <w:rsid w:val="00B14706"/>
    <w:rsid w:val="00B15277"/>
    <w:rsid w:val="00B16555"/>
    <w:rsid w:val="00B167F6"/>
    <w:rsid w:val="00B2034C"/>
    <w:rsid w:val="00B20BA7"/>
    <w:rsid w:val="00B21392"/>
    <w:rsid w:val="00B227C4"/>
    <w:rsid w:val="00B24145"/>
    <w:rsid w:val="00B249D3"/>
    <w:rsid w:val="00B253AB"/>
    <w:rsid w:val="00B2579A"/>
    <w:rsid w:val="00B25B19"/>
    <w:rsid w:val="00B30DB1"/>
    <w:rsid w:val="00B31537"/>
    <w:rsid w:val="00B316F3"/>
    <w:rsid w:val="00B31776"/>
    <w:rsid w:val="00B31A6A"/>
    <w:rsid w:val="00B31D5F"/>
    <w:rsid w:val="00B3243D"/>
    <w:rsid w:val="00B32678"/>
    <w:rsid w:val="00B3372D"/>
    <w:rsid w:val="00B35339"/>
    <w:rsid w:val="00B355A8"/>
    <w:rsid w:val="00B36760"/>
    <w:rsid w:val="00B3704D"/>
    <w:rsid w:val="00B37E5B"/>
    <w:rsid w:val="00B4013C"/>
    <w:rsid w:val="00B40839"/>
    <w:rsid w:val="00B40AE1"/>
    <w:rsid w:val="00B40BD4"/>
    <w:rsid w:val="00B41130"/>
    <w:rsid w:val="00B41D4C"/>
    <w:rsid w:val="00B42BA8"/>
    <w:rsid w:val="00B42EBD"/>
    <w:rsid w:val="00B451FE"/>
    <w:rsid w:val="00B45F83"/>
    <w:rsid w:val="00B47964"/>
    <w:rsid w:val="00B47C77"/>
    <w:rsid w:val="00B501D0"/>
    <w:rsid w:val="00B510B8"/>
    <w:rsid w:val="00B51CF7"/>
    <w:rsid w:val="00B5253B"/>
    <w:rsid w:val="00B52922"/>
    <w:rsid w:val="00B531DF"/>
    <w:rsid w:val="00B53EB6"/>
    <w:rsid w:val="00B55933"/>
    <w:rsid w:val="00B55FFE"/>
    <w:rsid w:val="00B56E7D"/>
    <w:rsid w:val="00B57091"/>
    <w:rsid w:val="00B57365"/>
    <w:rsid w:val="00B57A8B"/>
    <w:rsid w:val="00B6026F"/>
    <w:rsid w:val="00B61486"/>
    <w:rsid w:val="00B6184F"/>
    <w:rsid w:val="00B61890"/>
    <w:rsid w:val="00B61A33"/>
    <w:rsid w:val="00B61FD4"/>
    <w:rsid w:val="00B62B4C"/>
    <w:rsid w:val="00B63353"/>
    <w:rsid w:val="00B63889"/>
    <w:rsid w:val="00B63F5A"/>
    <w:rsid w:val="00B64360"/>
    <w:rsid w:val="00B65012"/>
    <w:rsid w:val="00B66182"/>
    <w:rsid w:val="00B668B2"/>
    <w:rsid w:val="00B6705D"/>
    <w:rsid w:val="00B70484"/>
    <w:rsid w:val="00B70BE5"/>
    <w:rsid w:val="00B72722"/>
    <w:rsid w:val="00B72D1D"/>
    <w:rsid w:val="00B74B49"/>
    <w:rsid w:val="00B74FEB"/>
    <w:rsid w:val="00B7566A"/>
    <w:rsid w:val="00B7611F"/>
    <w:rsid w:val="00B76F9C"/>
    <w:rsid w:val="00B77AD6"/>
    <w:rsid w:val="00B81274"/>
    <w:rsid w:val="00B8397C"/>
    <w:rsid w:val="00B83BB3"/>
    <w:rsid w:val="00B83E33"/>
    <w:rsid w:val="00B84ECC"/>
    <w:rsid w:val="00B8502D"/>
    <w:rsid w:val="00B8725C"/>
    <w:rsid w:val="00B872C6"/>
    <w:rsid w:val="00B87A2D"/>
    <w:rsid w:val="00B90497"/>
    <w:rsid w:val="00B91D56"/>
    <w:rsid w:val="00B91FC9"/>
    <w:rsid w:val="00B92BBC"/>
    <w:rsid w:val="00B9483A"/>
    <w:rsid w:val="00B960F1"/>
    <w:rsid w:val="00B9707C"/>
    <w:rsid w:val="00B973D4"/>
    <w:rsid w:val="00B979F0"/>
    <w:rsid w:val="00BA0221"/>
    <w:rsid w:val="00BA0738"/>
    <w:rsid w:val="00BA0801"/>
    <w:rsid w:val="00BA0D95"/>
    <w:rsid w:val="00BA277D"/>
    <w:rsid w:val="00BA35C4"/>
    <w:rsid w:val="00BA3A42"/>
    <w:rsid w:val="00BA5AA5"/>
    <w:rsid w:val="00BA5AC4"/>
    <w:rsid w:val="00BA5BA0"/>
    <w:rsid w:val="00BA5E7B"/>
    <w:rsid w:val="00BA5EB8"/>
    <w:rsid w:val="00BA6C23"/>
    <w:rsid w:val="00BA7114"/>
    <w:rsid w:val="00BA7319"/>
    <w:rsid w:val="00BB01C0"/>
    <w:rsid w:val="00BB0576"/>
    <w:rsid w:val="00BB0A0D"/>
    <w:rsid w:val="00BB259F"/>
    <w:rsid w:val="00BB3259"/>
    <w:rsid w:val="00BB3B22"/>
    <w:rsid w:val="00BB3F59"/>
    <w:rsid w:val="00BB475E"/>
    <w:rsid w:val="00BB489A"/>
    <w:rsid w:val="00BB5B9E"/>
    <w:rsid w:val="00BB6F9E"/>
    <w:rsid w:val="00BB7636"/>
    <w:rsid w:val="00BB7A41"/>
    <w:rsid w:val="00BC0039"/>
    <w:rsid w:val="00BC03F1"/>
    <w:rsid w:val="00BC088D"/>
    <w:rsid w:val="00BC109E"/>
    <w:rsid w:val="00BC1833"/>
    <w:rsid w:val="00BC2841"/>
    <w:rsid w:val="00BC2D15"/>
    <w:rsid w:val="00BC2D43"/>
    <w:rsid w:val="00BC370E"/>
    <w:rsid w:val="00BC3ADF"/>
    <w:rsid w:val="00BC3E7C"/>
    <w:rsid w:val="00BC470E"/>
    <w:rsid w:val="00BC5343"/>
    <w:rsid w:val="00BC5578"/>
    <w:rsid w:val="00BC56D2"/>
    <w:rsid w:val="00BC6C40"/>
    <w:rsid w:val="00BC6CA6"/>
    <w:rsid w:val="00BC6F0D"/>
    <w:rsid w:val="00BD041E"/>
    <w:rsid w:val="00BD0580"/>
    <w:rsid w:val="00BD0E8A"/>
    <w:rsid w:val="00BD14A5"/>
    <w:rsid w:val="00BD5476"/>
    <w:rsid w:val="00BD5F38"/>
    <w:rsid w:val="00BD6A3B"/>
    <w:rsid w:val="00BD722D"/>
    <w:rsid w:val="00BE083F"/>
    <w:rsid w:val="00BE187F"/>
    <w:rsid w:val="00BE2318"/>
    <w:rsid w:val="00BE2819"/>
    <w:rsid w:val="00BE29F7"/>
    <w:rsid w:val="00BE37C1"/>
    <w:rsid w:val="00BE3936"/>
    <w:rsid w:val="00BE5257"/>
    <w:rsid w:val="00BE6676"/>
    <w:rsid w:val="00BE691E"/>
    <w:rsid w:val="00BE6B86"/>
    <w:rsid w:val="00BE73DB"/>
    <w:rsid w:val="00BE7D3B"/>
    <w:rsid w:val="00BF14F1"/>
    <w:rsid w:val="00BF1841"/>
    <w:rsid w:val="00BF21B0"/>
    <w:rsid w:val="00BF3768"/>
    <w:rsid w:val="00BF3FAF"/>
    <w:rsid w:val="00BF415F"/>
    <w:rsid w:val="00BF4F52"/>
    <w:rsid w:val="00BF6751"/>
    <w:rsid w:val="00BF7AB0"/>
    <w:rsid w:val="00C0171D"/>
    <w:rsid w:val="00C01DA4"/>
    <w:rsid w:val="00C04CFB"/>
    <w:rsid w:val="00C0583C"/>
    <w:rsid w:val="00C05A8D"/>
    <w:rsid w:val="00C05CE9"/>
    <w:rsid w:val="00C05FB0"/>
    <w:rsid w:val="00C103FE"/>
    <w:rsid w:val="00C106E6"/>
    <w:rsid w:val="00C1183E"/>
    <w:rsid w:val="00C12473"/>
    <w:rsid w:val="00C125C7"/>
    <w:rsid w:val="00C12948"/>
    <w:rsid w:val="00C12EED"/>
    <w:rsid w:val="00C12F38"/>
    <w:rsid w:val="00C137B3"/>
    <w:rsid w:val="00C13895"/>
    <w:rsid w:val="00C1459C"/>
    <w:rsid w:val="00C149BA"/>
    <w:rsid w:val="00C176B9"/>
    <w:rsid w:val="00C207FC"/>
    <w:rsid w:val="00C20B23"/>
    <w:rsid w:val="00C20F03"/>
    <w:rsid w:val="00C2174A"/>
    <w:rsid w:val="00C22839"/>
    <w:rsid w:val="00C22B5A"/>
    <w:rsid w:val="00C233C9"/>
    <w:rsid w:val="00C24524"/>
    <w:rsid w:val="00C247FF"/>
    <w:rsid w:val="00C26F25"/>
    <w:rsid w:val="00C3278A"/>
    <w:rsid w:val="00C32A79"/>
    <w:rsid w:val="00C32F85"/>
    <w:rsid w:val="00C34E9D"/>
    <w:rsid w:val="00C35911"/>
    <w:rsid w:val="00C35DD6"/>
    <w:rsid w:val="00C364F6"/>
    <w:rsid w:val="00C369B6"/>
    <w:rsid w:val="00C36EB1"/>
    <w:rsid w:val="00C40385"/>
    <w:rsid w:val="00C40687"/>
    <w:rsid w:val="00C427D9"/>
    <w:rsid w:val="00C4429E"/>
    <w:rsid w:val="00C443CA"/>
    <w:rsid w:val="00C4557F"/>
    <w:rsid w:val="00C45F29"/>
    <w:rsid w:val="00C46E34"/>
    <w:rsid w:val="00C46F0F"/>
    <w:rsid w:val="00C506BF"/>
    <w:rsid w:val="00C508BE"/>
    <w:rsid w:val="00C51ACC"/>
    <w:rsid w:val="00C51CB2"/>
    <w:rsid w:val="00C51FED"/>
    <w:rsid w:val="00C5223D"/>
    <w:rsid w:val="00C54D09"/>
    <w:rsid w:val="00C55FD4"/>
    <w:rsid w:val="00C561DC"/>
    <w:rsid w:val="00C574B3"/>
    <w:rsid w:val="00C60056"/>
    <w:rsid w:val="00C60CD1"/>
    <w:rsid w:val="00C60F81"/>
    <w:rsid w:val="00C62508"/>
    <w:rsid w:val="00C62880"/>
    <w:rsid w:val="00C63513"/>
    <w:rsid w:val="00C63D07"/>
    <w:rsid w:val="00C6603B"/>
    <w:rsid w:val="00C667FC"/>
    <w:rsid w:val="00C67827"/>
    <w:rsid w:val="00C67FAD"/>
    <w:rsid w:val="00C7009C"/>
    <w:rsid w:val="00C7051E"/>
    <w:rsid w:val="00C70A89"/>
    <w:rsid w:val="00C728C1"/>
    <w:rsid w:val="00C7296E"/>
    <w:rsid w:val="00C72A63"/>
    <w:rsid w:val="00C73259"/>
    <w:rsid w:val="00C73292"/>
    <w:rsid w:val="00C74581"/>
    <w:rsid w:val="00C75AB3"/>
    <w:rsid w:val="00C76A7F"/>
    <w:rsid w:val="00C77C1C"/>
    <w:rsid w:val="00C80796"/>
    <w:rsid w:val="00C820BA"/>
    <w:rsid w:val="00C830EC"/>
    <w:rsid w:val="00C86DCA"/>
    <w:rsid w:val="00C875AE"/>
    <w:rsid w:val="00C87D23"/>
    <w:rsid w:val="00C87E87"/>
    <w:rsid w:val="00C90642"/>
    <w:rsid w:val="00C909D0"/>
    <w:rsid w:val="00C9124C"/>
    <w:rsid w:val="00C93536"/>
    <w:rsid w:val="00C946E6"/>
    <w:rsid w:val="00C9493B"/>
    <w:rsid w:val="00C959F0"/>
    <w:rsid w:val="00C95C0A"/>
    <w:rsid w:val="00C95CA1"/>
    <w:rsid w:val="00C96044"/>
    <w:rsid w:val="00C9633E"/>
    <w:rsid w:val="00C966A1"/>
    <w:rsid w:val="00C96B1B"/>
    <w:rsid w:val="00CA0EE4"/>
    <w:rsid w:val="00CA102E"/>
    <w:rsid w:val="00CA133D"/>
    <w:rsid w:val="00CA2033"/>
    <w:rsid w:val="00CA37BD"/>
    <w:rsid w:val="00CA533F"/>
    <w:rsid w:val="00CA53A0"/>
    <w:rsid w:val="00CA590D"/>
    <w:rsid w:val="00CA5DA2"/>
    <w:rsid w:val="00CA6A8A"/>
    <w:rsid w:val="00CA7042"/>
    <w:rsid w:val="00CA76E5"/>
    <w:rsid w:val="00CA7A1E"/>
    <w:rsid w:val="00CB0425"/>
    <w:rsid w:val="00CB08E5"/>
    <w:rsid w:val="00CB16E9"/>
    <w:rsid w:val="00CB2182"/>
    <w:rsid w:val="00CB2311"/>
    <w:rsid w:val="00CB23BB"/>
    <w:rsid w:val="00CB3370"/>
    <w:rsid w:val="00CB46FC"/>
    <w:rsid w:val="00CB558F"/>
    <w:rsid w:val="00CB6791"/>
    <w:rsid w:val="00CB6AA4"/>
    <w:rsid w:val="00CB6B2D"/>
    <w:rsid w:val="00CB73EA"/>
    <w:rsid w:val="00CC1503"/>
    <w:rsid w:val="00CC16B9"/>
    <w:rsid w:val="00CC2821"/>
    <w:rsid w:val="00CC2B8E"/>
    <w:rsid w:val="00CC3C8D"/>
    <w:rsid w:val="00CC3E5F"/>
    <w:rsid w:val="00CC3F01"/>
    <w:rsid w:val="00CC4168"/>
    <w:rsid w:val="00CC4A52"/>
    <w:rsid w:val="00CC4EC7"/>
    <w:rsid w:val="00CC56AC"/>
    <w:rsid w:val="00CC5A83"/>
    <w:rsid w:val="00CC6462"/>
    <w:rsid w:val="00CC6D24"/>
    <w:rsid w:val="00CC6F07"/>
    <w:rsid w:val="00CD0248"/>
    <w:rsid w:val="00CD0EED"/>
    <w:rsid w:val="00CD1333"/>
    <w:rsid w:val="00CD2CD8"/>
    <w:rsid w:val="00CD301C"/>
    <w:rsid w:val="00CD329B"/>
    <w:rsid w:val="00CD3AB5"/>
    <w:rsid w:val="00CD462F"/>
    <w:rsid w:val="00CD47D0"/>
    <w:rsid w:val="00CD5A36"/>
    <w:rsid w:val="00CD5EE2"/>
    <w:rsid w:val="00CD6B00"/>
    <w:rsid w:val="00CD6F52"/>
    <w:rsid w:val="00CD75B2"/>
    <w:rsid w:val="00CD7B2C"/>
    <w:rsid w:val="00CE060D"/>
    <w:rsid w:val="00CE2154"/>
    <w:rsid w:val="00CE2F4E"/>
    <w:rsid w:val="00CE606D"/>
    <w:rsid w:val="00CE74FF"/>
    <w:rsid w:val="00CF015B"/>
    <w:rsid w:val="00CF1F82"/>
    <w:rsid w:val="00CF3620"/>
    <w:rsid w:val="00CF3E85"/>
    <w:rsid w:val="00CF47CA"/>
    <w:rsid w:val="00CF4F8C"/>
    <w:rsid w:val="00CF522F"/>
    <w:rsid w:val="00CF60AC"/>
    <w:rsid w:val="00CF62DB"/>
    <w:rsid w:val="00CF6A6F"/>
    <w:rsid w:val="00CF71A7"/>
    <w:rsid w:val="00CF71CB"/>
    <w:rsid w:val="00CF72D1"/>
    <w:rsid w:val="00D00446"/>
    <w:rsid w:val="00D00C74"/>
    <w:rsid w:val="00D0112A"/>
    <w:rsid w:val="00D01543"/>
    <w:rsid w:val="00D01BA8"/>
    <w:rsid w:val="00D01E69"/>
    <w:rsid w:val="00D023AB"/>
    <w:rsid w:val="00D027F9"/>
    <w:rsid w:val="00D02804"/>
    <w:rsid w:val="00D03F7E"/>
    <w:rsid w:val="00D06582"/>
    <w:rsid w:val="00D067C5"/>
    <w:rsid w:val="00D1034C"/>
    <w:rsid w:val="00D12021"/>
    <w:rsid w:val="00D124CE"/>
    <w:rsid w:val="00D1262A"/>
    <w:rsid w:val="00D1339D"/>
    <w:rsid w:val="00D1444E"/>
    <w:rsid w:val="00D1454A"/>
    <w:rsid w:val="00D14BC0"/>
    <w:rsid w:val="00D15591"/>
    <w:rsid w:val="00D16DB5"/>
    <w:rsid w:val="00D200B8"/>
    <w:rsid w:val="00D21211"/>
    <w:rsid w:val="00D22416"/>
    <w:rsid w:val="00D22DB5"/>
    <w:rsid w:val="00D23088"/>
    <w:rsid w:val="00D2351D"/>
    <w:rsid w:val="00D2359B"/>
    <w:rsid w:val="00D25583"/>
    <w:rsid w:val="00D26BA5"/>
    <w:rsid w:val="00D35755"/>
    <w:rsid w:val="00D362C9"/>
    <w:rsid w:val="00D36852"/>
    <w:rsid w:val="00D36C84"/>
    <w:rsid w:val="00D403DC"/>
    <w:rsid w:val="00D4172D"/>
    <w:rsid w:val="00D417E2"/>
    <w:rsid w:val="00D41AB6"/>
    <w:rsid w:val="00D41AC4"/>
    <w:rsid w:val="00D42269"/>
    <w:rsid w:val="00D434E4"/>
    <w:rsid w:val="00D43E92"/>
    <w:rsid w:val="00D445DC"/>
    <w:rsid w:val="00D454B9"/>
    <w:rsid w:val="00D51EFC"/>
    <w:rsid w:val="00D52CF9"/>
    <w:rsid w:val="00D5348E"/>
    <w:rsid w:val="00D5352B"/>
    <w:rsid w:val="00D54001"/>
    <w:rsid w:val="00D548F8"/>
    <w:rsid w:val="00D558F3"/>
    <w:rsid w:val="00D572BE"/>
    <w:rsid w:val="00D573D9"/>
    <w:rsid w:val="00D57E1B"/>
    <w:rsid w:val="00D60964"/>
    <w:rsid w:val="00D61AAB"/>
    <w:rsid w:val="00D62321"/>
    <w:rsid w:val="00D62AD4"/>
    <w:rsid w:val="00D634E9"/>
    <w:rsid w:val="00D638BE"/>
    <w:rsid w:val="00D6496E"/>
    <w:rsid w:val="00D64B1E"/>
    <w:rsid w:val="00D64F87"/>
    <w:rsid w:val="00D6601A"/>
    <w:rsid w:val="00D664E5"/>
    <w:rsid w:val="00D66E29"/>
    <w:rsid w:val="00D67099"/>
    <w:rsid w:val="00D677FE"/>
    <w:rsid w:val="00D67921"/>
    <w:rsid w:val="00D70438"/>
    <w:rsid w:val="00D70517"/>
    <w:rsid w:val="00D71136"/>
    <w:rsid w:val="00D7251C"/>
    <w:rsid w:val="00D731B6"/>
    <w:rsid w:val="00D73352"/>
    <w:rsid w:val="00D73EC5"/>
    <w:rsid w:val="00D7460D"/>
    <w:rsid w:val="00D7584C"/>
    <w:rsid w:val="00D75C3A"/>
    <w:rsid w:val="00D772AF"/>
    <w:rsid w:val="00D777ED"/>
    <w:rsid w:val="00D779A5"/>
    <w:rsid w:val="00D77ACA"/>
    <w:rsid w:val="00D77FAB"/>
    <w:rsid w:val="00D8053C"/>
    <w:rsid w:val="00D808BA"/>
    <w:rsid w:val="00D80F2E"/>
    <w:rsid w:val="00D814A5"/>
    <w:rsid w:val="00D81679"/>
    <w:rsid w:val="00D828C7"/>
    <w:rsid w:val="00D82B93"/>
    <w:rsid w:val="00D83E6C"/>
    <w:rsid w:val="00D84076"/>
    <w:rsid w:val="00D84644"/>
    <w:rsid w:val="00D85720"/>
    <w:rsid w:val="00D85A71"/>
    <w:rsid w:val="00D85AD4"/>
    <w:rsid w:val="00D85E6B"/>
    <w:rsid w:val="00D85EF4"/>
    <w:rsid w:val="00D86FDE"/>
    <w:rsid w:val="00D87811"/>
    <w:rsid w:val="00D90F8E"/>
    <w:rsid w:val="00D91024"/>
    <w:rsid w:val="00D925EB"/>
    <w:rsid w:val="00D9286F"/>
    <w:rsid w:val="00D93B46"/>
    <w:rsid w:val="00D93D40"/>
    <w:rsid w:val="00D9419B"/>
    <w:rsid w:val="00D944DF"/>
    <w:rsid w:val="00D94C23"/>
    <w:rsid w:val="00D94F67"/>
    <w:rsid w:val="00D96764"/>
    <w:rsid w:val="00D96B16"/>
    <w:rsid w:val="00D9718A"/>
    <w:rsid w:val="00DA316B"/>
    <w:rsid w:val="00DA52DF"/>
    <w:rsid w:val="00DA634B"/>
    <w:rsid w:val="00DA691F"/>
    <w:rsid w:val="00DA7937"/>
    <w:rsid w:val="00DB19D6"/>
    <w:rsid w:val="00DB52BE"/>
    <w:rsid w:val="00DB5941"/>
    <w:rsid w:val="00DB595D"/>
    <w:rsid w:val="00DB5A87"/>
    <w:rsid w:val="00DB5AE7"/>
    <w:rsid w:val="00DB63E4"/>
    <w:rsid w:val="00DC074C"/>
    <w:rsid w:val="00DC26D8"/>
    <w:rsid w:val="00DC2806"/>
    <w:rsid w:val="00DC2876"/>
    <w:rsid w:val="00DC5279"/>
    <w:rsid w:val="00DC5B3E"/>
    <w:rsid w:val="00DD0162"/>
    <w:rsid w:val="00DD0CC5"/>
    <w:rsid w:val="00DD1879"/>
    <w:rsid w:val="00DD1916"/>
    <w:rsid w:val="00DD192F"/>
    <w:rsid w:val="00DD54EB"/>
    <w:rsid w:val="00DD5613"/>
    <w:rsid w:val="00DD5C3D"/>
    <w:rsid w:val="00DE1B55"/>
    <w:rsid w:val="00DE29C8"/>
    <w:rsid w:val="00DE4094"/>
    <w:rsid w:val="00DE4827"/>
    <w:rsid w:val="00DE5209"/>
    <w:rsid w:val="00DE6138"/>
    <w:rsid w:val="00DE757B"/>
    <w:rsid w:val="00DE762A"/>
    <w:rsid w:val="00DF0A4A"/>
    <w:rsid w:val="00DF1078"/>
    <w:rsid w:val="00DF39DB"/>
    <w:rsid w:val="00DF3D50"/>
    <w:rsid w:val="00DF513E"/>
    <w:rsid w:val="00DF5C41"/>
    <w:rsid w:val="00DF7271"/>
    <w:rsid w:val="00DF7A26"/>
    <w:rsid w:val="00E01C02"/>
    <w:rsid w:val="00E025A2"/>
    <w:rsid w:val="00E026DE"/>
    <w:rsid w:val="00E05279"/>
    <w:rsid w:val="00E06CDE"/>
    <w:rsid w:val="00E07C1F"/>
    <w:rsid w:val="00E11C24"/>
    <w:rsid w:val="00E11CA0"/>
    <w:rsid w:val="00E12043"/>
    <w:rsid w:val="00E122D2"/>
    <w:rsid w:val="00E12548"/>
    <w:rsid w:val="00E130F7"/>
    <w:rsid w:val="00E13E12"/>
    <w:rsid w:val="00E1423A"/>
    <w:rsid w:val="00E14400"/>
    <w:rsid w:val="00E1459E"/>
    <w:rsid w:val="00E14CFC"/>
    <w:rsid w:val="00E1539C"/>
    <w:rsid w:val="00E153B3"/>
    <w:rsid w:val="00E15DFC"/>
    <w:rsid w:val="00E15FC4"/>
    <w:rsid w:val="00E167CF"/>
    <w:rsid w:val="00E17315"/>
    <w:rsid w:val="00E21E38"/>
    <w:rsid w:val="00E23466"/>
    <w:rsid w:val="00E2363A"/>
    <w:rsid w:val="00E23DE3"/>
    <w:rsid w:val="00E23E39"/>
    <w:rsid w:val="00E24B8F"/>
    <w:rsid w:val="00E26D85"/>
    <w:rsid w:val="00E27B2D"/>
    <w:rsid w:val="00E3094A"/>
    <w:rsid w:val="00E319C8"/>
    <w:rsid w:val="00E3244A"/>
    <w:rsid w:val="00E33052"/>
    <w:rsid w:val="00E33429"/>
    <w:rsid w:val="00E33549"/>
    <w:rsid w:val="00E33987"/>
    <w:rsid w:val="00E35D35"/>
    <w:rsid w:val="00E364A0"/>
    <w:rsid w:val="00E3670C"/>
    <w:rsid w:val="00E367E4"/>
    <w:rsid w:val="00E367ED"/>
    <w:rsid w:val="00E402EA"/>
    <w:rsid w:val="00E40E79"/>
    <w:rsid w:val="00E41638"/>
    <w:rsid w:val="00E433E4"/>
    <w:rsid w:val="00E43DCC"/>
    <w:rsid w:val="00E4425A"/>
    <w:rsid w:val="00E44E3D"/>
    <w:rsid w:val="00E44FA0"/>
    <w:rsid w:val="00E45044"/>
    <w:rsid w:val="00E45DF6"/>
    <w:rsid w:val="00E4645A"/>
    <w:rsid w:val="00E475EC"/>
    <w:rsid w:val="00E477E3"/>
    <w:rsid w:val="00E508C5"/>
    <w:rsid w:val="00E51EDB"/>
    <w:rsid w:val="00E52BEA"/>
    <w:rsid w:val="00E53655"/>
    <w:rsid w:val="00E551E0"/>
    <w:rsid w:val="00E5680A"/>
    <w:rsid w:val="00E56A54"/>
    <w:rsid w:val="00E608B0"/>
    <w:rsid w:val="00E60931"/>
    <w:rsid w:val="00E60D53"/>
    <w:rsid w:val="00E62572"/>
    <w:rsid w:val="00E626B4"/>
    <w:rsid w:val="00E628BB"/>
    <w:rsid w:val="00E62C66"/>
    <w:rsid w:val="00E633F7"/>
    <w:rsid w:val="00E637B6"/>
    <w:rsid w:val="00E63D2A"/>
    <w:rsid w:val="00E64E8F"/>
    <w:rsid w:val="00E65733"/>
    <w:rsid w:val="00E66E5D"/>
    <w:rsid w:val="00E6778A"/>
    <w:rsid w:val="00E70003"/>
    <w:rsid w:val="00E70286"/>
    <w:rsid w:val="00E70818"/>
    <w:rsid w:val="00E70D82"/>
    <w:rsid w:val="00E70FAD"/>
    <w:rsid w:val="00E713D9"/>
    <w:rsid w:val="00E71417"/>
    <w:rsid w:val="00E7159E"/>
    <w:rsid w:val="00E7220A"/>
    <w:rsid w:val="00E72D51"/>
    <w:rsid w:val="00E7399D"/>
    <w:rsid w:val="00E75302"/>
    <w:rsid w:val="00E7561E"/>
    <w:rsid w:val="00E76060"/>
    <w:rsid w:val="00E7664C"/>
    <w:rsid w:val="00E7699B"/>
    <w:rsid w:val="00E773C6"/>
    <w:rsid w:val="00E777C4"/>
    <w:rsid w:val="00E8053B"/>
    <w:rsid w:val="00E80E35"/>
    <w:rsid w:val="00E81BB4"/>
    <w:rsid w:val="00E81FC6"/>
    <w:rsid w:val="00E821EE"/>
    <w:rsid w:val="00E82766"/>
    <w:rsid w:val="00E83114"/>
    <w:rsid w:val="00E83B98"/>
    <w:rsid w:val="00E84869"/>
    <w:rsid w:val="00E84C38"/>
    <w:rsid w:val="00E84FA6"/>
    <w:rsid w:val="00E852EC"/>
    <w:rsid w:val="00E858D1"/>
    <w:rsid w:val="00E85D7D"/>
    <w:rsid w:val="00E860A5"/>
    <w:rsid w:val="00E8652C"/>
    <w:rsid w:val="00E867BA"/>
    <w:rsid w:val="00E918D9"/>
    <w:rsid w:val="00E92617"/>
    <w:rsid w:val="00E927FB"/>
    <w:rsid w:val="00E930D6"/>
    <w:rsid w:val="00E93BD3"/>
    <w:rsid w:val="00E94CC5"/>
    <w:rsid w:val="00E962FB"/>
    <w:rsid w:val="00EA2192"/>
    <w:rsid w:val="00EA2262"/>
    <w:rsid w:val="00EA39B6"/>
    <w:rsid w:val="00EA3A8C"/>
    <w:rsid w:val="00EA3F84"/>
    <w:rsid w:val="00EA4607"/>
    <w:rsid w:val="00EA4619"/>
    <w:rsid w:val="00EA472C"/>
    <w:rsid w:val="00EA4914"/>
    <w:rsid w:val="00EA5B01"/>
    <w:rsid w:val="00EA5B09"/>
    <w:rsid w:val="00EA79A9"/>
    <w:rsid w:val="00EB2733"/>
    <w:rsid w:val="00EB2E38"/>
    <w:rsid w:val="00EB3AF5"/>
    <w:rsid w:val="00EB49B2"/>
    <w:rsid w:val="00EB5DBD"/>
    <w:rsid w:val="00EB6238"/>
    <w:rsid w:val="00EB66B7"/>
    <w:rsid w:val="00EB79A3"/>
    <w:rsid w:val="00EB7F56"/>
    <w:rsid w:val="00EC0602"/>
    <w:rsid w:val="00EC1882"/>
    <w:rsid w:val="00EC19F1"/>
    <w:rsid w:val="00EC208B"/>
    <w:rsid w:val="00EC28D5"/>
    <w:rsid w:val="00EC29B9"/>
    <w:rsid w:val="00EC69CC"/>
    <w:rsid w:val="00EC7159"/>
    <w:rsid w:val="00ED08EC"/>
    <w:rsid w:val="00ED0CF6"/>
    <w:rsid w:val="00ED0DF2"/>
    <w:rsid w:val="00ED0FB2"/>
    <w:rsid w:val="00ED2BD5"/>
    <w:rsid w:val="00ED2C8B"/>
    <w:rsid w:val="00ED3079"/>
    <w:rsid w:val="00ED35C5"/>
    <w:rsid w:val="00ED48C1"/>
    <w:rsid w:val="00ED5ADE"/>
    <w:rsid w:val="00ED5ECA"/>
    <w:rsid w:val="00ED5F6F"/>
    <w:rsid w:val="00ED6374"/>
    <w:rsid w:val="00ED7E63"/>
    <w:rsid w:val="00EE02DB"/>
    <w:rsid w:val="00EE08BF"/>
    <w:rsid w:val="00EE0FA7"/>
    <w:rsid w:val="00EE1804"/>
    <w:rsid w:val="00EE21DD"/>
    <w:rsid w:val="00EE22D9"/>
    <w:rsid w:val="00EE2845"/>
    <w:rsid w:val="00EE4419"/>
    <w:rsid w:val="00EE55B3"/>
    <w:rsid w:val="00EE7F77"/>
    <w:rsid w:val="00EF013D"/>
    <w:rsid w:val="00EF1B9C"/>
    <w:rsid w:val="00EF1EAF"/>
    <w:rsid w:val="00EF1FDF"/>
    <w:rsid w:val="00EF2B87"/>
    <w:rsid w:val="00EF4EB5"/>
    <w:rsid w:val="00EF5526"/>
    <w:rsid w:val="00EF63AB"/>
    <w:rsid w:val="00EF6633"/>
    <w:rsid w:val="00EF73CD"/>
    <w:rsid w:val="00F00860"/>
    <w:rsid w:val="00F00A93"/>
    <w:rsid w:val="00F00B4F"/>
    <w:rsid w:val="00F02D22"/>
    <w:rsid w:val="00F0411A"/>
    <w:rsid w:val="00F0459F"/>
    <w:rsid w:val="00F050C4"/>
    <w:rsid w:val="00F05515"/>
    <w:rsid w:val="00F06498"/>
    <w:rsid w:val="00F064E2"/>
    <w:rsid w:val="00F065C9"/>
    <w:rsid w:val="00F06A7F"/>
    <w:rsid w:val="00F06FD2"/>
    <w:rsid w:val="00F10617"/>
    <w:rsid w:val="00F10A27"/>
    <w:rsid w:val="00F10E13"/>
    <w:rsid w:val="00F120D9"/>
    <w:rsid w:val="00F14092"/>
    <w:rsid w:val="00F140B3"/>
    <w:rsid w:val="00F15086"/>
    <w:rsid w:val="00F1521A"/>
    <w:rsid w:val="00F172B2"/>
    <w:rsid w:val="00F17579"/>
    <w:rsid w:val="00F17651"/>
    <w:rsid w:val="00F17E88"/>
    <w:rsid w:val="00F2083E"/>
    <w:rsid w:val="00F2091D"/>
    <w:rsid w:val="00F2230B"/>
    <w:rsid w:val="00F27998"/>
    <w:rsid w:val="00F302F9"/>
    <w:rsid w:val="00F32C81"/>
    <w:rsid w:val="00F32E28"/>
    <w:rsid w:val="00F3512B"/>
    <w:rsid w:val="00F3580B"/>
    <w:rsid w:val="00F3662C"/>
    <w:rsid w:val="00F36717"/>
    <w:rsid w:val="00F37E97"/>
    <w:rsid w:val="00F40170"/>
    <w:rsid w:val="00F40209"/>
    <w:rsid w:val="00F40586"/>
    <w:rsid w:val="00F43184"/>
    <w:rsid w:val="00F4447F"/>
    <w:rsid w:val="00F444F9"/>
    <w:rsid w:val="00F44B64"/>
    <w:rsid w:val="00F45022"/>
    <w:rsid w:val="00F45F05"/>
    <w:rsid w:val="00F45F1F"/>
    <w:rsid w:val="00F467D3"/>
    <w:rsid w:val="00F473FE"/>
    <w:rsid w:val="00F4752D"/>
    <w:rsid w:val="00F50CED"/>
    <w:rsid w:val="00F54419"/>
    <w:rsid w:val="00F54449"/>
    <w:rsid w:val="00F556C4"/>
    <w:rsid w:val="00F55F3D"/>
    <w:rsid w:val="00F5623A"/>
    <w:rsid w:val="00F57666"/>
    <w:rsid w:val="00F602B9"/>
    <w:rsid w:val="00F61A44"/>
    <w:rsid w:val="00F63D73"/>
    <w:rsid w:val="00F64F79"/>
    <w:rsid w:val="00F6522A"/>
    <w:rsid w:val="00F65341"/>
    <w:rsid w:val="00F65922"/>
    <w:rsid w:val="00F65DFD"/>
    <w:rsid w:val="00F66917"/>
    <w:rsid w:val="00F712D8"/>
    <w:rsid w:val="00F740E4"/>
    <w:rsid w:val="00F7435C"/>
    <w:rsid w:val="00F745BA"/>
    <w:rsid w:val="00F75355"/>
    <w:rsid w:val="00F7611B"/>
    <w:rsid w:val="00F812ED"/>
    <w:rsid w:val="00F81A88"/>
    <w:rsid w:val="00F81BEB"/>
    <w:rsid w:val="00F81FD8"/>
    <w:rsid w:val="00F8282A"/>
    <w:rsid w:val="00F82E77"/>
    <w:rsid w:val="00F85C6B"/>
    <w:rsid w:val="00F8603B"/>
    <w:rsid w:val="00F875ED"/>
    <w:rsid w:val="00F904B2"/>
    <w:rsid w:val="00F925DA"/>
    <w:rsid w:val="00F929F6"/>
    <w:rsid w:val="00F93581"/>
    <w:rsid w:val="00F942FE"/>
    <w:rsid w:val="00F95041"/>
    <w:rsid w:val="00F9769B"/>
    <w:rsid w:val="00FA004D"/>
    <w:rsid w:val="00FA1A55"/>
    <w:rsid w:val="00FA2153"/>
    <w:rsid w:val="00FA271F"/>
    <w:rsid w:val="00FA36DA"/>
    <w:rsid w:val="00FA3716"/>
    <w:rsid w:val="00FA3982"/>
    <w:rsid w:val="00FA3DAD"/>
    <w:rsid w:val="00FA3DE9"/>
    <w:rsid w:val="00FA538A"/>
    <w:rsid w:val="00FA5CF9"/>
    <w:rsid w:val="00FA6CA3"/>
    <w:rsid w:val="00FA7CD0"/>
    <w:rsid w:val="00FA7F4D"/>
    <w:rsid w:val="00FB004F"/>
    <w:rsid w:val="00FB0202"/>
    <w:rsid w:val="00FB0603"/>
    <w:rsid w:val="00FB0A39"/>
    <w:rsid w:val="00FB0A94"/>
    <w:rsid w:val="00FB0C52"/>
    <w:rsid w:val="00FB2601"/>
    <w:rsid w:val="00FB2A5C"/>
    <w:rsid w:val="00FB35CB"/>
    <w:rsid w:val="00FB3DDC"/>
    <w:rsid w:val="00FB477D"/>
    <w:rsid w:val="00FB53DE"/>
    <w:rsid w:val="00FB53F6"/>
    <w:rsid w:val="00FB56F1"/>
    <w:rsid w:val="00FB6585"/>
    <w:rsid w:val="00FB6889"/>
    <w:rsid w:val="00FB77EF"/>
    <w:rsid w:val="00FC075F"/>
    <w:rsid w:val="00FC0CFA"/>
    <w:rsid w:val="00FC1CB7"/>
    <w:rsid w:val="00FC28B1"/>
    <w:rsid w:val="00FC2CB5"/>
    <w:rsid w:val="00FC3688"/>
    <w:rsid w:val="00FC44AD"/>
    <w:rsid w:val="00FC4D1F"/>
    <w:rsid w:val="00FC6779"/>
    <w:rsid w:val="00FC6C77"/>
    <w:rsid w:val="00FD04E8"/>
    <w:rsid w:val="00FD1033"/>
    <w:rsid w:val="00FD1A1A"/>
    <w:rsid w:val="00FD1B5B"/>
    <w:rsid w:val="00FD213D"/>
    <w:rsid w:val="00FD271E"/>
    <w:rsid w:val="00FD2D05"/>
    <w:rsid w:val="00FD46E2"/>
    <w:rsid w:val="00FD48D4"/>
    <w:rsid w:val="00FD599F"/>
    <w:rsid w:val="00FD6660"/>
    <w:rsid w:val="00FD6F6C"/>
    <w:rsid w:val="00FD6FAB"/>
    <w:rsid w:val="00FE19F6"/>
    <w:rsid w:val="00FE2167"/>
    <w:rsid w:val="00FE2DE3"/>
    <w:rsid w:val="00FE3BD1"/>
    <w:rsid w:val="00FE3F28"/>
    <w:rsid w:val="00FE4ADC"/>
    <w:rsid w:val="00FE4C22"/>
    <w:rsid w:val="00FE4C33"/>
    <w:rsid w:val="00FE7E69"/>
    <w:rsid w:val="00FF0870"/>
    <w:rsid w:val="00FF0DE5"/>
    <w:rsid w:val="00FF0F9E"/>
    <w:rsid w:val="00FF29D6"/>
    <w:rsid w:val="00FF4AEE"/>
    <w:rsid w:val="00FF56A9"/>
    <w:rsid w:val="00FF587A"/>
    <w:rsid w:val="00FF6345"/>
    <w:rsid w:val="00FF671B"/>
    <w:rsid w:val="00FF6CFE"/>
    <w:rsid w:val="00FF70E1"/>
    <w:rsid w:val="00FF70E7"/>
    <w:rsid w:val="01034C1D"/>
    <w:rsid w:val="018B57E8"/>
    <w:rsid w:val="02927CE2"/>
    <w:rsid w:val="05AD91AB"/>
    <w:rsid w:val="05D1933C"/>
    <w:rsid w:val="06EFC117"/>
    <w:rsid w:val="08B5888F"/>
    <w:rsid w:val="0A040FD4"/>
    <w:rsid w:val="0AB14841"/>
    <w:rsid w:val="0AF2DA99"/>
    <w:rsid w:val="0D55B44F"/>
    <w:rsid w:val="0E0348B4"/>
    <w:rsid w:val="0EDA4E16"/>
    <w:rsid w:val="101C2373"/>
    <w:rsid w:val="103E347A"/>
    <w:rsid w:val="105CEC7D"/>
    <w:rsid w:val="11183893"/>
    <w:rsid w:val="11827BAE"/>
    <w:rsid w:val="119C1066"/>
    <w:rsid w:val="13B2E1A2"/>
    <w:rsid w:val="15A4E1C7"/>
    <w:rsid w:val="16EDE4F9"/>
    <w:rsid w:val="16FF30E3"/>
    <w:rsid w:val="17F0AF05"/>
    <w:rsid w:val="180B0557"/>
    <w:rsid w:val="190C9E04"/>
    <w:rsid w:val="19276DC5"/>
    <w:rsid w:val="199BD129"/>
    <w:rsid w:val="1AD3F57C"/>
    <w:rsid w:val="1BEC6C73"/>
    <w:rsid w:val="1BFF5BA4"/>
    <w:rsid w:val="1C1AF2F4"/>
    <w:rsid w:val="1DBB0C64"/>
    <w:rsid w:val="1E317747"/>
    <w:rsid w:val="1E990FF1"/>
    <w:rsid w:val="1EA0CAA6"/>
    <w:rsid w:val="1EA7239A"/>
    <w:rsid w:val="1EE2C3D9"/>
    <w:rsid w:val="1F02442F"/>
    <w:rsid w:val="1FAF68CF"/>
    <w:rsid w:val="1FBA6E72"/>
    <w:rsid w:val="209E2483"/>
    <w:rsid w:val="20B1C9ED"/>
    <w:rsid w:val="2141D356"/>
    <w:rsid w:val="21485767"/>
    <w:rsid w:val="23B690F4"/>
    <w:rsid w:val="23FDA5FC"/>
    <w:rsid w:val="249D234E"/>
    <w:rsid w:val="25AEF4BE"/>
    <w:rsid w:val="27C3137F"/>
    <w:rsid w:val="2982BD38"/>
    <w:rsid w:val="29BED9AC"/>
    <w:rsid w:val="2D835F8D"/>
    <w:rsid w:val="2DA25AC2"/>
    <w:rsid w:val="2DD52A22"/>
    <w:rsid w:val="2E2ACC24"/>
    <w:rsid w:val="2F2CE5B4"/>
    <w:rsid w:val="2F6683C2"/>
    <w:rsid w:val="30133884"/>
    <w:rsid w:val="316CAF9D"/>
    <w:rsid w:val="3216FB61"/>
    <w:rsid w:val="32B3C10C"/>
    <w:rsid w:val="32C78CD2"/>
    <w:rsid w:val="335F08EF"/>
    <w:rsid w:val="34585A8D"/>
    <w:rsid w:val="36AB5F4A"/>
    <w:rsid w:val="3A78486B"/>
    <w:rsid w:val="3D3A2CB7"/>
    <w:rsid w:val="3DCF92F5"/>
    <w:rsid w:val="3DFECD94"/>
    <w:rsid w:val="3E31A7BC"/>
    <w:rsid w:val="3E50B3D4"/>
    <w:rsid w:val="3F57E9A3"/>
    <w:rsid w:val="42A9A1EB"/>
    <w:rsid w:val="443C4E22"/>
    <w:rsid w:val="44B4C4F9"/>
    <w:rsid w:val="44BD261E"/>
    <w:rsid w:val="4560CE76"/>
    <w:rsid w:val="46A2A3D3"/>
    <w:rsid w:val="48AB5CAA"/>
    <w:rsid w:val="48C82F41"/>
    <w:rsid w:val="48D15219"/>
    <w:rsid w:val="4ADFA706"/>
    <w:rsid w:val="4B0749B5"/>
    <w:rsid w:val="4CDB5F1D"/>
    <w:rsid w:val="4D558C93"/>
    <w:rsid w:val="4DB33E89"/>
    <w:rsid w:val="4DD34CF8"/>
    <w:rsid w:val="4F449A5D"/>
    <w:rsid w:val="521DF779"/>
    <w:rsid w:val="541FD3B1"/>
    <w:rsid w:val="5496FAD5"/>
    <w:rsid w:val="54EDCD72"/>
    <w:rsid w:val="55F2124F"/>
    <w:rsid w:val="5635DC39"/>
    <w:rsid w:val="56C5DF27"/>
    <w:rsid w:val="5773165B"/>
    <w:rsid w:val="57DC36CC"/>
    <w:rsid w:val="5807B484"/>
    <w:rsid w:val="596C6436"/>
    <w:rsid w:val="5A88EE17"/>
    <w:rsid w:val="5B2689F5"/>
    <w:rsid w:val="5D1D394C"/>
    <w:rsid w:val="5D6809E4"/>
    <w:rsid w:val="5E047B32"/>
    <w:rsid w:val="5E8F541C"/>
    <w:rsid w:val="5F430507"/>
    <w:rsid w:val="5F6B4F78"/>
    <w:rsid w:val="5FAA3C75"/>
    <w:rsid w:val="60E068FF"/>
    <w:rsid w:val="611FB0BE"/>
    <w:rsid w:val="61AB4346"/>
    <w:rsid w:val="63248CE6"/>
    <w:rsid w:val="639A71D3"/>
    <w:rsid w:val="65E3740D"/>
    <w:rsid w:val="66CC1E48"/>
    <w:rsid w:val="6750EBBF"/>
    <w:rsid w:val="67B039FB"/>
    <w:rsid w:val="6906438B"/>
    <w:rsid w:val="69B3B462"/>
    <w:rsid w:val="6A64403A"/>
    <w:rsid w:val="6D0B6CF2"/>
    <w:rsid w:val="702D0D80"/>
    <w:rsid w:val="7182C161"/>
    <w:rsid w:val="732BDA1B"/>
    <w:rsid w:val="737E6568"/>
    <w:rsid w:val="7431D73F"/>
    <w:rsid w:val="754FDCA3"/>
    <w:rsid w:val="75BF689C"/>
    <w:rsid w:val="7612F0EA"/>
    <w:rsid w:val="77F5F595"/>
    <w:rsid w:val="78054A3C"/>
    <w:rsid w:val="7995849C"/>
    <w:rsid w:val="79AF601C"/>
    <w:rsid w:val="79BA077A"/>
    <w:rsid w:val="79F0851E"/>
    <w:rsid w:val="7C5E74C1"/>
    <w:rsid w:val="7D6EE470"/>
    <w:rsid w:val="7DDAF6A2"/>
    <w:rsid w:val="7E22550E"/>
    <w:rsid w:val="7EB0B219"/>
    <w:rsid w:val="7EF95937"/>
    <w:rsid w:val="7F2345B6"/>
    <w:rsid w:val="7F2910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8969"/>
  <w15:chartTrackingRefBased/>
  <w15:docId w15:val="{2AF64B7E-E624-4D8B-B37E-E9563B40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616B1"/>
  </w:style>
  <w:style w:type="paragraph" w:styleId="Naslov1">
    <w:name w:val="heading 1"/>
    <w:aliases w:val="NASLOV"/>
    <w:basedOn w:val="Navaden"/>
    <w:next w:val="Navaden"/>
    <w:link w:val="Naslov1Znak"/>
    <w:autoRedefine/>
    <w:qFormat/>
    <w:rsid w:val="004513FD"/>
    <w:pPr>
      <w:keepNext/>
      <w:spacing w:before="240" w:after="60" w:line="260" w:lineRule="exact"/>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uiPriority w:val="9"/>
    <w:semiHidden/>
    <w:unhideWhenUsed/>
    <w:qFormat/>
    <w:rsid w:val="004513FD"/>
    <w:pPr>
      <w:keepNext/>
      <w:keepLines/>
      <w:spacing w:before="40" w:after="0" w:line="240" w:lineRule="auto"/>
      <w:outlineLvl w:val="1"/>
    </w:pPr>
    <w:rPr>
      <w:rFonts w:ascii="Cambria" w:eastAsia="Times New Roman" w:hAnsi="Cambria" w:cs="Times New Roman"/>
      <w:color w:val="365F91"/>
      <w:sz w:val="26"/>
      <w:szCs w:val="26"/>
    </w:rPr>
  </w:style>
  <w:style w:type="paragraph" w:styleId="Naslov3">
    <w:name w:val="heading 3"/>
    <w:basedOn w:val="Navaden"/>
    <w:next w:val="Navaden"/>
    <w:link w:val="Naslov3Znak"/>
    <w:uiPriority w:val="9"/>
    <w:semiHidden/>
    <w:unhideWhenUsed/>
    <w:qFormat/>
    <w:rsid w:val="004F37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4513FD"/>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uiPriority w:val="9"/>
    <w:semiHidden/>
    <w:rsid w:val="004513FD"/>
    <w:rPr>
      <w:rFonts w:ascii="Cambria" w:eastAsia="Times New Roman" w:hAnsi="Cambria" w:cs="Times New Roman"/>
      <w:color w:val="365F91"/>
      <w:sz w:val="26"/>
      <w:szCs w:val="26"/>
    </w:rPr>
  </w:style>
  <w:style w:type="numbering" w:customStyle="1" w:styleId="Brezseznama1">
    <w:name w:val="Brez seznama1"/>
    <w:next w:val="Brezseznama"/>
    <w:uiPriority w:val="99"/>
    <w:semiHidden/>
    <w:unhideWhenUsed/>
    <w:rsid w:val="004513FD"/>
  </w:style>
  <w:style w:type="paragraph" w:styleId="Glava">
    <w:name w:val="header"/>
    <w:basedOn w:val="Navaden"/>
    <w:link w:val="GlavaZnak"/>
    <w:rsid w:val="004513FD"/>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rsid w:val="004513FD"/>
    <w:rPr>
      <w:rFonts w:ascii="Arial" w:eastAsia="Times New Roman" w:hAnsi="Arial" w:cs="Times New Roman"/>
      <w:sz w:val="20"/>
      <w:szCs w:val="24"/>
    </w:rPr>
  </w:style>
  <w:style w:type="paragraph" w:styleId="Noga">
    <w:name w:val="footer"/>
    <w:basedOn w:val="Navaden"/>
    <w:link w:val="NogaZnak"/>
    <w:uiPriority w:val="99"/>
    <w:rsid w:val="004513FD"/>
    <w:pPr>
      <w:tabs>
        <w:tab w:val="center" w:pos="4320"/>
        <w:tab w:val="right" w:pos="8640"/>
      </w:tabs>
      <w:spacing w:after="0" w:line="260" w:lineRule="exact"/>
    </w:pPr>
    <w:rPr>
      <w:rFonts w:ascii="Arial" w:eastAsia="Times New Roman" w:hAnsi="Arial" w:cs="Times New Roman"/>
      <w:sz w:val="20"/>
      <w:szCs w:val="24"/>
    </w:rPr>
  </w:style>
  <w:style w:type="character" w:customStyle="1" w:styleId="NogaZnak">
    <w:name w:val="Noga Znak"/>
    <w:basedOn w:val="Privzetapisavaodstavka"/>
    <w:link w:val="Noga"/>
    <w:uiPriority w:val="99"/>
    <w:rsid w:val="004513FD"/>
    <w:rPr>
      <w:rFonts w:ascii="Arial" w:eastAsia="Times New Roman" w:hAnsi="Arial" w:cs="Times New Roman"/>
      <w:sz w:val="20"/>
      <w:szCs w:val="24"/>
    </w:rPr>
  </w:style>
  <w:style w:type="paragraph" w:styleId="Zgradbadokumenta">
    <w:name w:val="Document Map"/>
    <w:basedOn w:val="Navaden"/>
    <w:link w:val="ZgradbadokumentaZnak"/>
    <w:rsid w:val="004513FD"/>
    <w:pPr>
      <w:spacing w:after="0" w:line="260" w:lineRule="exac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4513FD"/>
    <w:rPr>
      <w:rFonts w:ascii="Tahoma" w:eastAsia="Times New Roman" w:hAnsi="Tahoma" w:cs="Tahoma"/>
      <w:sz w:val="16"/>
      <w:szCs w:val="16"/>
    </w:rPr>
  </w:style>
  <w:style w:type="table" w:styleId="Tabelamrea">
    <w:name w:val="Table Grid"/>
    <w:basedOn w:val="Navadnatabela"/>
    <w:uiPriority w:val="59"/>
    <w:rsid w:val="004513F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513F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513FD"/>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Hiperpovezava">
    <w:name w:val="Hyperlink"/>
    <w:uiPriority w:val="99"/>
    <w:rsid w:val="004513FD"/>
    <w:rPr>
      <w:color w:val="0000FF"/>
      <w:u w:val="single"/>
    </w:rPr>
  </w:style>
  <w:style w:type="paragraph" w:customStyle="1" w:styleId="podpisi">
    <w:name w:val="podpisi"/>
    <w:basedOn w:val="Navaden"/>
    <w:qFormat/>
    <w:rsid w:val="004513FD"/>
    <w:pPr>
      <w:tabs>
        <w:tab w:val="left" w:pos="3402"/>
      </w:tabs>
      <w:spacing w:after="0" w:line="260" w:lineRule="exact"/>
    </w:pPr>
    <w:rPr>
      <w:rFonts w:ascii="Arial" w:eastAsia="Times New Roman" w:hAnsi="Arial" w:cs="Times New Roman"/>
      <w:sz w:val="20"/>
      <w:szCs w:val="24"/>
      <w:lang w:val="it-IT"/>
    </w:rPr>
  </w:style>
  <w:style w:type="paragraph" w:customStyle="1" w:styleId="Vrstapredpisa">
    <w:name w:val="Vrsta predpisa"/>
    <w:basedOn w:val="Navaden"/>
    <w:link w:val="VrstapredpisaZnak"/>
    <w:qFormat/>
    <w:rsid w:val="004513FD"/>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4513FD"/>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4513FD"/>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513FD"/>
    <w:rPr>
      <w:rFonts w:ascii="Arial" w:eastAsia="Times New Roman" w:hAnsi="Arial" w:cs="Arial"/>
      <w:b/>
      <w:lang w:eastAsia="sl-SI"/>
    </w:rPr>
  </w:style>
  <w:style w:type="paragraph" w:customStyle="1" w:styleId="Poglavje">
    <w:name w:val="Poglavje"/>
    <w:basedOn w:val="Navaden"/>
    <w:qFormat/>
    <w:rsid w:val="004513F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4513FD"/>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513FD"/>
    <w:rPr>
      <w:rFonts w:ascii="Arial" w:eastAsia="Times New Roman" w:hAnsi="Arial" w:cs="Arial"/>
      <w:lang w:eastAsia="sl-SI"/>
    </w:rPr>
  </w:style>
  <w:style w:type="paragraph" w:customStyle="1" w:styleId="Oddelek">
    <w:name w:val="Oddelek"/>
    <w:basedOn w:val="Navaden"/>
    <w:link w:val="OddelekZnak1"/>
    <w:qFormat/>
    <w:rsid w:val="004513FD"/>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4513FD"/>
    <w:rPr>
      <w:rFonts w:ascii="Arial" w:eastAsia="Times New Roman" w:hAnsi="Arial" w:cs="Arial"/>
      <w:b/>
      <w:lang w:eastAsia="sl-SI"/>
    </w:rPr>
  </w:style>
  <w:style w:type="paragraph" w:customStyle="1" w:styleId="Alineazaodstavkom">
    <w:name w:val="Alinea za odstavkom"/>
    <w:basedOn w:val="Navaden"/>
    <w:link w:val="AlineazaodstavkomZnak"/>
    <w:qFormat/>
    <w:rsid w:val="004513FD"/>
    <w:pPr>
      <w:numPr>
        <w:numId w:val="6"/>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4513FD"/>
    <w:rPr>
      <w:rFonts w:ascii="Arial" w:eastAsia="Times New Roman" w:hAnsi="Arial" w:cs="Arial"/>
      <w:lang w:eastAsia="sl-SI"/>
    </w:rPr>
  </w:style>
  <w:style w:type="character" w:styleId="tevilkastrani">
    <w:name w:val="page number"/>
    <w:rsid w:val="004513FD"/>
  </w:style>
  <w:style w:type="paragraph" w:styleId="Sprotnaopomba-besedilo">
    <w:name w:val="footnote text"/>
    <w:basedOn w:val="Navaden"/>
    <w:link w:val="Sprotnaopomba-besediloZnak"/>
    <w:semiHidden/>
    <w:rsid w:val="004513FD"/>
    <w:pPr>
      <w:spacing w:after="0" w:line="260" w:lineRule="exact"/>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semiHidden/>
    <w:rsid w:val="004513FD"/>
    <w:rPr>
      <w:rFonts w:ascii="Arial" w:eastAsia="Times New Roman" w:hAnsi="Arial" w:cs="Times New Roman"/>
      <w:sz w:val="20"/>
      <w:szCs w:val="20"/>
    </w:rPr>
  </w:style>
  <w:style w:type="character" w:styleId="Sprotnaopomba-sklic">
    <w:name w:val="footnote reference"/>
    <w:semiHidden/>
    <w:rsid w:val="004513FD"/>
    <w:rPr>
      <w:vertAlign w:val="superscript"/>
    </w:rPr>
  </w:style>
  <w:style w:type="character" w:styleId="Pripombasklic">
    <w:name w:val="annotation reference"/>
    <w:uiPriority w:val="99"/>
    <w:semiHidden/>
    <w:rsid w:val="004513FD"/>
    <w:rPr>
      <w:sz w:val="16"/>
      <w:szCs w:val="16"/>
    </w:rPr>
  </w:style>
  <w:style w:type="paragraph" w:styleId="Pripombabesedilo">
    <w:name w:val="annotation text"/>
    <w:basedOn w:val="Navaden"/>
    <w:link w:val="PripombabesediloZnak"/>
    <w:uiPriority w:val="99"/>
    <w:semiHidden/>
    <w:rsid w:val="004513F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PripombabesediloZnak">
    <w:name w:val="Pripomba – besedilo Znak"/>
    <w:basedOn w:val="Privzetapisavaodstavka"/>
    <w:link w:val="Pripombabesedilo"/>
    <w:uiPriority w:val="99"/>
    <w:semiHidden/>
    <w:rsid w:val="004513FD"/>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rsid w:val="004513FD"/>
    <w:pPr>
      <w:spacing w:after="0" w:line="260" w:lineRule="exact"/>
    </w:pPr>
    <w:rPr>
      <w:rFonts w:ascii="Tahoma" w:eastAsia="Times New Roman" w:hAnsi="Tahoma" w:cs="Tahoma"/>
      <w:sz w:val="16"/>
      <w:szCs w:val="16"/>
    </w:rPr>
  </w:style>
  <w:style w:type="character" w:customStyle="1" w:styleId="BesedilooblakaZnak">
    <w:name w:val="Besedilo oblačka Znak"/>
    <w:basedOn w:val="Privzetapisavaodstavka"/>
    <w:link w:val="Besedilooblaka"/>
    <w:uiPriority w:val="99"/>
    <w:semiHidden/>
    <w:rsid w:val="004513FD"/>
    <w:rPr>
      <w:rFonts w:ascii="Tahoma" w:eastAsia="Times New Roman" w:hAnsi="Tahoma" w:cs="Tahoma"/>
      <w:sz w:val="16"/>
      <w:szCs w:val="16"/>
    </w:rPr>
  </w:style>
  <w:style w:type="paragraph" w:customStyle="1" w:styleId="Par-number1">
    <w:name w:val="Par-number 1."/>
    <w:basedOn w:val="Navaden"/>
    <w:next w:val="Navaden"/>
    <w:rsid w:val="004513FD"/>
    <w:pPr>
      <w:widowControl w:val="0"/>
      <w:numPr>
        <w:numId w:val="2"/>
      </w:numPr>
      <w:spacing w:after="0" w:line="360" w:lineRule="auto"/>
    </w:pPr>
    <w:rPr>
      <w:rFonts w:ascii="Times New Roman" w:eastAsia="Times New Roman" w:hAnsi="Times New Roman" w:cs="Times New Roman"/>
      <w:sz w:val="24"/>
      <w:szCs w:val="20"/>
      <w:lang w:eastAsia="fr-BE"/>
    </w:rPr>
  </w:style>
  <w:style w:type="paragraph" w:styleId="Odstavekseznama">
    <w:name w:val="List Paragraph"/>
    <w:basedOn w:val="Navaden"/>
    <w:uiPriority w:val="34"/>
    <w:qFormat/>
    <w:rsid w:val="004513FD"/>
    <w:pPr>
      <w:spacing w:after="0" w:line="240" w:lineRule="auto"/>
      <w:ind w:left="708"/>
    </w:pPr>
    <w:rPr>
      <w:rFonts w:ascii="Times New Roman" w:eastAsia="Times New Roman" w:hAnsi="Times New Roman" w:cs="Times New Roman"/>
      <w:sz w:val="24"/>
      <w:szCs w:val="24"/>
      <w:lang w:eastAsia="sl-SI"/>
    </w:rPr>
  </w:style>
  <w:style w:type="paragraph" w:customStyle="1" w:styleId="Par-numberi">
    <w:name w:val="Par-number (i)"/>
    <w:basedOn w:val="Navaden"/>
    <w:next w:val="Navaden"/>
    <w:rsid w:val="004513FD"/>
    <w:pPr>
      <w:widowControl w:val="0"/>
      <w:numPr>
        <w:numId w:val="4"/>
      </w:numPr>
      <w:tabs>
        <w:tab w:val="left" w:pos="567"/>
      </w:tabs>
      <w:spacing w:after="0" w:line="360" w:lineRule="auto"/>
    </w:pPr>
    <w:rPr>
      <w:rFonts w:ascii="Times New Roman" w:eastAsia="Times New Roman" w:hAnsi="Times New Roman" w:cs="Times New Roman"/>
      <w:sz w:val="24"/>
      <w:szCs w:val="20"/>
      <w:lang w:eastAsia="fr-BE"/>
    </w:rPr>
  </w:style>
  <w:style w:type="paragraph" w:styleId="Zadevapripombe">
    <w:name w:val="annotation subject"/>
    <w:basedOn w:val="Pripombabesedilo"/>
    <w:next w:val="Pripombabesedilo"/>
    <w:link w:val="ZadevapripombeZnak"/>
    <w:uiPriority w:val="99"/>
    <w:semiHidden/>
    <w:rsid w:val="004513FD"/>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uiPriority w:val="99"/>
    <w:semiHidden/>
    <w:rsid w:val="004513FD"/>
    <w:rPr>
      <w:rFonts w:ascii="Arial" w:eastAsia="Times New Roman" w:hAnsi="Arial" w:cs="Times New Roman"/>
      <w:b/>
      <w:bCs/>
      <w:sz w:val="20"/>
      <w:szCs w:val="20"/>
    </w:rPr>
  </w:style>
  <w:style w:type="paragraph" w:customStyle="1" w:styleId="Odstavek">
    <w:name w:val="Odstavek"/>
    <w:basedOn w:val="Navaden"/>
    <w:link w:val="OdstavekZnak"/>
    <w:qFormat/>
    <w:rsid w:val="004513F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4513FD"/>
    <w:rPr>
      <w:rFonts w:ascii="Arial" w:eastAsia="Times New Roman" w:hAnsi="Arial" w:cs="Arial"/>
      <w:lang w:eastAsia="sl-SI"/>
    </w:rPr>
  </w:style>
  <w:style w:type="paragraph" w:customStyle="1" w:styleId="Odstavekseznama1">
    <w:name w:val="Odstavek seznama1"/>
    <w:basedOn w:val="Navaden"/>
    <w:qFormat/>
    <w:rsid w:val="004513F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513F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4513FD"/>
    <w:rPr>
      <w:rFonts w:ascii="Arial" w:eastAsia="Times New Roman" w:hAnsi="Arial" w:cs="Arial"/>
      <w:lang w:eastAsia="sl-SI"/>
    </w:rPr>
  </w:style>
  <w:style w:type="character" w:customStyle="1" w:styleId="rkovnatokazaodstavkomZnak">
    <w:name w:val="Črkovna točka_za odstavkom Znak"/>
    <w:link w:val="rkovnatokazaodstavkom"/>
    <w:rsid w:val="004513FD"/>
    <w:rPr>
      <w:rFonts w:ascii="Arial" w:hAnsi="Arial"/>
    </w:rPr>
  </w:style>
  <w:style w:type="paragraph" w:customStyle="1" w:styleId="rkovnatokazaodstavkom">
    <w:name w:val="Črkovna točka_za odstavkom"/>
    <w:basedOn w:val="Navaden"/>
    <w:link w:val="rkovnatokazaodstavkomZnak"/>
    <w:qFormat/>
    <w:rsid w:val="004513FD"/>
    <w:pPr>
      <w:numPr>
        <w:numId w:val="5"/>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4513FD"/>
    <w:pPr>
      <w:numPr>
        <w:numId w:val="1"/>
      </w:numPr>
      <w:ind w:left="0" w:firstLine="0"/>
    </w:pPr>
  </w:style>
  <w:style w:type="character" w:customStyle="1" w:styleId="OdsekZnak">
    <w:name w:val="Odsek Znak"/>
    <w:link w:val="Odsek"/>
    <w:rsid w:val="004513FD"/>
    <w:rPr>
      <w:rFonts w:ascii="Arial" w:eastAsia="Times New Roman" w:hAnsi="Arial" w:cs="Arial"/>
      <w:b/>
      <w:lang w:eastAsia="sl-SI"/>
    </w:rPr>
  </w:style>
  <w:style w:type="paragraph" w:customStyle="1" w:styleId="len">
    <w:name w:val="Člen"/>
    <w:basedOn w:val="Navaden"/>
    <w:link w:val="lenZnak"/>
    <w:qFormat/>
    <w:rsid w:val="004513FD"/>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4513FD"/>
    <w:rPr>
      <w:rFonts w:ascii="Arial" w:eastAsia="Times New Roman" w:hAnsi="Arial" w:cs="Arial"/>
      <w:b/>
      <w:lang w:eastAsia="sl-SI"/>
    </w:rPr>
  </w:style>
  <w:style w:type="paragraph" w:customStyle="1" w:styleId="lennaslov">
    <w:name w:val="Člen_naslov"/>
    <w:basedOn w:val="len"/>
    <w:qFormat/>
    <w:rsid w:val="004513FD"/>
    <w:pPr>
      <w:spacing w:before="0"/>
    </w:pPr>
  </w:style>
  <w:style w:type="paragraph" w:styleId="Telobesedila-zamik">
    <w:name w:val="Body Text Indent"/>
    <w:basedOn w:val="Navaden"/>
    <w:link w:val="Telobesedila-zamikZnak"/>
    <w:rsid w:val="004513FD"/>
    <w:pPr>
      <w:spacing w:after="120" w:line="260" w:lineRule="atLeast"/>
      <w:ind w:left="283"/>
    </w:pPr>
    <w:rPr>
      <w:rFonts w:ascii="Arial" w:eastAsia="Times New Roman" w:hAnsi="Arial" w:cs="Times New Roman"/>
      <w:sz w:val="20"/>
      <w:szCs w:val="24"/>
      <w:lang w:val="en-US"/>
    </w:rPr>
  </w:style>
  <w:style w:type="character" w:customStyle="1" w:styleId="Telobesedila-zamikZnak">
    <w:name w:val="Telo besedila - zamik Znak"/>
    <w:basedOn w:val="Privzetapisavaodstavka"/>
    <w:link w:val="Telobesedila-zamik"/>
    <w:rsid w:val="004513FD"/>
    <w:rPr>
      <w:rFonts w:ascii="Arial" w:eastAsia="Times New Roman" w:hAnsi="Arial" w:cs="Times New Roman"/>
      <w:sz w:val="20"/>
      <w:szCs w:val="24"/>
      <w:lang w:val="en-US"/>
    </w:rPr>
  </w:style>
  <w:style w:type="paragraph" w:styleId="Brezrazmikov">
    <w:name w:val="No Spacing"/>
    <w:uiPriority w:val="1"/>
    <w:qFormat/>
    <w:rsid w:val="004513FD"/>
    <w:pPr>
      <w:spacing w:after="0" w:line="240" w:lineRule="auto"/>
    </w:pPr>
    <w:rPr>
      <w:rFonts w:ascii="Calibri" w:eastAsia="Calibri" w:hAnsi="Calibri" w:cs="Times New Roman"/>
    </w:rPr>
  </w:style>
  <w:style w:type="paragraph" w:customStyle="1" w:styleId="len1">
    <w:name w:val="len1"/>
    <w:basedOn w:val="Navaden"/>
    <w:rsid w:val="004513F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513F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513FD"/>
    <w:pPr>
      <w:spacing w:after="0" w:line="240" w:lineRule="auto"/>
      <w:jc w:val="center"/>
    </w:pPr>
    <w:rPr>
      <w:rFonts w:ascii="Arial" w:eastAsia="Times New Roman" w:hAnsi="Arial" w:cs="Arial"/>
      <w:b/>
      <w:bCs/>
      <w:lang w:eastAsia="sl-SI"/>
    </w:rPr>
  </w:style>
  <w:style w:type="paragraph" w:styleId="Revizija">
    <w:name w:val="Revision"/>
    <w:hidden/>
    <w:uiPriority w:val="99"/>
    <w:semiHidden/>
    <w:rsid w:val="004513FD"/>
    <w:pPr>
      <w:spacing w:after="0" w:line="240" w:lineRule="auto"/>
    </w:pPr>
    <w:rPr>
      <w:rFonts w:ascii="Calibri" w:eastAsia="Calibri" w:hAnsi="Calibri" w:cs="Times New Roman"/>
    </w:rPr>
  </w:style>
  <w:style w:type="paragraph" w:customStyle="1" w:styleId="tevilnatoka1">
    <w:name w:val="tevilnatoka1"/>
    <w:basedOn w:val="Navaden"/>
    <w:rsid w:val="004513FD"/>
    <w:pPr>
      <w:spacing w:after="0" w:line="240" w:lineRule="auto"/>
      <w:ind w:left="425" w:hanging="425"/>
      <w:jc w:val="both"/>
    </w:pPr>
    <w:rPr>
      <w:rFonts w:ascii="Arial" w:eastAsia="Times New Roman" w:hAnsi="Arial" w:cs="Arial"/>
      <w:lang w:eastAsia="sl-SI"/>
    </w:rPr>
  </w:style>
  <w:style w:type="paragraph" w:styleId="Telobesedila">
    <w:name w:val="Body Text"/>
    <w:basedOn w:val="Navaden"/>
    <w:link w:val="TelobesedilaZnak"/>
    <w:unhideWhenUsed/>
    <w:rsid w:val="004513FD"/>
    <w:pPr>
      <w:spacing w:after="120" w:line="240" w:lineRule="auto"/>
    </w:pPr>
    <w:rPr>
      <w:rFonts w:ascii="Calibri" w:eastAsia="Calibri" w:hAnsi="Calibri" w:cs="Times New Roman"/>
    </w:rPr>
  </w:style>
  <w:style w:type="character" w:customStyle="1" w:styleId="TelobesedilaZnak">
    <w:name w:val="Telo besedila Znak"/>
    <w:basedOn w:val="Privzetapisavaodstavka"/>
    <w:link w:val="Telobesedila"/>
    <w:rsid w:val="004513FD"/>
    <w:rPr>
      <w:rFonts w:ascii="Calibri" w:eastAsia="Calibri" w:hAnsi="Calibri" w:cs="Times New Roman"/>
    </w:rPr>
  </w:style>
  <w:style w:type="paragraph" w:styleId="Navadensplet">
    <w:name w:val="Normal (Web)"/>
    <w:basedOn w:val="Navaden"/>
    <w:uiPriority w:val="99"/>
    <w:unhideWhenUsed/>
    <w:rsid w:val="004513FD"/>
    <w:pPr>
      <w:spacing w:after="0" w:line="240" w:lineRule="auto"/>
    </w:pPr>
    <w:rPr>
      <w:rFonts w:ascii="Verdana" w:eastAsia="Calibri" w:hAnsi="Verdana" w:cs="Times New Roman"/>
      <w:color w:val="323232"/>
      <w:sz w:val="17"/>
      <w:szCs w:val="17"/>
      <w:lang w:eastAsia="sl-SI"/>
    </w:rPr>
  </w:style>
  <w:style w:type="numbering" w:customStyle="1" w:styleId="NoList1">
    <w:name w:val="No List1"/>
    <w:next w:val="Brezseznama"/>
    <w:uiPriority w:val="99"/>
    <w:semiHidden/>
    <w:unhideWhenUsed/>
    <w:rsid w:val="004513FD"/>
  </w:style>
  <w:style w:type="numbering" w:customStyle="1" w:styleId="NoList11">
    <w:name w:val="No List11"/>
    <w:next w:val="Brezseznama"/>
    <w:uiPriority w:val="99"/>
    <w:semiHidden/>
    <w:unhideWhenUsed/>
    <w:rsid w:val="004513FD"/>
  </w:style>
  <w:style w:type="paragraph" w:customStyle="1" w:styleId="alineazaodstavkom1">
    <w:name w:val="alineazaodstavkom1"/>
    <w:basedOn w:val="Navaden"/>
    <w:rsid w:val="004513FD"/>
    <w:pPr>
      <w:spacing w:after="0" w:line="240" w:lineRule="auto"/>
      <w:ind w:left="425" w:hanging="425"/>
      <w:jc w:val="both"/>
    </w:pPr>
    <w:rPr>
      <w:rFonts w:ascii="Arial" w:eastAsia="Times New Roman" w:hAnsi="Arial" w:cs="Arial"/>
      <w:lang w:eastAsia="sl-SI"/>
    </w:rPr>
  </w:style>
  <w:style w:type="paragraph" w:customStyle="1" w:styleId="zamaknjenadolobaprvinivo1">
    <w:name w:val="zamaknjenadolobaprvinivo1"/>
    <w:basedOn w:val="Navaden"/>
    <w:rsid w:val="004513FD"/>
    <w:pPr>
      <w:spacing w:after="0" w:line="240" w:lineRule="auto"/>
      <w:jc w:val="both"/>
    </w:pPr>
    <w:rPr>
      <w:rFonts w:ascii="Arial" w:eastAsia="Times New Roman" w:hAnsi="Arial" w:cs="Arial"/>
      <w:lang w:eastAsia="sl-SI"/>
    </w:rPr>
  </w:style>
  <w:style w:type="paragraph" w:customStyle="1" w:styleId="tevilnatoka">
    <w:name w:val="Številčna točka"/>
    <w:basedOn w:val="Navaden"/>
    <w:qFormat/>
    <w:rsid w:val="004513FD"/>
    <w:pPr>
      <w:numPr>
        <w:numId w:val="17"/>
      </w:numPr>
      <w:tabs>
        <w:tab w:val="left" w:pos="540"/>
        <w:tab w:val="left" w:pos="900"/>
      </w:tabs>
      <w:spacing w:after="0" w:line="240" w:lineRule="auto"/>
      <w:jc w:val="both"/>
    </w:pPr>
    <w:rPr>
      <w:rFonts w:ascii="Arial" w:eastAsia="Times New Roman" w:hAnsi="Arial" w:cs="Times New Roman"/>
      <w:lang w:val="x-none" w:eastAsia="x-none"/>
    </w:rPr>
  </w:style>
  <w:style w:type="paragraph" w:customStyle="1" w:styleId="xmsonormal">
    <w:name w:val="x_msonormal"/>
    <w:basedOn w:val="Navaden"/>
    <w:uiPriority w:val="99"/>
    <w:rsid w:val="004513FD"/>
    <w:pPr>
      <w:spacing w:after="0" w:line="240" w:lineRule="auto"/>
    </w:pPr>
    <w:rPr>
      <w:rFonts w:ascii="Times New Roman" w:eastAsia="Calibri" w:hAnsi="Times New Roman" w:cs="Times New Roman"/>
      <w:sz w:val="24"/>
      <w:szCs w:val="24"/>
      <w:lang w:eastAsia="sl-SI"/>
    </w:rPr>
  </w:style>
  <w:style w:type="paragraph" w:customStyle="1" w:styleId="odstavek0">
    <w:name w:val="odstavek"/>
    <w:basedOn w:val="Navaden"/>
    <w:rsid w:val="004513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vilnatoka0">
    <w:name w:val="tevilnatoka"/>
    <w:basedOn w:val="Navaden"/>
    <w:rsid w:val="004513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erazreenaomemba">
    <w:name w:val="Unresolved Mention"/>
    <w:basedOn w:val="Privzetapisavaodstavka"/>
    <w:uiPriority w:val="99"/>
    <w:semiHidden/>
    <w:unhideWhenUsed/>
    <w:rsid w:val="006B4785"/>
    <w:rPr>
      <w:color w:val="605E5C"/>
      <w:shd w:val="clear" w:color="auto" w:fill="E1DFDD"/>
    </w:rPr>
  </w:style>
  <w:style w:type="character" w:styleId="SledenaHiperpovezava">
    <w:name w:val="FollowedHyperlink"/>
    <w:basedOn w:val="Privzetapisavaodstavka"/>
    <w:uiPriority w:val="99"/>
    <w:semiHidden/>
    <w:unhideWhenUsed/>
    <w:rsid w:val="00A07A69"/>
    <w:rPr>
      <w:color w:val="954F72" w:themeColor="followedHyperlink"/>
      <w:u w:val="single"/>
    </w:rPr>
  </w:style>
  <w:style w:type="paragraph" w:customStyle="1" w:styleId="len0">
    <w:name w:val="len"/>
    <w:basedOn w:val="Navaden"/>
    <w:rsid w:val="0002282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02282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uiPriority w:val="9"/>
    <w:semiHidden/>
    <w:rsid w:val="004F3703"/>
    <w:rPr>
      <w:rFonts w:asciiTheme="majorHAnsi" w:eastAsiaTheme="majorEastAsia" w:hAnsiTheme="majorHAnsi" w:cstheme="majorBidi"/>
      <w:color w:val="1F3763" w:themeColor="accent1" w:themeShade="7F"/>
      <w:sz w:val="24"/>
      <w:szCs w:val="24"/>
    </w:rPr>
  </w:style>
  <w:style w:type="paragraph" w:customStyle="1" w:styleId="Default">
    <w:name w:val="Default"/>
    <w:rsid w:val="00FD48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1402">
      <w:bodyDiv w:val="1"/>
      <w:marLeft w:val="0"/>
      <w:marRight w:val="0"/>
      <w:marTop w:val="0"/>
      <w:marBottom w:val="0"/>
      <w:divBdr>
        <w:top w:val="none" w:sz="0" w:space="0" w:color="auto"/>
        <w:left w:val="none" w:sz="0" w:space="0" w:color="auto"/>
        <w:bottom w:val="none" w:sz="0" w:space="0" w:color="auto"/>
        <w:right w:val="none" w:sz="0" w:space="0" w:color="auto"/>
      </w:divBdr>
    </w:div>
    <w:div w:id="148597122">
      <w:bodyDiv w:val="1"/>
      <w:marLeft w:val="0"/>
      <w:marRight w:val="0"/>
      <w:marTop w:val="0"/>
      <w:marBottom w:val="0"/>
      <w:divBdr>
        <w:top w:val="none" w:sz="0" w:space="0" w:color="auto"/>
        <w:left w:val="none" w:sz="0" w:space="0" w:color="auto"/>
        <w:bottom w:val="none" w:sz="0" w:space="0" w:color="auto"/>
        <w:right w:val="none" w:sz="0" w:space="0" w:color="auto"/>
      </w:divBdr>
    </w:div>
    <w:div w:id="271864163">
      <w:bodyDiv w:val="1"/>
      <w:marLeft w:val="0"/>
      <w:marRight w:val="0"/>
      <w:marTop w:val="0"/>
      <w:marBottom w:val="0"/>
      <w:divBdr>
        <w:top w:val="none" w:sz="0" w:space="0" w:color="auto"/>
        <w:left w:val="none" w:sz="0" w:space="0" w:color="auto"/>
        <w:bottom w:val="none" w:sz="0" w:space="0" w:color="auto"/>
        <w:right w:val="none" w:sz="0" w:space="0" w:color="auto"/>
      </w:divBdr>
    </w:div>
    <w:div w:id="399257284">
      <w:bodyDiv w:val="1"/>
      <w:marLeft w:val="0"/>
      <w:marRight w:val="0"/>
      <w:marTop w:val="0"/>
      <w:marBottom w:val="0"/>
      <w:divBdr>
        <w:top w:val="none" w:sz="0" w:space="0" w:color="auto"/>
        <w:left w:val="none" w:sz="0" w:space="0" w:color="auto"/>
        <w:bottom w:val="none" w:sz="0" w:space="0" w:color="auto"/>
        <w:right w:val="none" w:sz="0" w:space="0" w:color="auto"/>
      </w:divBdr>
      <w:divsChild>
        <w:div w:id="1098252766">
          <w:marLeft w:val="0"/>
          <w:marRight w:val="0"/>
          <w:marTop w:val="0"/>
          <w:marBottom w:val="0"/>
          <w:divBdr>
            <w:top w:val="none" w:sz="0" w:space="0" w:color="auto"/>
            <w:left w:val="none" w:sz="0" w:space="0" w:color="auto"/>
            <w:bottom w:val="none" w:sz="0" w:space="0" w:color="auto"/>
            <w:right w:val="none" w:sz="0" w:space="0" w:color="auto"/>
          </w:divBdr>
        </w:div>
        <w:div w:id="1318264178">
          <w:marLeft w:val="0"/>
          <w:marRight w:val="0"/>
          <w:marTop w:val="0"/>
          <w:marBottom w:val="0"/>
          <w:divBdr>
            <w:top w:val="none" w:sz="0" w:space="0" w:color="auto"/>
            <w:left w:val="none" w:sz="0" w:space="0" w:color="auto"/>
            <w:bottom w:val="none" w:sz="0" w:space="0" w:color="auto"/>
            <w:right w:val="none" w:sz="0" w:space="0" w:color="auto"/>
          </w:divBdr>
        </w:div>
      </w:divsChild>
    </w:div>
    <w:div w:id="467820873">
      <w:bodyDiv w:val="1"/>
      <w:marLeft w:val="0"/>
      <w:marRight w:val="0"/>
      <w:marTop w:val="0"/>
      <w:marBottom w:val="0"/>
      <w:divBdr>
        <w:top w:val="none" w:sz="0" w:space="0" w:color="auto"/>
        <w:left w:val="none" w:sz="0" w:space="0" w:color="auto"/>
        <w:bottom w:val="none" w:sz="0" w:space="0" w:color="auto"/>
        <w:right w:val="none" w:sz="0" w:space="0" w:color="auto"/>
      </w:divBdr>
    </w:div>
    <w:div w:id="495921857">
      <w:bodyDiv w:val="1"/>
      <w:marLeft w:val="0"/>
      <w:marRight w:val="0"/>
      <w:marTop w:val="0"/>
      <w:marBottom w:val="0"/>
      <w:divBdr>
        <w:top w:val="none" w:sz="0" w:space="0" w:color="auto"/>
        <w:left w:val="none" w:sz="0" w:space="0" w:color="auto"/>
        <w:bottom w:val="none" w:sz="0" w:space="0" w:color="auto"/>
        <w:right w:val="none" w:sz="0" w:space="0" w:color="auto"/>
      </w:divBdr>
    </w:div>
    <w:div w:id="568922465">
      <w:bodyDiv w:val="1"/>
      <w:marLeft w:val="0"/>
      <w:marRight w:val="0"/>
      <w:marTop w:val="0"/>
      <w:marBottom w:val="0"/>
      <w:divBdr>
        <w:top w:val="none" w:sz="0" w:space="0" w:color="auto"/>
        <w:left w:val="none" w:sz="0" w:space="0" w:color="auto"/>
        <w:bottom w:val="none" w:sz="0" w:space="0" w:color="auto"/>
        <w:right w:val="none" w:sz="0" w:space="0" w:color="auto"/>
      </w:divBdr>
    </w:div>
    <w:div w:id="609703701">
      <w:bodyDiv w:val="1"/>
      <w:marLeft w:val="0"/>
      <w:marRight w:val="0"/>
      <w:marTop w:val="0"/>
      <w:marBottom w:val="0"/>
      <w:divBdr>
        <w:top w:val="none" w:sz="0" w:space="0" w:color="auto"/>
        <w:left w:val="none" w:sz="0" w:space="0" w:color="auto"/>
        <w:bottom w:val="none" w:sz="0" w:space="0" w:color="auto"/>
        <w:right w:val="none" w:sz="0" w:space="0" w:color="auto"/>
      </w:divBdr>
    </w:div>
    <w:div w:id="729234438">
      <w:bodyDiv w:val="1"/>
      <w:marLeft w:val="0"/>
      <w:marRight w:val="0"/>
      <w:marTop w:val="0"/>
      <w:marBottom w:val="0"/>
      <w:divBdr>
        <w:top w:val="none" w:sz="0" w:space="0" w:color="auto"/>
        <w:left w:val="none" w:sz="0" w:space="0" w:color="auto"/>
        <w:bottom w:val="none" w:sz="0" w:space="0" w:color="auto"/>
        <w:right w:val="none" w:sz="0" w:space="0" w:color="auto"/>
      </w:divBdr>
    </w:div>
    <w:div w:id="929001575">
      <w:bodyDiv w:val="1"/>
      <w:marLeft w:val="0"/>
      <w:marRight w:val="0"/>
      <w:marTop w:val="0"/>
      <w:marBottom w:val="0"/>
      <w:divBdr>
        <w:top w:val="none" w:sz="0" w:space="0" w:color="auto"/>
        <w:left w:val="none" w:sz="0" w:space="0" w:color="auto"/>
        <w:bottom w:val="none" w:sz="0" w:space="0" w:color="auto"/>
        <w:right w:val="none" w:sz="0" w:space="0" w:color="auto"/>
      </w:divBdr>
      <w:divsChild>
        <w:div w:id="246699245">
          <w:marLeft w:val="0"/>
          <w:marRight w:val="0"/>
          <w:marTop w:val="0"/>
          <w:marBottom w:val="0"/>
          <w:divBdr>
            <w:top w:val="none" w:sz="0" w:space="0" w:color="auto"/>
            <w:left w:val="none" w:sz="0" w:space="0" w:color="auto"/>
            <w:bottom w:val="none" w:sz="0" w:space="0" w:color="auto"/>
            <w:right w:val="none" w:sz="0" w:space="0" w:color="auto"/>
          </w:divBdr>
          <w:divsChild>
            <w:div w:id="128787938">
              <w:marLeft w:val="0"/>
              <w:marRight w:val="0"/>
              <w:marTop w:val="0"/>
              <w:marBottom w:val="0"/>
              <w:divBdr>
                <w:top w:val="none" w:sz="0" w:space="0" w:color="auto"/>
                <w:left w:val="none" w:sz="0" w:space="0" w:color="auto"/>
                <w:bottom w:val="none" w:sz="0" w:space="0" w:color="auto"/>
                <w:right w:val="none" w:sz="0" w:space="0" w:color="auto"/>
              </w:divBdr>
            </w:div>
            <w:div w:id="1364330308">
              <w:marLeft w:val="0"/>
              <w:marRight w:val="0"/>
              <w:marTop w:val="0"/>
              <w:marBottom w:val="0"/>
              <w:divBdr>
                <w:top w:val="none" w:sz="0" w:space="0" w:color="auto"/>
                <w:left w:val="none" w:sz="0" w:space="0" w:color="auto"/>
                <w:bottom w:val="none" w:sz="0" w:space="0" w:color="auto"/>
                <w:right w:val="none" w:sz="0" w:space="0" w:color="auto"/>
              </w:divBdr>
            </w:div>
            <w:div w:id="1437360672">
              <w:marLeft w:val="0"/>
              <w:marRight w:val="0"/>
              <w:marTop w:val="0"/>
              <w:marBottom w:val="0"/>
              <w:divBdr>
                <w:top w:val="none" w:sz="0" w:space="0" w:color="auto"/>
                <w:left w:val="none" w:sz="0" w:space="0" w:color="auto"/>
                <w:bottom w:val="none" w:sz="0" w:space="0" w:color="auto"/>
                <w:right w:val="none" w:sz="0" w:space="0" w:color="auto"/>
              </w:divBdr>
            </w:div>
            <w:div w:id="1446728925">
              <w:marLeft w:val="0"/>
              <w:marRight w:val="0"/>
              <w:marTop w:val="0"/>
              <w:marBottom w:val="0"/>
              <w:divBdr>
                <w:top w:val="none" w:sz="0" w:space="0" w:color="auto"/>
                <w:left w:val="none" w:sz="0" w:space="0" w:color="auto"/>
                <w:bottom w:val="none" w:sz="0" w:space="0" w:color="auto"/>
                <w:right w:val="none" w:sz="0" w:space="0" w:color="auto"/>
              </w:divBdr>
            </w:div>
            <w:div w:id="2074766777">
              <w:marLeft w:val="0"/>
              <w:marRight w:val="0"/>
              <w:marTop w:val="0"/>
              <w:marBottom w:val="0"/>
              <w:divBdr>
                <w:top w:val="none" w:sz="0" w:space="0" w:color="auto"/>
                <w:left w:val="none" w:sz="0" w:space="0" w:color="auto"/>
                <w:bottom w:val="none" w:sz="0" w:space="0" w:color="auto"/>
                <w:right w:val="none" w:sz="0" w:space="0" w:color="auto"/>
              </w:divBdr>
            </w:div>
          </w:divsChild>
        </w:div>
        <w:div w:id="927467100">
          <w:marLeft w:val="0"/>
          <w:marRight w:val="0"/>
          <w:marTop w:val="0"/>
          <w:marBottom w:val="0"/>
          <w:divBdr>
            <w:top w:val="none" w:sz="0" w:space="0" w:color="auto"/>
            <w:left w:val="none" w:sz="0" w:space="0" w:color="auto"/>
            <w:bottom w:val="none" w:sz="0" w:space="0" w:color="auto"/>
            <w:right w:val="none" w:sz="0" w:space="0" w:color="auto"/>
          </w:divBdr>
          <w:divsChild>
            <w:div w:id="16966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24291">
      <w:bodyDiv w:val="1"/>
      <w:marLeft w:val="0"/>
      <w:marRight w:val="0"/>
      <w:marTop w:val="0"/>
      <w:marBottom w:val="0"/>
      <w:divBdr>
        <w:top w:val="none" w:sz="0" w:space="0" w:color="auto"/>
        <w:left w:val="none" w:sz="0" w:space="0" w:color="auto"/>
        <w:bottom w:val="none" w:sz="0" w:space="0" w:color="auto"/>
        <w:right w:val="none" w:sz="0" w:space="0" w:color="auto"/>
      </w:divBdr>
    </w:div>
    <w:div w:id="987827740">
      <w:bodyDiv w:val="1"/>
      <w:marLeft w:val="0"/>
      <w:marRight w:val="0"/>
      <w:marTop w:val="0"/>
      <w:marBottom w:val="0"/>
      <w:divBdr>
        <w:top w:val="none" w:sz="0" w:space="0" w:color="auto"/>
        <w:left w:val="none" w:sz="0" w:space="0" w:color="auto"/>
        <w:bottom w:val="none" w:sz="0" w:space="0" w:color="auto"/>
        <w:right w:val="none" w:sz="0" w:space="0" w:color="auto"/>
      </w:divBdr>
    </w:div>
    <w:div w:id="1137794372">
      <w:bodyDiv w:val="1"/>
      <w:marLeft w:val="0"/>
      <w:marRight w:val="0"/>
      <w:marTop w:val="0"/>
      <w:marBottom w:val="0"/>
      <w:divBdr>
        <w:top w:val="none" w:sz="0" w:space="0" w:color="auto"/>
        <w:left w:val="none" w:sz="0" w:space="0" w:color="auto"/>
        <w:bottom w:val="none" w:sz="0" w:space="0" w:color="auto"/>
        <w:right w:val="none" w:sz="0" w:space="0" w:color="auto"/>
      </w:divBdr>
    </w:div>
    <w:div w:id="1240366559">
      <w:bodyDiv w:val="1"/>
      <w:marLeft w:val="0"/>
      <w:marRight w:val="0"/>
      <w:marTop w:val="0"/>
      <w:marBottom w:val="0"/>
      <w:divBdr>
        <w:top w:val="none" w:sz="0" w:space="0" w:color="auto"/>
        <w:left w:val="none" w:sz="0" w:space="0" w:color="auto"/>
        <w:bottom w:val="none" w:sz="0" w:space="0" w:color="auto"/>
        <w:right w:val="none" w:sz="0" w:space="0" w:color="auto"/>
      </w:divBdr>
    </w:div>
    <w:div w:id="1291326195">
      <w:bodyDiv w:val="1"/>
      <w:marLeft w:val="0"/>
      <w:marRight w:val="0"/>
      <w:marTop w:val="0"/>
      <w:marBottom w:val="0"/>
      <w:divBdr>
        <w:top w:val="none" w:sz="0" w:space="0" w:color="auto"/>
        <w:left w:val="none" w:sz="0" w:space="0" w:color="auto"/>
        <w:bottom w:val="none" w:sz="0" w:space="0" w:color="auto"/>
        <w:right w:val="none" w:sz="0" w:space="0" w:color="auto"/>
      </w:divBdr>
    </w:div>
    <w:div w:id="1439250694">
      <w:bodyDiv w:val="1"/>
      <w:marLeft w:val="0"/>
      <w:marRight w:val="0"/>
      <w:marTop w:val="0"/>
      <w:marBottom w:val="0"/>
      <w:divBdr>
        <w:top w:val="none" w:sz="0" w:space="0" w:color="auto"/>
        <w:left w:val="none" w:sz="0" w:space="0" w:color="auto"/>
        <w:bottom w:val="none" w:sz="0" w:space="0" w:color="auto"/>
        <w:right w:val="none" w:sz="0" w:space="0" w:color="auto"/>
      </w:divBdr>
    </w:div>
    <w:div w:id="1522009599">
      <w:bodyDiv w:val="1"/>
      <w:marLeft w:val="0"/>
      <w:marRight w:val="0"/>
      <w:marTop w:val="0"/>
      <w:marBottom w:val="0"/>
      <w:divBdr>
        <w:top w:val="none" w:sz="0" w:space="0" w:color="auto"/>
        <w:left w:val="none" w:sz="0" w:space="0" w:color="auto"/>
        <w:bottom w:val="none" w:sz="0" w:space="0" w:color="auto"/>
        <w:right w:val="none" w:sz="0" w:space="0" w:color="auto"/>
      </w:divBdr>
    </w:div>
    <w:div w:id="1637223474">
      <w:bodyDiv w:val="1"/>
      <w:marLeft w:val="0"/>
      <w:marRight w:val="0"/>
      <w:marTop w:val="0"/>
      <w:marBottom w:val="0"/>
      <w:divBdr>
        <w:top w:val="none" w:sz="0" w:space="0" w:color="auto"/>
        <w:left w:val="none" w:sz="0" w:space="0" w:color="auto"/>
        <w:bottom w:val="none" w:sz="0" w:space="0" w:color="auto"/>
        <w:right w:val="none" w:sz="0" w:space="0" w:color="auto"/>
      </w:divBdr>
    </w:div>
    <w:div w:id="1677658632">
      <w:bodyDiv w:val="1"/>
      <w:marLeft w:val="0"/>
      <w:marRight w:val="0"/>
      <w:marTop w:val="0"/>
      <w:marBottom w:val="0"/>
      <w:divBdr>
        <w:top w:val="none" w:sz="0" w:space="0" w:color="auto"/>
        <w:left w:val="none" w:sz="0" w:space="0" w:color="auto"/>
        <w:bottom w:val="none" w:sz="0" w:space="0" w:color="auto"/>
        <w:right w:val="none" w:sz="0" w:space="0" w:color="auto"/>
      </w:divBdr>
    </w:div>
    <w:div w:id="1685590897">
      <w:bodyDiv w:val="1"/>
      <w:marLeft w:val="0"/>
      <w:marRight w:val="0"/>
      <w:marTop w:val="0"/>
      <w:marBottom w:val="0"/>
      <w:divBdr>
        <w:top w:val="none" w:sz="0" w:space="0" w:color="auto"/>
        <w:left w:val="none" w:sz="0" w:space="0" w:color="auto"/>
        <w:bottom w:val="none" w:sz="0" w:space="0" w:color="auto"/>
        <w:right w:val="none" w:sz="0" w:space="0" w:color="auto"/>
      </w:divBdr>
    </w:div>
    <w:div w:id="1686253103">
      <w:bodyDiv w:val="1"/>
      <w:marLeft w:val="0"/>
      <w:marRight w:val="0"/>
      <w:marTop w:val="0"/>
      <w:marBottom w:val="0"/>
      <w:divBdr>
        <w:top w:val="none" w:sz="0" w:space="0" w:color="auto"/>
        <w:left w:val="none" w:sz="0" w:space="0" w:color="auto"/>
        <w:bottom w:val="none" w:sz="0" w:space="0" w:color="auto"/>
        <w:right w:val="none" w:sz="0" w:space="0" w:color="auto"/>
      </w:divBdr>
    </w:div>
    <w:div w:id="1761637473">
      <w:bodyDiv w:val="1"/>
      <w:marLeft w:val="0"/>
      <w:marRight w:val="0"/>
      <w:marTop w:val="0"/>
      <w:marBottom w:val="0"/>
      <w:divBdr>
        <w:top w:val="none" w:sz="0" w:space="0" w:color="auto"/>
        <w:left w:val="none" w:sz="0" w:space="0" w:color="auto"/>
        <w:bottom w:val="none" w:sz="0" w:space="0" w:color="auto"/>
        <w:right w:val="none" w:sz="0" w:space="0" w:color="auto"/>
      </w:divBdr>
    </w:div>
    <w:div w:id="1770613509">
      <w:bodyDiv w:val="1"/>
      <w:marLeft w:val="0"/>
      <w:marRight w:val="0"/>
      <w:marTop w:val="0"/>
      <w:marBottom w:val="0"/>
      <w:divBdr>
        <w:top w:val="none" w:sz="0" w:space="0" w:color="auto"/>
        <w:left w:val="none" w:sz="0" w:space="0" w:color="auto"/>
        <w:bottom w:val="none" w:sz="0" w:space="0" w:color="auto"/>
        <w:right w:val="none" w:sz="0" w:space="0" w:color="auto"/>
      </w:divBdr>
    </w:div>
    <w:div w:id="1798991897">
      <w:bodyDiv w:val="1"/>
      <w:marLeft w:val="0"/>
      <w:marRight w:val="0"/>
      <w:marTop w:val="0"/>
      <w:marBottom w:val="0"/>
      <w:divBdr>
        <w:top w:val="none" w:sz="0" w:space="0" w:color="auto"/>
        <w:left w:val="none" w:sz="0" w:space="0" w:color="auto"/>
        <w:bottom w:val="none" w:sz="0" w:space="0" w:color="auto"/>
        <w:right w:val="none" w:sz="0" w:space="0" w:color="auto"/>
      </w:divBdr>
    </w:div>
    <w:div w:id="1839883305">
      <w:bodyDiv w:val="1"/>
      <w:marLeft w:val="0"/>
      <w:marRight w:val="0"/>
      <w:marTop w:val="0"/>
      <w:marBottom w:val="0"/>
      <w:divBdr>
        <w:top w:val="none" w:sz="0" w:space="0" w:color="auto"/>
        <w:left w:val="none" w:sz="0" w:space="0" w:color="auto"/>
        <w:bottom w:val="none" w:sz="0" w:space="0" w:color="auto"/>
        <w:right w:val="none" w:sz="0" w:space="0" w:color="auto"/>
      </w:divBdr>
    </w:div>
    <w:div w:id="1964000574">
      <w:bodyDiv w:val="1"/>
      <w:marLeft w:val="0"/>
      <w:marRight w:val="0"/>
      <w:marTop w:val="0"/>
      <w:marBottom w:val="0"/>
      <w:divBdr>
        <w:top w:val="none" w:sz="0" w:space="0" w:color="auto"/>
        <w:left w:val="none" w:sz="0" w:space="0" w:color="auto"/>
        <w:bottom w:val="none" w:sz="0" w:space="0" w:color="auto"/>
        <w:right w:val="none" w:sz="0" w:space="0" w:color="auto"/>
      </w:divBdr>
    </w:div>
    <w:div w:id="2039308757">
      <w:bodyDiv w:val="1"/>
      <w:marLeft w:val="0"/>
      <w:marRight w:val="0"/>
      <w:marTop w:val="0"/>
      <w:marBottom w:val="0"/>
      <w:divBdr>
        <w:top w:val="none" w:sz="0" w:space="0" w:color="auto"/>
        <w:left w:val="none" w:sz="0" w:space="0" w:color="auto"/>
        <w:bottom w:val="none" w:sz="0" w:space="0" w:color="auto"/>
        <w:right w:val="none" w:sz="0" w:space="0" w:color="auto"/>
      </w:divBdr>
    </w:div>
    <w:div w:id="2049793344">
      <w:bodyDiv w:val="1"/>
      <w:marLeft w:val="0"/>
      <w:marRight w:val="0"/>
      <w:marTop w:val="0"/>
      <w:marBottom w:val="0"/>
      <w:divBdr>
        <w:top w:val="none" w:sz="0" w:space="0" w:color="auto"/>
        <w:left w:val="none" w:sz="0" w:space="0" w:color="auto"/>
        <w:bottom w:val="none" w:sz="0" w:space="0" w:color="auto"/>
        <w:right w:val="none" w:sz="0" w:space="0" w:color="auto"/>
      </w:divBdr>
    </w:div>
    <w:div w:id="206871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gs@gov.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prava.gov.si/drzava-in-druzba/e-demokracija/predlogi-predpisov/predlog-predpisa.html?id=1450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radni-list.si/1/objava.jsp?sop=2016-01-2684"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prava.gov.si/drzava-in-druzba/e-demokracija/predlogi-predpisov/predlog-predpisa.html?id=1450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151a32cb-68d4-46e2-8990-209d00cbea1a" xsi:nil="true"/>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6B7A8718914BDE4BA8300011CFAD220C" ma:contentTypeVersion="11" ma:contentTypeDescription="Ustvari nov dokument." ma:contentTypeScope="" ma:versionID="300e19618573803e77e43babec178a0e">
  <xsd:schema xmlns:xsd="http://www.w3.org/2001/XMLSchema" xmlns:xs="http://www.w3.org/2001/XMLSchema" xmlns:p="http://schemas.microsoft.com/office/2006/metadata/properties" xmlns:ns2="151a32cb-68d4-46e2-8990-209d00cbea1a" xmlns:ns3="09866c01-3f06-4d68-9fc0-9ed1e03c82b3" targetNamespace="http://schemas.microsoft.com/office/2006/metadata/properties" ma:root="true" ma:fieldsID="0b3483f2caf30ed1be45132a288684e2" ns2:_="" ns3:_="">
    <xsd:import namespace="151a32cb-68d4-46e2-8990-209d00cbea1a"/>
    <xsd:import namespace="09866c01-3f06-4d68-9fc0-9ed1e03c82b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866c01-3f06-4d68-9fc0-9ed1e03c82b3"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0DC07-47EA-46C6-96D6-15517502F69A}">
  <ds:schemaRefs>
    <ds:schemaRef ds:uri="http://schemas.microsoft.com/sharepoint/v3/contenttype/forms"/>
  </ds:schemaRefs>
</ds:datastoreItem>
</file>

<file path=customXml/itemProps2.xml><?xml version="1.0" encoding="utf-8"?>
<ds:datastoreItem xmlns:ds="http://schemas.openxmlformats.org/officeDocument/2006/customXml" ds:itemID="{A1C00866-3A41-4C5D-8BBB-D56AEDB49B1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51a32cb-68d4-46e2-8990-209d00cbea1a"/>
    <ds:schemaRef ds:uri="http://purl.org/dc/dcmitype/"/>
    <ds:schemaRef ds:uri="http://schemas.microsoft.com/office/infopath/2007/PartnerControls"/>
    <ds:schemaRef ds:uri="09866c01-3f06-4d68-9fc0-9ed1e03c82b3"/>
    <ds:schemaRef ds:uri="http://www.w3.org/XML/1998/namespace"/>
  </ds:schemaRefs>
</ds:datastoreItem>
</file>

<file path=customXml/itemProps3.xml><?xml version="1.0" encoding="utf-8"?>
<ds:datastoreItem xmlns:ds="http://schemas.openxmlformats.org/officeDocument/2006/customXml" ds:itemID="{66B94F62-3711-4072-B53E-54F164BBACBF}">
  <ds:schemaRefs>
    <ds:schemaRef ds:uri="http://schemas.microsoft.com/sharepoint/events"/>
  </ds:schemaRefs>
</ds:datastoreItem>
</file>

<file path=customXml/itemProps4.xml><?xml version="1.0" encoding="utf-8"?>
<ds:datastoreItem xmlns:ds="http://schemas.openxmlformats.org/officeDocument/2006/customXml" ds:itemID="{34D085E5-778A-4262-8609-5FEE195F1DF3}">
  <ds:schemaRefs>
    <ds:schemaRef ds:uri="http://schemas.openxmlformats.org/officeDocument/2006/bibliography"/>
  </ds:schemaRefs>
</ds:datastoreItem>
</file>

<file path=customXml/itemProps5.xml><?xml version="1.0" encoding="utf-8"?>
<ds:datastoreItem xmlns:ds="http://schemas.openxmlformats.org/officeDocument/2006/customXml" ds:itemID="{2A94B84A-47AF-487A-83CC-F13051F36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09866c01-3f06-4d68-9fc0-9ed1e03c8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44613</Words>
  <Characters>254299</Characters>
  <Application>Microsoft Office Word</Application>
  <DocSecurity>0</DocSecurity>
  <Lines>2119</Lines>
  <Paragraphs>596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MF17</dc:creator>
  <cp:keywords/>
  <dc:description/>
  <cp:lastModifiedBy>MF17</cp:lastModifiedBy>
  <cp:revision>2</cp:revision>
  <cp:lastPrinted>2022-09-13T08:50:00Z</cp:lastPrinted>
  <dcterms:created xsi:type="dcterms:W3CDTF">2022-09-26T13:29:00Z</dcterms:created>
  <dcterms:modified xsi:type="dcterms:W3CDTF">2022-09-26T13:29:00Z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0x0101006B7A8718914BDE4BA8300011CFAD220C</vt:lpwstr>
  </property>
</Properties>
</file>