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4F5C" w14:textId="77777777" w:rsidR="00EC0BBB" w:rsidRPr="00E2073F" w:rsidRDefault="00EC0BBB" w:rsidP="00E2073F">
      <w:pPr>
        <w:pStyle w:val="Standard"/>
        <w:spacing w:after="0" w:line="260" w:lineRule="exact"/>
        <w:rPr>
          <w:rFonts w:ascii="Arial" w:eastAsia="SimSun" w:hAnsi="Arial" w:cs="Arial"/>
          <w:b/>
          <w:bCs/>
          <w:sz w:val="20"/>
          <w:szCs w:val="20"/>
          <w:lang w:val="sl-SI" w:eastAsia="sl-SI"/>
        </w:rPr>
      </w:pPr>
      <w:r w:rsidRPr="00E2073F">
        <w:rPr>
          <w:rFonts w:ascii="Arial" w:eastAsia="SimSun" w:hAnsi="Arial" w:cs="Arial"/>
          <w:b/>
          <w:bCs/>
          <w:sz w:val="20"/>
          <w:szCs w:val="20"/>
          <w:lang w:val="nb-NO" w:eastAsia="sl-SI"/>
        </w:rPr>
        <w:t>Republika Slo</w:t>
      </w:r>
      <w:r w:rsidRPr="00E2073F">
        <w:rPr>
          <w:rFonts w:ascii="Arial" w:eastAsia="SimSun" w:hAnsi="Arial" w:cs="Arial"/>
          <w:b/>
          <w:bCs/>
          <w:sz w:val="20"/>
          <w:szCs w:val="20"/>
          <w:lang w:val="sl-SI" w:eastAsia="sl-SI"/>
        </w:rPr>
        <w:t>venija, Vlada Republike Slovenije,</w:t>
      </w:r>
    </w:p>
    <w:p w14:paraId="6DC85C2E" w14:textId="27C95D4E"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Gregorčičeva</w:t>
      </w:r>
      <w:r w:rsidR="00342B38">
        <w:rPr>
          <w:rFonts w:ascii="Arial" w:eastAsia="SimSun" w:hAnsi="Arial" w:cs="Arial"/>
          <w:sz w:val="20"/>
          <w:szCs w:val="20"/>
          <w:lang w:val="sl-SI" w:eastAsia="sl-SI"/>
        </w:rPr>
        <w:t xml:space="preserve"> </w:t>
      </w:r>
      <w:r w:rsidR="003D0232">
        <w:rPr>
          <w:rFonts w:ascii="Arial" w:eastAsia="SimSun" w:hAnsi="Arial" w:cs="Arial"/>
          <w:sz w:val="20"/>
          <w:szCs w:val="20"/>
          <w:lang w:val="sl-SI" w:eastAsia="sl-SI"/>
        </w:rPr>
        <w:t xml:space="preserve">ulica </w:t>
      </w:r>
      <w:r w:rsidRPr="00E2073F">
        <w:rPr>
          <w:rFonts w:ascii="Arial" w:eastAsia="SimSun" w:hAnsi="Arial" w:cs="Arial"/>
          <w:sz w:val="20"/>
          <w:szCs w:val="20"/>
          <w:lang w:val="sl-SI" w:eastAsia="sl-SI"/>
        </w:rPr>
        <w:t>20, 1000 Ljubljana, ki jo zastopa Matjaž Han, minister za</w:t>
      </w:r>
      <w:r w:rsidR="00391E43">
        <w:rPr>
          <w:rFonts w:ascii="Arial" w:eastAsia="SimSun" w:hAnsi="Arial" w:cs="Arial"/>
          <w:sz w:val="20"/>
          <w:szCs w:val="20"/>
          <w:lang w:val="sl-SI" w:eastAsia="sl-SI"/>
        </w:rPr>
        <w:t xml:space="preserve"> gospodarstvo, turizem in šport </w:t>
      </w:r>
      <w:r w:rsidRPr="00E2073F">
        <w:rPr>
          <w:rFonts w:ascii="Arial" w:eastAsia="SimSun" w:hAnsi="Arial" w:cs="Arial"/>
          <w:sz w:val="20"/>
          <w:szCs w:val="20"/>
          <w:lang w:val="sl-SI" w:eastAsia="sl-SI"/>
        </w:rPr>
        <w:t>(v nadaljevanju: Vlada Republike Slovenije)</w:t>
      </w:r>
    </w:p>
    <w:p w14:paraId="300DC8B2" w14:textId="77777777" w:rsidR="00E2073F" w:rsidRDefault="00E2073F" w:rsidP="00E2073F">
      <w:pPr>
        <w:pStyle w:val="Standard"/>
        <w:spacing w:after="0" w:line="260" w:lineRule="exact"/>
        <w:rPr>
          <w:rFonts w:ascii="Arial" w:eastAsia="SimSun" w:hAnsi="Arial" w:cs="Arial"/>
          <w:sz w:val="20"/>
          <w:szCs w:val="20"/>
          <w:lang w:val="sl-SI" w:eastAsia="sl-SI"/>
        </w:rPr>
      </w:pPr>
    </w:p>
    <w:p w14:paraId="3A852FCC"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 xml:space="preserve">in </w:t>
      </w:r>
    </w:p>
    <w:p w14:paraId="1BD922D1" w14:textId="77777777" w:rsidR="00E2073F" w:rsidRDefault="00E2073F" w:rsidP="00E2073F">
      <w:pPr>
        <w:pStyle w:val="Standard"/>
        <w:spacing w:after="0" w:line="260" w:lineRule="exact"/>
        <w:rPr>
          <w:rFonts w:ascii="Arial" w:eastAsia="SimSun" w:hAnsi="Arial" w:cs="Arial"/>
          <w:b/>
          <w:bCs/>
          <w:sz w:val="20"/>
          <w:szCs w:val="20"/>
          <w:lang w:val="sl-SI" w:eastAsia="sl-SI"/>
        </w:rPr>
      </w:pPr>
    </w:p>
    <w:p w14:paraId="22876BEB" w14:textId="77777777" w:rsidR="00EC0BBB" w:rsidRPr="00E2073F" w:rsidRDefault="00EC0BBB" w:rsidP="00E2073F">
      <w:pPr>
        <w:pStyle w:val="Standard"/>
        <w:spacing w:after="0" w:line="260" w:lineRule="exact"/>
        <w:rPr>
          <w:rFonts w:ascii="Arial" w:eastAsia="SimSun" w:hAnsi="Arial" w:cs="Arial"/>
          <w:b/>
          <w:bCs/>
          <w:sz w:val="20"/>
          <w:szCs w:val="20"/>
          <w:lang w:val="sl-SI" w:eastAsia="sl-SI"/>
        </w:rPr>
      </w:pPr>
      <w:r w:rsidRPr="00E2073F">
        <w:rPr>
          <w:rFonts w:ascii="Arial" w:eastAsia="SimSun" w:hAnsi="Arial" w:cs="Arial"/>
          <w:b/>
          <w:bCs/>
          <w:sz w:val="20"/>
          <w:szCs w:val="20"/>
          <w:lang w:val="sl-SI" w:eastAsia="sl-SI"/>
        </w:rPr>
        <w:t>PALFINGER AG,</w:t>
      </w:r>
    </w:p>
    <w:p w14:paraId="4043E2CC"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 xml:space="preserve">Lamprechtshausener Bundesstraße 8, </w:t>
      </w:r>
    </w:p>
    <w:p w14:paraId="07609071" w14:textId="4A408278"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5101 Bergheim, Austria, ki ga zastopa Alexander Susanek, član uprave (v nadaljevanju: PALFINGER ali vlagatelj),</w:t>
      </w:r>
    </w:p>
    <w:p w14:paraId="741970B5" w14:textId="77777777" w:rsidR="00E2073F" w:rsidRDefault="00E2073F" w:rsidP="00E2073F">
      <w:pPr>
        <w:pStyle w:val="Standard"/>
        <w:spacing w:after="0" w:line="260" w:lineRule="exact"/>
        <w:rPr>
          <w:rFonts w:ascii="Arial" w:eastAsia="SimSun" w:hAnsi="Arial" w:cs="Arial"/>
          <w:sz w:val="20"/>
          <w:szCs w:val="20"/>
          <w:lang w:val="sl-SI" w:eastAsia="sl-SI"/>
        </w:rPr>
      </w:pPr>
    </w:p>
    <w:p w14:paraId="1E91FAD9"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in</w:t>
      </w:r>
    </w:p>
    <w:p w14:paraId="0F05C638" w14:textId="77777777" w:rsidR="00E2073F" w:rsidRDefault="00E2073F" w:rsidP="00E2073F">
      <w:pPr>
        <w:pStyle w:val="Standard"/>
        <w:spacing w:after="0" w:line="260" w:lineRule="exact"/>
        <w:rPr>
          <w:rFonts w:ascii="Arial" w:eastAsia="SimSun" w:hAnsi="Arial" w:cs="Arial"/>
          <w:b/>
          <w:bCs/>
          <w:sz w:val="20"/>
          <w:szCs w:val="20"/>
          <w:lang w:val="sl-SI" w:eastAsia="sl-SI"/>
        </w:rPr>
      </w:pPr>
    </w:p>
    <w:p w14:paraId="6151085C" w14:textId="77777777" w:rsidR="00EC0BBB" w:rsidRPr="00E2073F" w:rsidRDefault="00EC0BBB" w:rsidP="00E2073F">
      <w:pPr>
        <w:pStyle w:val="Standard"/>
        <w:spacing w:after="0" w:line="260" w:lineRule="exact"/>
        <w:rPr>
          <w:rFonts w:ascii="Arial" w:eastAsia="SimSun" w:hAnsi="Arial" w:cs="Arial"/>
          <w:b/>
          <w:bCs/>
          <w:sz w:val="20"/>
          <w:szCs w:val="20"/>
          <w:lang w:val="sl-SI" w:eastAsia="sl-SI"/>
        </w:rPr>
      </w:pPr>
      <w:r w:rsidRPr="00E2073F">
        <w:rPr>
          <w:rFonts w:ascii="Arial" w:eastAsia="SimSun" w:hAnsi="Arial" w:cs="Arial"/>
          <w:b/>
          <w:bCs/>
          <w:sz w:val="20"/>
          <w:szCs w:val="20"/>
          <w:lang w:val="sl-SI" w:eastAsia="sl-SI"/>
        </w:rPr>
        <w:t>Občina Ormož</w:t>
      </w:r>
    </w:p>
    <w:p w14:paraId="7CBA8DBB"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Ptujska cesta 6, 2270 Ormož, ki jo zastopa Danijel Vrbnjak, župan (v nadaljevanju tudi Občina Ormož ali občina)</w:t>
      </w:r>
    </w:p>
    <w:p w14:paraId="1BDC36BF"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p>
    <w:p w14:paraId="6A2D01F2" w14:textId="77777777" w:rsidR="00EC0BBB" w:rsidRPr="00E2073F" w:rsidRDefault="00EC0BBB" w:rsidP="00E2073F">
      <w:pPr>
        <w:pStyle w:val="Standard"/>
        <w:spacing w:after="0" w:line="260" w:lineRule="exact"/>
        <w:rPr>
          <w:rFonts w:ascii="Arial" w:eastAsia="SimSun" w:hAnsi="Arial" w:cs="Arial"/>
          <w:sz w:val="20"/>
          <w:szCs w:val="20"/>
          <w:lang w:val="sl-SI" w:eastAsia="sl-SI"/>
        </w:rPr>
      </w:pPr>
      <w:r w:rsidRPr="00E2073F">
        <w:rPr>
          <w:rFonts w:ascii="Arial" w:eastAsia="SimSun" w:hAnsi="Arial" w:cs="Arial"/>
          <w:sz w:val="20"/>
          <w:szCs w:val="20"/>
          <w:lang w:val="sl-SI" w:eastAsia="sl-SI"/>
        </w:rPr>
        <w:t>sklenejo</w:t>
      </w:r>
    </w:p>
    <w:p w14:paraId="5BB08278" w14:textId="77777777" w:rsidR="00EC0BBB" w:rsidRDefault="00EC0BBB" w:rsidP="00E2073F">
      <w:pPr>
        <w:pStyle w:val="Standard"/>
        <w:spacing w:after="0" w:line="260" w:lineRule="exact"/>
        <w:rPr>
          <w:rFonts w:ascii="Arial" w:eastAsia="SimSun" w:hAnsi="Arial" w:cs="Arial"/>
          <w:sz w:val="20"/>
          <w:szCs w:val="20"/>
          <w:lang w:val="sl-SI" w:eastAsia="sl-SI"/>
        </w:rPr>
      </w:pPr>
    </w:p>
    <w:p w14:paraId="6B920C90" w14:textId="77777777" w:rsidR="00E2073F" w:rsidRPr="00E2073F" w:rsidRDefault="00E2073F" w:rsidP="00E2073F">
      <w:pPr>
        <w:pStyle w:val="Standard"/>
        <w:spacing w:after="0" w:line="260" w:lineRule="exact"/>
        <w:rPr>
          <w:rFonts w:ascii="Arial" w:eastAsia="SimSun" w:hAnsi="Arial" w:cs="Arial"/>
          <w:sz w:val="20"/>
          <w:szCs w:val="20"/>
          <w:lang w:val="sl-SI" w:eastAsia="sl-SI"/>
        </w:rPr>
      </w:pPr>
    </w:p>
    <w:p w14:paraId="5CF8CF52" w14:textId="77777777" w:rsidR="00E2073F" w:rsidRDefault="00EC0BBB" w:rsidP="00E2073F">
      <w:pPr>
        <w:pStyle w:val="Default"/>
        <w:spacing w:line="260" w:lineRule="exact"/>
        <w:jc w:val="center"/>
        <w:rPr>
          <w:rFonts w:ascii="Arial" w:hAnsi="Arial" w:cs="Arial"/>
          <w:b/>
          <w:sz w:val="20"/>
          <w:szCs w:val="20"/>
        </w:rPr>
      </w:pPr>
      <w:r w:rsidRPr="00E2073F">
        <w:rPr>
          <w:rFonts w:ascii="Arial" w:hAnsi="Arial" w:cs="Arial"/>
          <w:b/>
          <w:sz w:val="20"/>
          <w:szCs w:val="20"/>
        </w:rPr>
        <w:t xml:space="preserve">Memorandum </w:t>
      </w:r>
    </w:p>
    <w:p w14:paraId="1D8A2278" w14:textId="503662EA" w:rsidR="00EC0BBB" w:rsidRPr="00E2073F" w:rsidRDefault="00EC0BBB" w:rsidP="00E2073F">
      <w:pPr>
        <w:pStyle w:val="Default"/>
        <w:spacing w:line="260" w:lineRule="exact"/>
        <w:jc w:val="center"/>
        <w:rPr>
          <w:rFonts w:ascii="Arial" w:hAnsi="Arial" w:cs="Arial"/>
          <w:b/>
          <w:sz w:val="20"/>
          <w:szCs w:val="20"/>
        </w:rPr>
      </w:pPr>
      <w:r w:rsidRPr="00E2073F">
        <w:rPr>
          <w:rFonts w:ascii="Arial" w:hAnsi="Arial" w:cs="Arial"/>
          <w:b/>
          <w:sz w:val="20"/>
          <w:szCs w:val="20"/>
        </w:rPr>
        <w:t>o soglasju za naložbo skupine PALFINGER AG v nov strateški proizvodni obrat v Republiki Sloveniji</w:t>
      </w:r>
    </w:p>
    <w:p w14:paraId="57590625" w14:textId="77777777" w:rsidR="00EC0BBB" w:rsidRDefault="00EC0BBB" w:rsidP="00E2073F">
      <w:pPr>
        <w:pStyle w:val="Default"/>
        <w:spacing w:line="260" w:lineRule="exact"/>
        <w:rPr>
          <w:rFonts w:ascii="Arial" w:eastAsia="Arial" w:hAnsi="Arial" w:cs="Arial"/>
          <w:sz w:val="20"/>
          <w:szCs w:val="20"/>
        </w:rPr>
      </w:pPr>
    </w:p>
    <w:p w14:paraId="517D9AF3" w14:textId="77777777" w:rsidR="00E2073F" w:rsidRPr="00E2073F" w:rsidRDefault="00E2073F" w:rsidP="00E2073F">
      <w:pPr>
        <w:pStyle w:val="Default"/>
        <w:spacing w:line="260" w:lineRule="exact"/>
        <w:rPr>
          <w:rFonts w:ascii="Arial" w:eastAsia="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83"/>
      </w:tblGrid>
      <w:tr w:rsidR="00EC0BBB" w:rsidRPr="00E2073F" w14:paraId="6B36410B" w14:textId="77777777" w:rsidTr="00D62BC8">
        <w:tc>
          <w:tcPr>
            <w:tcW w:w="1951" w:type="dxa"/>
            <w:shd w:val="clear" w:color="auto" w:fill="auto"/>
          </w:tcPr>
          <w:p w14:paraId="0D4DAE42" w14:textId="77777777" w:rsidR="00EC0BBB" w:rsidRPr="00E2073F" w:rsidRDefault="00EC0BBB" w:rsidP="00E2073F">
            <w:pPr>
              <w:pStyle w:val="Default"/>
              <w:spacing w:line="260" w:lineRule="exact"/>
              <w:rPr>
                <w:rFonts w:ascii="Arial" w:hAnsi="Arial" w:cs="Arial"/>
                <w:b/>
                <w:bCs/>
                <w:sz w:val="20"/>
                <w:szCs w:val="20"/>
              </w:rPr>
            </w:pPr>
            <w:r w:rsidRPr="00E2073F">
              <w:rPr>
                <w:rFonts w:ascii="Arial" w:hAnsi="Arial" w:cs="Arial"/>
                <w:b/>
                <w:bCs/>
                <w:sz w:val="20"/>
                <w:szCs w:val="20"/>
              </w:rPr>
              <w:t>Prolog</w:t>
            </w:r>
          </w:p>
        </w:tc>
        <w:tc>
          <w:tcPr>
            <w:tcW w:w="7683" w:type="dxa"/>
            <w:shd w:val="clear" w:color="auto" w:fill="auto"/>
          </w:tcPr>
          <w:p w14:paraId="7822D445" w14:textId="77777777" w:rsidR="00EC0BBB" w:rsidRPr="00E2073F" w:rsidRDefault="00EC0BBB" w:rsidP="00E2073F">
            <w:pPr>
              <w:pStyle w:val="TableParagraph"/>
              <w:spacing w:line="260" w:lineRule="exact"/>
              <w:jc w:val="both"/>
              <w:rPr>
                <w:rFonts w:ascii="Arial" w:eastAsia="Arial" w:hAnsi="Arial" w:cs="Arial"/>
                <w:sz w:val="20"/>
                <w:szCs w:val="20"/>
                <w:lang w:val="sl-SI"/>
              </w:rPr>
            </w:pPr>
            <w:r w:rsidRPr="00E2073F">
              <w:rPr>
                <w:rFonts w:ascii="Arial" w:eastAsia="Arial" w:hAnsi="Arial" w:cs="Arial"/>
                <w:sz w:val="20"/>
                <w:szCs w:val="20"/>
                <w:lang w:val="sl-SI"/>
              </w:rPr>
              <w:t>S tem memorandumom (v nadaljnjem besedilu: memorandum) o soglasju podpisniki izražajo skupno namero za izvedbo aktivnosti iz svoje pristojnosti, katere cilj bo naložba PALFINGER v nov strateški proizvodni obrat v Ormožu.</w:t>
            </w:r>
            <w:r w:rsidRPr="00E2073F">
              <w:rPr>
                <w:rFonts w:ascii="Arial" w:hAnsi="Arial" w:cs="Arial"/>
                <w:sz w:val="20"/>
                <w:szCs w:val="20"/>
                <w:lang w:val="sl-SI"/>
              </w:rPr>
              <w:t xml:space="preserve"> </w:t>
            </w:r>
            <w:r w:rsidRPr="00E2073F">
              <w:rPr>
                <w:rFonts w:ascii="Arial" w:eastAsia="Arial" w:hAnsi="Arial" w:cs="Arial"/>
                <w:sz w:val="20"/>
                <w:szCs w:val="20"/>
                <w:lang w:val="sl-SI"/>
              </w:rPr>
              <w:t xml:space="preserve">Ta namera pomeni okrepitev več kot 30-letnega sodelovanja in proizvodnje žerjavov ter dvižnih rešitev v Sloveniji, s čimer se krepi vodilna globalna vloga skupine PALFINGER, omogoča njeno nadaljnjo strateško rast in Slovenijo umešča na zemljevid evropske vrednostne verige poslovanja tako s proizvodnega kot razvojnega vidika. </w:t>
            </w:r>
          </w:p>
        </w:tc>
      </w:tr>
      <w:tr w:rsidR="00EC0BBB" w:rsidRPr="00E2073F" w14:paraId="25B8CE34" w14:textId="77777777" w:rsidTr="00D62BC8">
        <w:trPr>
          <w:trHeight w:val="2249"/>
        </w:trPr>
        <w:tc>
          <w:tcPr>
            <w:tcW w:w="1951" w:type="dxa"/>
            <w:shd w:val="clear" w:color="auto" w:fill="auto"/>
          </w:tcPr>
          <w:p w14:paraId="1B6A2514" w14:textId="77777777" w:rsidR="00EC0BBB" w:rsidRPr="00E2073F" w:rsidRDefault="00EC0BBB" w:rsidP="00E2073F">
            <w:pPr>
              <w:pStyle w:val="Default"/>
              <w:spacing w:line="260" w:lineRule="exact"/>
              <w:rPr>
                <w:rFonts w:ascii="Arial" w:hAnsi="Arial" w:cs="Arial"/>
                <w:b/>
                <w:sz w:val="20"/>
                <w:szCs w:val="20"/>
              </w:rPr>
            </w:pPr>
            <w:r w:rsidRPr="00E2073F">
              <w:rPr>
                <w:rFonts w:ascii="Arial" w:hAnsi="Arial" w:cs="Arial"/>
                <w:b/>
                <w:sz w:val="20"/>
                <w:szCs w:val="20"/>
              </w:rPr>
              <w:t xml:space="preserve">Uvod </w:t>
            </w:r>
          </w:p>
        </w:tc>
        <w:tc>
          <w:tcPr>
            <w:tcW w:w="7683" w:type="dxa"/>
            <w:shd w:val="clear" w:color="auto" w:fill="auto"/>
          </w:tcPr>
          <w:p w14:paraId="521D4143" w14:textId="44EF8747" w:rsidR="00EC0BBB" w:rsidRPr="00E2073F" w:rsidRDefault="00EC0BBB" w:rsidP="00E2073F">
            <w:pPr>
              <w:widowControl w:val="0"/>
              <w:jc w:val="both"/>
              <w:rPr>
                <w:rFonts w:eastAsia="Arial" w:cs="Arial"/>
                <w:szCs w:val="20"/>
              </w:rPr>
            </w:pPr>
            <w:r w:rsidRPr="00E2073F">
              <w:rPr>
                <w:rFonts w:eastAsia="Arial" w:cs="Arial"/>
                <w:szCs w:val="20"/>
              </w:rPr>
              <w:t>PALFINGER je izrazil interes, da bi v nov proizvodni obrat v Ormožu do leta 2028 vložili do 70 milijonov evrov, ob tem pa bi ohranil delovanje obstoječega obrata skupine PALFINGER v Mariboru.</w:t>
            </w:r>
            <w:r w:rsidR="00342B38">
              <w:rPr>
                <w:rFonts w:eastAsia="Arial" w:cs="Arial"/>
                <w:szCs w:val="20"/>
              </w:rPr>
              <w:t xml:space="preserve"> </w:t>
            </w:r>
          </w:p>
          <w:p w14:paraId="475D8EBE" w14:textId="77777777" w:rsidR="00EC0BBB" w:rsidRPr="00E2073F" w:rsidRDefault="00EC0BBB" w:rsidP="00E2073F">
            <w:pPr>
              <w:widowControl w:val="0"/>
              <w:jc w:val="both"/>
              <w:rPr>
                <w:rFonts w:eastAsia="Arial" w:cs="Arial"/>
                <w:szCs w:val="20"/>
              </w:rPr>
            </w:pPr>
          </w:p>
          <w:p w14:paraId="6B39DBF9" w14:textId="77777777" w:rsidR="00EC0BBB" w:rsidRPr="00E2073F" w:rsidRDefault="00EC0BBB" w:rsidP="00E2073F">
            <w:pPr>
              <w:pStyle w:val="TableParagraph"/>
              <w:spacing w:line="260" w:lineRule="exact"/>
              <w:jc w:val="both"/>
              <w:rPr>
                <w:rFonts w:ascii="Arial" w:hAnsi="Arial" w:cs="Arial"/>
                <w:sz w:val="20"/>
                <w:szCs w:val="20"/>
                <w:lang w:val="sl-SI"/>
              </w:rPr>
            </w:pPr>
            <w:r w:rsidRPr="00E2073F">
              <w:rPr>
                <w:rFonts w:ascii="Arial" w:eastAsia="Arial" w:hAnsi="Arial" w:cs="Arial"/>
                <w:sz w:val="20"/>
                <w:szCs w:val="20"/>
                <w:lang w:val="sl-SI"/>
              </w:rPr>
              <w:t>Memorandum je podpisan z namenom opredelitve naložbe v vzpostavitev novega tehnološko najsodobnejšega proizvodnega obrata, izgradnjo izobraževalnega centra za usposabljanje visokokvalificiranega kadra ter logističnega središča, namenjenega optimizaciji dobavnih verig, kar bi prispevalo k razvoju regije in slovenskega gospodarstva.</w:t>
            </w:r>
          </w:p>
        </w:tc>
      </w:tr>
      <w:tr w:rsidR="00EC0BBB" w:rsidRPr="00E2073F" w14:paraId="6E148219" w14:textId="77777777" w:rsidTr="00D62BC8">
        <w:tc>
          <w:tcPr>
            <w:tcW w:w="1951" w:type="dxa"/>
            <w:shd w:val="clear" w:color="auto" w:fill="auto"/>
          </w:tcPr>
          <w:p w14:paraId="3DCB665A" w14:textId="77777777" w:rsidR="00EC0BBB" w:rsidRPr="00E2073F" w:rsidRDefault="00EC0BBB" w:rsidP="00E2073F">
            <w:pPr>
              <w:pStyle w:val="Default"/>
              <w:spacing w:line="260" w:lineRule="exact"/>
              <w:rPr>
                <w:rFonts w:ascii="Arial" w:hAnsi="Arial" w:cs="Arial"/>
                <w:sz w:val="20"/>
                <w:szCs w:val="20"/>
              </w:rPr>
            </w:pPr>
            <w:r w:rsidRPr="00E2073F">
              <w:rPr>
                <w:rFonts w:ascii="Arial" w:hAnsi="Arial" w:cs="Arial"/>
                <w:b/>
                <w:sz w:val="20"/>
                <w:szCs w:val="20"/>
              </w:rPr>
              <w:t>Predmet</w:t>
            </w:r>
          </w:p>
          <w:p w14:paraId="3F224CC8" w14:textId="77777777" w:rsidR="00EC0BBB" w:rsidRPr="00E2073F" w:rsidRDefault="00EC0BBB" w:rsidP="00E2073F">
            <w:pPr>
              <w:pStyle w:val="Default"/>
              <w:spacing w:line="260" w:lineRule="exact"/>
              <w:rPr>
                <w:rFonts w:ascii="Arial" w:hAnsi="Arial" w:cs="Arial"/>
                <w:sz w:val="20"/>
                <w:szCs w:val="20"/>
              </w:rPr>
            </w:pPr>
          </w:p>
        </w:tc>
        <w:tc>
          <w:tcPr>
            <w:tcW w:w="7683" w:type="dxa"/>
            <w:shd w:val="clear" w:color="auto" w:fill="auto"/>
          </w:tcPr>
          <w:p w14:paraId="21E87671" w14:textId="77777777" w:rsidR="00EC0BBB" w:rsidRPr="00E2073F" w:rsidRDefault="00EC0BBB" w:rsidP="00E2073F">
            <w:pPr>
              <w:pStyle w:val="TableParagraph"/>
              <w:spacing w:line="260" w:lineRule="exact"/>
              <w:jc w:val="both"/>
              <w:rPr>
                <w:rFonts w:ascii="Arial" w:eastAsia="Times New Roman" w:hAnsi="Arial" w:cs="Arial"/>
                <w:b/>
                <w:bCs/>
                <w:sz w:val="20"/>
                <w:szCs w:val="20"/>
                <w:lang w:val="sl-SI"/>
              </w:rPr>
            </w:pPr>
            <w:r w:rsidRPr="00E2073F">
              <w:rPr>
                <w:rFonts w:ascii="Arial" w:eastAsia="Times New Roman" w:hAnsi="Arial" w:cs="Arial"/>
                <w:sz w:val="20"/>
                <w:szCs w:val="20"/>
                <w:lang w:val="sl-SI"/>
              </w:rPr>
              <w:t xml:space="preserve">Memorandum opredeljuje nameravano naložbo PALFINGER v nov strateški proizvodni obrat, njeno družbeno in gospodarsko dodano vrednost ter možno podporo Republike Slovenije nameravani naložbi. </w:t>
            </w:r>
          </w:p>
        </w:tc>
      </w:tr>
      <w:tr w:rsidR="00EC0BBB" w:rsidRPr="00E2073F" w14:paraId="133D2AA6" w14:textId="77777777" w:rsidTr="00D62BC8">
        <w:trPr>
          <w:trHeight w:val="983"/>
        </w:trPr>
        <w:tc>
          <w:tcPr>
            <w:tcW w:w="1951" w:type="dxa"/>
            <w:shd w:val="clear" w:color="auto" w:fill="auto"/>
          </w:tcPr>
          <w:p w14:paraId="23CFEA00" w14:textId="77777777" w:rsidR="00EC0BBB" w:rsidRPr="00E2073F" w:rsidRDefault="00EC0BBB" w:rsidP="00E2073F">
            <w:pPr>
              <w:rPr>
                <w:rFonts w:cs="Arial"/>
                <w:b/>
                <w:bCs/>
                <w:szCs w:val="20"/>
              </w:rPr>
            </w:pPr>
            <w:r w:rsidRPr="00E2073F">
              <w:rPr>
                <w:rFonts w:cs="Arial"/>
                <w:b/>
                <w:bCs/>
                <w:szCs w:val="20"/>
              </w:rPr>
              <w:t>Struktura naložbenega projekta</w:t>
            </w:r>
          </w:p>
        </w:tc>
        <w:tc>
          <w:tcPr>
            <w:tcW w:w="7683" w:type="dxa"/>
            <w:shd w:val="clear" w:color="auto" w:fill="auto"/>
          </w:tcPr>
          <w:p w14:paraId="7A50D1A5" w14:textId="77777777" w:rsidR="00EC0BBB" w:rsidRPr="00E2073F" w:rsidRDefault="00EC0BBB" w:rsidP="00E2073F">
            <w:pPr>
              <w:widowControl w:val="0"/>
              <w:jc w:val="both"/>
              <w:rPr>
                <w:rFonts w:cs="Arial"/>
                <w:szCs w:val="20"/>
              </w:rPr>
            </w:pPr>
            <w:r w:rsidRPr="00E2073F">
              <w:rPr>
                <w:rFonts w:cs="Arial"/>
                <w:szCs w:val="20"/>
              </w:rPr>
              <w:t>Naložba v nov obrat bi bila temelj poslovne strategije skupine PALFINGER za optimizacijo evropske vrednostne verige poslovanja in razširitev lastnih proizvodnih zmogljivosti, da bi se omogočila prihodnja rast in izpolnil strateški cilj rasti tri milijarde evrov prihodkov.</w:t>
            </w:r>
          </w:p>
          <w:p w14:paraId="0987AA5F" w14:textId="77777777" w:rsidR="00EC0BBB" w:rsidRPr="00E2073F" w:rsidRDefault="00EC0BBB" w:rsidP="00E2073F">
            <w:pPr>
              <w:widowControl w:val="0"/>
              <w:jc w:val="both"/>
              <w:rPr>
                <w:rFonts w:eastAsia="Arial" w:cs="Arial"/>
                <w:szCs w:val="20"/>
              </w:rPr>
            </w:pPr>
          </w:p>
          <w:p w14:paraId="349FA2B4" w14:textId="77777777" w:rsidR="00EC0BBB" w:rsidRPr="00E2073F" w:rsidRDefault="00EC0BBB" w:rsidP="00E2073F">
            <w:pPr>
              <w:widowControl w:val="0"/>
              <w:jc w:val="both"/>
              <w:rPr>
                <w:rFonts w:eastAsia="Arial" w:cs="Arial"/>
                <w:szCs w:val="20"/>
              </w:rPr>
            </w:pPr>
            <w:r w:rsidRPr="00E2073F">
              <w:rPr>
                <w:rFonts w:cs="Arial"/>
                <w:szCs w:val="20"/>
              </w:rPr>
              <w:t xml:space="preserve">Novi obrat bi se osredotočil na širitev zmogljivosti izdelave, barvanja in sestave kopenskih in pomorskih žerjavov ter drugih dvižnih rešitev </w:t>
            </w:r>
            <w:r w:rsidRPr="00E2073F">
              <w:rPr>
                <w:rFonts w:eastAsia="Arial" w:cs="Arial"/>
                <w:szCs w:val="20"/>
              </w:rPr>
              <w:t xml:space="preserve">skupine PALFINGER, ki temeljijo na obstoječem proizvodnem obratu v Mariboru, vendar na novi in večji lokaciji. Zaradi povečanega proizvodnega odtisa in osrednje lokacije, ki povezuje </w:t>
            </w:r>
            <w:r w:rsidRPr="00E2073F">
              <w:rPr>
                <w:rFonts w:eastAsia="Arial" w:cs="Arial"/>
                <w:szCs w:val="20"/>
              </w:rPr>
              <w:lastRenderedPageBreak/>
              <w:t>proizvodne obrate skupine PALFINGER v južni in zahodni Evropi, bi bil novi proizvodni obrat v središču evropske vrednostne verige poslovanja skupine PALFINGER, vključno z osrednjim logističnim vozliščem.</w:t>
            </w:r>
          </w:p>
          <w:p w14:paraId="6B31A2F6" w14:textId="77777777" w:rsidR="00EC0BBB" w:rsidRPr="00E2073F" w:rsidRDefault="00EC0BBB" w:rsidP="00E2073F">
            <w:pPr>
              <w:widowControl w:val="0"/>
              <w:jc w:val="both"/>
              <w:rPr>
                <w:rFonts w:eastAsia="Arial" w:cs="Arial"/>
                <w:szCs w:val="20"/>
              </w:rPr>
            </w:pPr>
          </w:p>
          <w:p w14:paraId="6A45B3D2" w14:textId="77777777" w:rsidR="00EC0BBB" w:rsidRPr="00E2073F" w:rsidRDefault="00EC0BBB" w:rsidP="00E2073F">
            <w:pPr>
              <w:widowControl w:val="0"/>
              <w:jc w:val="both"/>
              <w:rPr>
                <w:rFonts w:eastAsia="Arial" w:cs="Arial"/>
                <w:szCs w:val="20"/>
              </w:rPr>
            </w:pPr>
            <w:r w:rsidRPr="00E2073F">
              <w:rPr>
                <w:rFonts w:eastAsia="Arial" w:cs="Arial"/>
                <w:szCs w:val="20"/>
              </w:rPr>
              <w:t>Nova lokacija v Ormožu v obsegu 18,5 ha bi krepila položaj skupine PALFINGER kot ključnega regionalnega delodajalca. Projekt bi vključeval ohranitev obstoječih delovnih mest in ustvarjanje najmanj 25 novih zaposlitev ter tesno sodelovanje z akademsko sfero ter regionalnimi strokovnimi in poklicnimi šolami. Predstavljal bi izjemno priložnost za krepitev rasti, kakovosti življenja lokalnega prebivalstva ter na splošno krepitev družbene in gospodarske dodane vrednosti skupine PALFINGER v Republiki Sloveniji.</w:t>
            </w:r>
          </w:p>
          <w:p w14:paraId="0F107441" w14:textId="77777777" w:rsidR="00EC0BBB" w:rsidRPr="00E2073F" w:rsidRDefault="00EC0BBB" w:rsidP="00E2073F">
            <w:pPr>
              <w:widowControl w:val="0"/>
              <w:jc w:val="both"/>
              <w:rPr>
                <w:rFonts w:eastAsia="Arial" w:cs="Arial"/>
                <w:szCs w:val="20"/>
              </w:rPr>
            </w:pPr>
          </w:p>
          <w:p w14:paraId="0548A9D9" w14:textId="1274C808" w:rsidR="00EC0BBB" w:rsidRPr="00E2073F" w:rsidRDefault="00EC0BBB" w:rsidP="00E2073F">
            <w:pPr>
              <w:jc w:val="both"/>
              <w:rPr>
                <w:rFonts w:eastAsia="Arial" w:cs="Arial"/>
                <w:szCs w:val="20"/>
              </w:rPr>
            </w:pPr>
            <w:r w:rsidRPr="00E2073F">
              <w:rPr>
                <w:rFonts w:eastAsia="Arial" w:cs="Arial"/>
                <w:szCs w:val="20"/>
              </w:rPr>
              <w:t>Strateška naložba bi bila sestavljena iz petih faz</w:t>
            </w:r>
            <w:r w:rsidR="00342B38">
              <w:rPr>
                <w:rFonts w:eastAsia="Arial" w:cs="Arial"/>
                <w:szCs w:val="20"/>
              </w:rPr>
              <w:t xml:space="preserve"> in bi se izvajala v letih 2025</w:t>
            </w:r>
            <w:r w:rsidRPr="00E2073F">
              <w:rPr>
                <w:rFonts w:eastAsia="Arial" w:cs="Arial"/>
                <w:szCs w:val="20"/>
                <w:cs/>
              </w:rPr>
              <w:t>–</w:t>
            </w:r>
            <w:r w:rsidRPr="00E2073F">
              <w:rPr>
                <w:rFonts w:eastAsia="Arial" w:cs="Arial"/>
                <w:szCs w:val="20"/>
              </w:rPr>
              <w:t xml:space="preserve">2035. Prva faza bi vključevala naložbo v lakirnico, logistično vozlišče in izobraževalni center. Izvedbena dela in javna naročila bi se predvidoma začela konec leta 2024, začetek proizvodnje pa leta 2028. Faze od 2 do 5 bi se osredotočile na širitev zmogljivosti za izdelavo rok žerjavov, prenos zmogljivosti sistema za izdelavo rok in podsklopov teleskopa in nadaljnje širitve zmogljivosti za zagotovitev strateške rasti. </w:t>
            </w:r>
          </w:p>
          <w:p w14:paraId="4FA8A134" w14:textId="77777777" w:rsidR="00EC0BBB" w:rsidRPr="00E2073F" w:rsidRDefault="00EC0BBB" w:rsidP="00E2073F">
            <w:pPr>
              <w:jc w:val="both"/>
              <w:rPr>
                <w:rFonts w:eastAsia="Arial" w:cs="Arial"/>
                <w:szCs w:val="20"/>
              </w:rPr>
            </w:pPr>
          </w:p>
        </w:tc>
      </w:tr>
      <w:tr w:rsidR="00EC0BBB" w:rsidRPr="00E2073F" w14:paraId="1F733247" w14:textId="77777777" w:rsidTr="00D62BC8">
        <w:trPr>
          <w:trHeight w:val="132"/>
        </w:trPr>
        <w:tc>
          <w:tcPr>
            <w:tcW w:w="1951" w:type="dxa"/>
            <w:shd w:val="clear" w:color="auto" w:fill="auto"/>
          </w:tcPr>
          <w:p w14:paraId="2C99E538" w14:textId="77777777" w:rsidR="00EC0BBB" w:rsidRPr="00E2073F" w:rsidRDefault="00EC0BBB" w:rsidP="00E2073F">
            <w:pPr>
              <w:pStyle w:val="Default"/>
              <w:spacing w:line="260" w:lineRule="exact"/>
              <w:rPr>
                <w:rFonts w:ascii="Arial" w:hAnsi="Arial" w:cs="Arial"/>
                <w:b/>
                <w:bCs/>
                <w:sz w:val="20"/>
                <w:szCs w:val="20"/>
              </w:rPr>
            </w:pPr>
            <w:r w:rsidRPr="00E2073F">
              <w:rPr>
                <w:rFonts w:ascii="Arial" w:hAnsi="Arial" w:cs="Arial"/>
                <w:b/>
                <w:bCs/>
                <w:sz w:val="20"/>
                <w:szCs w:val="20"/>
              </w:rPr>
              <w:lastRenderedPageBreak/>
              <w:t>Vpliv na razvoj države in regije</w:t>
            </w:r>
          </w:p>
        </w:tc>
        <w:tc>
          <w:tcPr>
            <w:tcW w:w="7683" w:type="dxa"/>
            <w:shd w:val="clear" w:color="auto" w:fill="auto"/>
          </w:tcPr>
          <w:p w14:paraId="26FB50B0" w14:textId="77777777" w:rsidR="00EC0BBB" w:rsidRPr="00E2073F" w:rsidRDefault="00EC0BBB" w:rsidP="00E2073F">
            <w:pPr>
              <w:pStyle w:val="TableParagraph"/>
              <w:spacing w:line="260" w:lineRule="exact"/>
              <w:jc w:val="both"/>
              <w:rPr>
                <w:rFonts w:ascii="Arial" w:hAnsi="Arial" w:cs="Arial"/>
                <w:sz w:val="20"/>
                <w:szCs w:val="20"/>
                <w:lang w:val="sl-SI"/>
              </w:rPr>
            </w:pPr>
            <w:r w:rsidRPr="00E2073F">
              <w:rPr>
                <w:rFonts w:ascii="Arial" w:hAnsi="Arial" w:cs="Arial"/>
                <w:sz w:val="20"/>
                <w:szCs w:val="20"/>
                <w:lang w:val="sl-SI"/>
              </w:rPr>
              <w:t xml:space="preserve">Naložba bi bila namenjena novemu strateškemu proizvodnemu obratu skupine </w:t>
            </w:r>
            <w:r w:rsidRPr="00E2073F">
              <w:rPr>
                <w:rFonts w:ascii="Arial" w:eastAsia="Arial" w:hAnsi="Arial" w:cs="Arial"/>
                <w:sz w:val="20"/>
                <w:szCs w:val="20"/>
                <w:lang w:val="sl-SI"/>
              </w:rPr>
              <w:t>PALFINGER</w:t>
            </w:r>
            <w:r w:rsidRPr="00E2073F">
              <w:rPr>
                <w:rFonts w:ascii="Arial" w:hAnsi="Arial" w:cs="Arial"/>
                <w:sz w:val="20"/>
                <w:szCs w:val="20"/>
                <w:lang w:val="sl-SI"/>
              </w:rPr>
              <w:t xml:space="preserve"> v Ormožu, v statistični regiji Podravska Slovenija, ki spada v vzhodno kohezijsko regijo (Vzhodna Slovenija, NUTS koda SI03). Regijo odlikuje industrijska tradicija, kvalitetna delovna sila, odlična geostrateška lega, bližina koridorjev mednarodnih prometnih poti in železniških povezav in zanesljiva dobaviteljska veriga. </w:t>
            </w:r>
          </w:p>
          <w:p w14:paraId="12534463" w14:textId="252AA04B" w:rsidR="00EC0BBB" w:rsidRPr="00E2073F" w:rsidRDefault="00EC0BBB" w:rsidP="00E2073F">
            <w:pPr>
              <w:pStyle w:val="TableParagraph"/>
              <w:spacing w:line="260" w:lineRule="exact"/>
              <w:jc w:val="both"/>
              <w:rPr>
                <w:rFonts w:ascii="Arial" w:eastAsia="Arial" w:hAnsi="Arial" w:cs="Arial"/>
                <w:sz w:val="20"/>
                <w:szCs w:val="20"/>
                <w:lang w:val="sl-SI"/>
              </w:rPr>
            </w:pPr>
            <w:r w:rsidRPr="00E2073F">
              <w:rPr>
                <w:rFonts w:ascii="Arial" w:eastAsia="Arial" w:hAnsi="Arial" w:cs="Arial"/>
                <w:sz w:val="20"/>
                <w:szCs w:val="20"/>
                <w:lang w:val="sl-SI"/>
              </w:rPr>
              <w:t xml:space="preserve">Skupina PALFINGER si bo prizadevala okrepiti vlogo slovenske </w:t>
            </w:r>
            <w:r w:rsidR="00342B38">
              <w:rPr>
                <w:rFonts w:ascii="Arial" w:eastAsia="Arial" w:hAnsi="Arial" w:cs="Arial"/>
                <w:sz w:val="20"/>
                <w:szCs w:val="20"/>
                <w:lang w:val="sl-SI"/>
              </w:rPr>
              <w:br/>
            </w:r>
            <w:r w:rsidRPr="00E2073F">
              <w:rPr>
                <w:rFonts w:ascii="Arial" w:eastAsia="Arial" w:hAnsi="Arial" w:cs="Arial"/>
                <w:sz w:val="20"/>
                <w:szCs w:val="20"/>
                <w:lang w:val="sl-SI"/>
              </w:rPr>
              <w:t>kovinsko-predelovalne industrije v svojih dobavnih verigah na podlagi preverjenega znanja, inovacij in strokovnosti.</w:t>
            </w:r>
          </w:p>
        </w:tc>
      </w:tr>
      <w:tr w:rsidR="00EC0BBB" w:rsidRPr="00E2073F" w14:paraId="42746614" w14:textId="77777777" w:rsidTr="00D62BC8">
        <w:trPr>
          <w:trHeight w:val="2542"/>
        </w:trPr>
        <w:tc>
          <w:tcPr>
            <w:tcW w:w="1951" w:type="dxa"/>
            <w:shd w:val="clear" w:color="auto" w:fill="auto"/>
          </w:tcPr>
          <w:p w14:paraId="215C9CFF" w14:textId="77777777" w:rsidR="00EC0BBB" w:rsidRPr="00E2073F" w:rsidRDefault="00EC0BBB" w:rsidP="00E2073F">
            <w:pPr>
              <w:rPr>
                <w:rFonts w:cs="Arial"/>
                <w:b/>
                <w:szCs w:val="20"/>
              </w:rPr>
            </w:pPr>
            <w:r w:rsidRPr="00E2073F">
              <w:rPr>
                <w:rFonts w:cs="Arial"/>
                <w:b/>
                <w:szCs w:val="20"/>
              </w:rPr>
              <w:t>Podpora Republike Slovenije</w:t>
            </w:r>
          </w:p>
        </w:tc>
        <w:tc>
          <w:tcPr>
            <w:tcW w:w="7683" w:type="dxa"/>
            <w:shd w:val="clear" w:color="auto" w:fill="auto"/>
          </w:tcPr>
          <w:p w14:paraId="78FF95E2" w14:textId="77777777" w:rsidR="00EC0BBB" w:rsidRPr="00E2073F" w:rsidRDefault="00EC0BBB" w:rsidP="00E2073F">
            <w:pPr>
              <w:jc w:val="both"/>
              <w:rPr>
                <w:rFonts w:cs="Arial"/>
                <w:szCs w:val="20"/>
              </w:rPr>
            </w:pPr>
            <w:bookmarkStart w:id="0" w:name="_Hlk179904156"/>
            <w:r w:rsidRPr="00E2073F">
              <w:rPr>
                <w:rFonts w:cs="Arial"/>
                <w:szCs w:val="20"/>
              </w:rPr>
              <w:t xml:space="preserve">Opisana naložba bi se nanašala na vse štiri splošne cilje regionalne politike, ki so usmerjeni v krepitev razvojne moči regije na podlagi endogenih razvojnih potencialov, ob upoštevanju globalnih trendov in priložnosti, ki iz njih izhajajo. Ti cilji so naslednji: </w:t>
            </w:r>
          </w:p>
          <w:p w14:paraId="00260899" w14:textId="77777777" w:rsidR="00EC0BBB" w:rsidRPr="00E2073F" w:rsidRDefault="00EC0BBB" w:rsidP="00186D83">
            <w:pPr>
              <w:pStyle w:val="Odstavekseznama"/>
              <w:numPr>
                <w:ilvl w:val="0"/>
                <w:numId w:val="5"/>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 xml:space="preserve">dvig kakovosti življenja v regiji z uravnoteženim gospodarskim, socialnim in okoljskim razvojem, ki temelji na načelih trajnostnega razvoja; </w:t>
            </w:r>
          </w:p>
          <w:p w14:paraId="4E24950C" w14:textId="77777777" w:rsidR="00EC0BBB" w:rsidRPr="00E2073F" w:rsidRDefault="00EC0BBB" w:rsidP="00186D83">
            <w:pPr>
              <w:pStyle w:val="Odstavekseznama"/>
              <w:numPr>
                <w:ilvl w:val="0"/>
                <w:numId w:val="5"/>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 xml:space="preserve">dohitevanje razvoja drugih regij; </w:t>
            </w:r>
          </w:p>
          <w:p w14:paraId="6C76C16E" w14:textId="77777777" w:rsidR="00EC0BBB" w:rsidRPr="00E2073F" w:rsidRDefault="00EC0BBB" w:rsidP="00186D83">
            <w:pPr>
              <w:pStyle w:val="Odstavekseznama"/>
              <w:numPr>
                <w:ilvl w:val="0"/>
                <w:numId w:val="5"/>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 xml:space="preserve">zmanjševanje regionalnih razvojnih razlik in razvojnega zaostanka na problemskih območjih; </w:t>
            </w:r>
          </w:p>
          <w:p w14:paraId="22E7798C" w14:textId="77777777" w:rsidR="00EC0BBB" w:rsidRPr="00E2073F" w:rsidRDefault="00EC0BBB" w:rsidP="00186D83">
            <w:pPr>
              <w:pStyle w:val="Odstavekseznama"/>
              <w:numPr>
                <w:ilvl w:val="0"/>
                <w:numId w:val="5"/>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uresničevanje bruto potenciala in izkoriščanje globalnih priložnosti z mednarodnim in medregionalnim povezovanjem in sodelovanjem.</w:t>
            </w:r>
          </w:p>
          <w:bookmarkEnd w:id="0"/>
          <w:p w14:paraId="252EA895" w14:textId="77777777" w:rsidR="00EC0BBB" w:rsidRPr="00E2073F" w:rsidRDefault="00EC0BBB" w:rsidP="00E2073F">
            <w:pPr>
              <w:jc w:val="both"/>
              <w:rPr>
                <w:rFonts w:cs="Arial"/>
                <w:szCs w:val="20"/>
              </w:rPr>
            </w:pPr>
            <w:r w:rsidRPr="00E2073F">
              <w:rPr>
                <w:rFonts w:cs="Arial"/>
                <w:szCs w:val="20"/>
              </w:rPr>
              <w:t xml:space="preserve">Zato Vlada Republike Slovenije podpira izvedbo naložbe in bo preko pristojnih ministrstev nudila celovito strokovno podporo in pomoč v celotnem postopku ob predpostavki realizacije nameravane investicije in izpolnitve zakonskih pogojev. </w:t>
            </w:r>
          </w:p>
          <w:p w14:paraId="0A0622DD" w14:textId="77777777" w:rsidR="00EC0BBB" w:rsidRPr="00E2073F" w:rsidRDefault="00EC0BBB" w:rsidP="00E2073F">
            <w:pPr>
              <w:jc w:val="both"/>
              <w:rPr>
                <w:rFonts w:cs="Arial"/>
                <w:szCs w:val="20"/>
              </w:rPr>
            </w:pPr>
            <w:r w:rsidRPr="00E2073F">
              <w:rPr>
                <w:rFonts w:cs="Arial"/>
                <w:szCs w:val="20"/>
              </w:rPr>
              <w:t>Vlada Republike Slovenije bo v sodelovanju s pristojnimi ministrstvi vlagatelju zagotovila dostop do potrebnih informacij, nasvetov in primerov dobrih praks tako pri pridobivanju potrebnih dovoljenj kot pri operativni izvedbi ter si v okviru svojih pristojnosti prizadevala za dobro sodelovanje z deležniki širše regije.</w:t>
            </w:r>
          </w:p>
          <w:p w14:paraId="28743DBF" w14:textId="5EF53145" w:rsidR="00EC0BBB" w:rsidRPr="00E2073F" w:rsidRDefault="00EC0BBB" w:rsidP="00E2073F">
            <w:pPr>
              <w:jc w:val="both"/>
              <w:rPr>
                <w:rFonts w:cs="Arial"/>
                <w:szCs w:val="20"/>
              </w:rPr>
            </w:pPr>
            <w:r w:rsidRPr="00E2073F">
              <w:rPr>
                <w:rFonts w:cs="Arial"/>
                <w:szCs w:val="20"/>
              </w:rPr>
              <w:t>Vlada Republike Slovenije bo ustanovila medresorsko delovno skupino, ki jo bo koordiniralo Ministrstvo za gospodarstvo, turizem in šport in ki bo podpirala razvoj industrijske cone, v okviru česar bo sodelovala z vlagateljem in podpirala tudi razvoj konkretnega projekta, vse v dobri veri z namenom, da se projekt zaključi v skladu s predvideno časovnico. Koordinator delovne skupine bo kontaktna točka za vlagatelja. Sodelovanje se bo (v obsegu, ki ga dovoljuje veljavna zakonodaja) nanašalo tudi na podporo pri pridobivanju ustreznih dovoljenj: integralno gradbeno dovoljenje, okoljevarstveno dovoljenje in druga morebitna dovoljenja.</w:t>
            </w:r>
          </w:p>
          <w:p w14:paraId="0E718A7A" w14:textId="77777777" w:rsidR="00EC0BBB" w:rsidRPr="00E2073F" w:rsidRDefault="00EC0BBB" w:rsidP="00E2073F">
            <w:pPr>
              <w:jc w:val="both"/>
              <w:rPr>
                <w:rFonts w:cs="Arial"/>
                <w:szCs w:val="20"/>
              </w:rPr>
            </w:pPr>
            <w:bookmarkStart w:id="1" w:name="_Hlk179904336"/>
            <w:r w:rsidRPr="00E2073F">
              <w:rPr>
                <w:rFonts w:cs="Arial"/>
                <w:szCs w:val="20"/>
              </w:rPr>
              <w:lastRenderedPageBreak/>
              <w:t>Vlada Republike Slovenije lahko v skladu z zakonom in veljavnimi pravili podpre naložbo skupine PALFINGER s paketom spodbud, ki vključuje:</w:t>
            </w:r>
          </w:p>
          <w:p w14:paraId="34DA25BD" w14:textId="3B0E626B" w:rsidR="00EC0BBB" w:rsidRPr="00E2073F" w:rsidRDefault="00EC0BBB" w:rsidP="00186D83">
            <w:pPr>
              <w:pStyle w:val="Odstavekseznama"/>
              <w:numPr>
                <w:ilvl w:val="0"/>
                <w:numId w:val="6"/>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finančno spodbudo za naložbo v opredmetena in neopredmetena osnovna sredstva (CAPEX) za projekt v nov strateški proizvodni obrat (razred C 28. 22 NACE Rev. 2 - Proizvodnja dvigalnih in transportnih naprav) v višini do 18.750.000 EUR ob predpostavki, da bo naložba znašala do 70.000.000 EUR. V vsakem primeru bo, dokler bodo izpolnjeni materialnopravni pogoji za spodbude, spodbuda izračunana in bo ustrezala najvišjemu dovoljenemu znesku za velike naložbene projekte (t.</w:t>
            </w:r>
            <w:r w:rsidR="00186D83">
              <w:rPr>
                <w:rFonts w:ascii="Arial" w:hAnsi="Arial" w:cs="Arial"/>
                <w:sz w:val="20"/>
                <w:szCs w:val="20"/>
                <w:lang w:val="sl-SI"/>
              </w:rPr>
              <w:t> </w:t>
            </w:r>
            <w:r w:rsidRPr="00E2073F">
              <w:rPr>
                <w:rFonts w:ascii="Arial" w:hAnsi="Arial" w:cs="Arial"/>
                <w:sz w:val="20"/>
                <w:szCs w:val="20"/>
                <w:lang w:val="sl-SI"/>
              </w:rPr>
              <w:t>i. prilagojeni znesek pomoči) brez obveznosti obveščanja Evropske komisije v skladu z Uredbo Komisije (EU) št. 651/2014 z dne 17. junija 2014 (</w:t>
            </w:r>
            <w:r w:rsidRPr="00E2073F">
              <w:rPr>
                <w:rStyle w:val="Poudarek"/>
                <w:rFonts w:ascii="Arial" w:hAnsi="Arial" w:cs="Arial"/>
                <w:i w:val="0"/>
                <w:color w:val="333333"/>
                <w:sz w:val="20"/>
                <w:szCs w:val="20"/>
                <w:shd w:val="clear" w:color="auto" w:fill="FFFFFF"/>
              </w:rPr>
              <w:t xml:space="preserve">UL L 187, 26. 6. 2014, </w:t>
            </w:r>
            <w:r w:rsidR="00186D83">
              <w:rPr>
                <w:rStyle w:val="Poudarek"/>
                <w:rFonts w:ascii="Arial" w:hAnsi="Arial" w:cs="Arial"/>
                <w:i w:val="0"/>
                <w:color w:val="333333"/>
                <w:sz w:val="20"/>
                <w:szCs w:val="20"/>
                <w:shd w:val="clear" w:color="auto" w:fill="FFFFFF"/>
              </w:rPr>
              <w:br/>
              <w:t>str. </w:t>
            </w:r>
            <w:r w:rsidRPr="00E2073F">
              <w:rPr>
                <w:rStyle w:val="Poudarek"/>
                <w:rFonts w:ascii="Arial" w:hAnsi="Arial" w:cs="Arial"/>
                <w:i w:val="0"/>
                <w:color w:val="333333"/>
                <w:sz w:val="20"/>
                <w:szCs w:val="20"/>
                <w:shd w:val="clear" w:color="auto" w:fill="FFFFFF"/>
              </w:rPr>
              <w:t xml:space="preserve">1) </w:t>
            </w:r>
            <w:r w:rsidRPr="00E2073F">
              <w:rPr>
                <w:rFonts w:ascii="Arial" w:hAnsi="Arial" w:cs="Arial"/>
                <w:sz w:val="20"/>
                <w:szCs w:val="20"/>
                <w:lang w:val="sl-SI"/>
              </w:rPr>
              <w:t>s spremembami, zlasti z Uredbo Komisije (EU) 2023/1315 z dne 23. junija 2023 (</w:t>
            </w:r>
            <w:r w:rsidR="00186D83">
              <w:rPr>
                <w:rStyle w:val="Poudarek"/>
                <w:rFonts w:ascii="Arial" w:hAnsi="Arial" w:cs="Arial"/>
                <w:color w:val="333333"/>
                <w:sz w:val="20"/>
                <w:szCs w:val="20"/>
                <w:shd w:val="clear" w:color="auto" w:fill="FFFFFF"/>
              </w:rPr>
              <w:t>UL L 167, 30. 6. 2023, str. </w:t>
            </w:r>
            <w:r w:rsidRPr="00E2073F">
              <w:rPr>
                <w:rStyle w:val="Poudarek"/>
                <w:rFonts w:ascii="Arial" w:hAnsi="Arial" w:cs="Arial"/>
                <w:color w:val="333333"/>
                <w:sz w:val="20"/>
                <w:szCs w:val="20"/>
                <w:shd w:val="clear" w:color="auto" w:fill="FFFFFF"/>
              </w:rPr>
              <w:t xml:space="preserve">1) </w:t>
            </w:r>
            <w:r w:rsidRPr="00E2073F">
              <w:rPr>
                <w:rFonts w:ascii="Arial" w:hAnsi="Arial" w:cs="Arial"/>
                <w:sz w:val="20"/>
                <w:szCs w:val="20"/>
                <w:lang w:val="sl-SI"/>
              </w:rPr>
              <w:t>in veljavnimi nacionalnimi izvedbenimi akti;</w:t>
            </w:r>
          </w:p>
          <w:p w14:paraId="2FE69F13" w14:textId="77777777" w:rsidR="00EC0BBB" w:rsidRPr="00E2073F" w:rsidRDefault="00EC0BBB" w:rsidP="00186D83">
            <w:pPr>
              <w:pStyle w:val="Odstavekseznama"/>
              <w:numPr>
                <w:ilvl w:val="0"/>
                <w:numId w:val="6"/>
              </w:numPr>
              <w:spacing w:after="0" w:line="260" w:lineRule="exact"/>
              <w:ind w:left="630" w:hanging="567"/>
              <w:jc w:val="both"/>
              <w:rPr>
                <w:rFonts w:ascii="Arial" w:hAnsi="Arial" w:cs="Arial"/>
                <w:sz w:val="20"/>
                <w:szCs w:val="20"/>
                <w:lang w:val="sl-SI"/>
              </w:rPr>
            </w:pPr>
            <w:r w:rsidRPr="00E2073F">
              <w:rPr>
                <w:rFonts w:ascii="Arial" w:hAnsi="Arial" w:cs="Arial"/>
                <w:sz w:val="20"/>
                <w:szCs w:val="20"/>
                <w:lang w:val="sl-SI"/>
              </w:rPr>
              <w:t xml:space="preserve">sofinanciranje izgradnje komunalne infrastrukture v novi industrijski coni (cestne povezave, elektrika, plin, kanalizacija, odvodnjavanje in ostali komunalni priključki) najkasneje do leta 2026; </w:t>
            </w:r>
          </w:p>
          <w:p w14:paraId="3D716675" w14:textId="325D255D" w:rsidR="00EC0BBB" w:rsidRPr="00E2073F" w:rsidRDefault="00EC0BBB" w:rsidP="00186D83">
            <w:pPr>
              <w:pStyle w:val="Odstavekseznama"/>
              <w:numPr>
                <w:ilvl w:val="0"/>
                <w:numId w:val="6"/>
              </w:numPr>
              <w:spacing w:after="0" w:line="260" w:lineRule="exact"/>
              <w:ind w:left="630" w:hanging="567"/>
              <w:jc w:val="both"/>
              <w:rPr>
                <w:rFonts w:ascii="Arial" w:hAnsi="Arial" w:cs="Arial"/>
                <w:iCs/>
                <w:sz w:val="20"/>
                <w:szCs w:val="20"/>
                <w:lang w:val="sl-SI"/>
              </w:rPr>
            </w:pPr>
            <w:r w:rsidRPr="00E2073F">
              <w:rPr>
                <w:rFonts w:ascii="Arial" w:hAnsi="Arial" w:cs="Arial"/>
                <w:iCs/>
                <w:sz w:val="20"/>
                <w:szCs w:val="20"/>
                <w:lang w:val="sl-SI"/>
              </w:rPr>
              <w:t>proaktivno podporo in sodelovanje pri aktivnostih in prizadevanjih lokalne skupnosti za izgradnjo novega dodatnega izvoza iz nove industrijske cone n</w:t>
            </w:r>
            <w:r w:rsidR="00186D83">
              <w:rPr>
                <w:rFonts w:ascii="Arial" w:hAnsi="Arial" w:cs="Arial"/>
                <w:iCs/>
                <w:sz w:val="20"/>
                <w:szCs w:val="20"/>
                <w:lang w:val="sl-SI"/>
              </w:rPr>
              <w:t>a obstoječo hitro cesto Ormož–</w:t>
            </w:r>
            <w:r w:rsidRPr="00E2073F">
              <w:rPr>
                <w:rFonts w:ascii="Arial" w:hAnsi="Arial" w:cs="Arial"/>
                <w:iCs/>
                <w:sz w:val="20"/>
                <w:szCs w:val="20"/>
                <w:lang w:val="sl-SI"/>
              </w:rPr>
              <w:t>Mihovci.</w:t>
            </w:r>
            <w:bookmarkEnd w:id="1"/>
          </w:p>
        </w:tc>
      </w:tr>
      <w:tr w:rsidR="00EC0BBB" w:rsidRPr="00E2073F" w14:paraId="6E038AA9" w14:textId="77777777" w:rsidTr="00D62BC8">
        <w:trPr>
          <w:trHeight w:val="2542"/>
        </w:trPr>
        <w:tc>
          <w:tcPr>
            <w:tcW w:w="1951" w:type="dxa"/>
            <w:shd w:val="clear" w:color="auto" w:fill="auto"/>
          </w:tcPr>
          <w:p w14:paraId="067CE35D" w14:textId="77777777" w:rsidR="00EC0BBB" w:rsidRPr="00E2073F" w:rsidRDefault="00EC0BBB" w:rsidP="00E2073F">
            <w:pPr>
              <w:rPr>
                <w:rFonts w:cs="Arial"/>
                <w:b/>
                <w:szCs w:val="20"/>
              </w:rPr>
            </w:pPr>
            <w:r w:rsidRPr="00E2073F">
              <w:rPr>
                <w:rFonts w:cs="Arial"/>
                <w:b/>
                <w:szCs w:val="20"/>
              </w:rPr>
              <w:lastRenderedPageBreak/>
              <w:t>Podpora občine</w:t>
            </w:r>
          </w:p>
        </w:tc>
        <w:tc>
          <w:tcPr>
            <w:tcW w:w="7683" w:type="dxa"/>
            <w:shd w:val="clear" w:color="auto" w:fill="auto"/>
          </w:tcPr>
          <w:p w14:paraId="002B0EF3" w14:textId="77777777" w:rsidR="00EC0BBB" w:rsidRPr="00E2073F" w:rsidRDefault="00EC0BBB" w:rsidP="00E2073F">
            <w:pPr>
              <w:jc w:val="both"/>
              <w:rPr>
                <w:rFonts w:cs="Arial"/>
                <w:szCs w:val="20"/>
              </w:rPr>
            </w:pPr>
            <w:bookmarkStart w:id="2" w:name="_Hlk179904535"/>
            <w:r w:rsidRPr="00E2073F">
              <w:rPr>
                <w:rFonts w:cs="Arial"/>
                <w:szCs w:val="20"/>
              </w:rPr>
              <w:t>Občina Ormož se zavezuje, da bo celotni komunalni prispevek investirala nazaj v novo industrijsko območje.</w:t>
            </w:r>
          </w:p>
          <w:p w14:paraId="0EE9418B" w14:textId="77777777" w:rsidR="00EC0BBB" w:rsidRPr="00E2073F" w:rsidRDefault="00EC0BBB" w:rsidP="00E2073F">
            <w:pPr>
              <w:jc w:val="both"/>
              <w:rPr>
                <w:rFonts w:cs="Arial"/>
                <w:szCs w:val="20"/>
              </w:rPr>
            </w:pPr>
          </w:p>
          <w:p w14:paraId="25842CFE" w14:textId="77777777" w:rsidR="00EC0BBB" w:rsidRPr="00E2073F" w:rsidRDefault="00EC0BBB" w:rsidP="00E2073F">
            <w:pPr>
              <w:jc w:val="both"/>
              <w:rPr>
                <w:rFonts w:cs="Arial"/>
                <w:szCs w:val="20"/>
              </w:rPr>
            </w:pPr>
            <w:r w:rsidRPr="00E2073F">
              <w:rPr>
                <w:rFonts w:cs="Arial"/>
                <w:szCs w:val="20"/>
              </w:rPr>
              <w:t>Občina Ormož se zavezuje, da bo vzdolž novo zgrajene ceste ter na celotnem območju nove industrijske cone odstranila drevje, rastlinje ter poskrbela za ustrezen odvoz vsega odstranjenega materiala.</w:t>
            </w:r>
          </w:p>
          <w:p w14:paraId="5ABED6A8" w14:textId="77777777" w:rsidR="00EC0BBB" w:rsidRPr="00E2073F" w:rsidRDefault="00EC0BBB" w:rsidP="00E2073F">
            <w:pPr>
              <w:jc w:val="both"/>
              <w:rPr>
                <w:rFonts w:cs="Arial"/>
                <w:szCs w:val="20"/>
              </w:rPr>
            </w:pPr>
          </w:p>
          <w:p w14:paraId="663DDAE6" w14:textId="77777777" w:rsidR="00EC0BBB" w:rsidRPr="00E2073F" w:rsidRDefault="00EC0BBB" w:rsidP="00E2073F">
            <w:pPr>
              <w:jc w:val="both"/>
              <w:rPr>
                <w:rFonts w:cs="Arial"/>
                <w:szCs w:val="20"/>
              </w:rPr>
            </w:pPr>
            <w:r w:rsidRPr="00E2073F">
              <w:rPr>
                <w:rFonts w:cs="Arial"/>
                <w:szCs w:val="20"/>
              </w:rPr>
              <w:t xml:space="preserve">Občina Ormož se zavezuje, da bo OPN sprejet predvidoma do konca decembra 2024. Prav tako </w:t>
            </w:r>
            <w:bookmarkStart w:id="3" w:name="_Hlk181004234"/>
            <w:r w:rsidRPr="00E2073F">
              <w:rPr>
                <w:rFonts w:cs="Arial"/>
                <w:szCs w:val="20"/>
              </w:rPr>
              <w:t xml:space="preserve">se občina zavezuje, da bo sprejela OPPN </w:t>
            </w:r>
            <w:bookmarkEnd w:id="3"/>
            <w:r w:rsidRPr="00E2073F">
              <w:rPr>
                <w:rFonts w:cs="Arial"/>
                <w:szCs w:val="20"/>
              </w:rPr>
              <w:t xml:space="preserve">predvidoma do konca aprila 2025. Občina bo </w:t>
            </w:r>
            <w:bookmarkStart w:id="4" w:name="_Hlk181003505"/>
            <w:r w:rsidRPr="00E2073F">
              <w:rPr>
                <w:rFonts w:cs="Arial"/>
                <w:szCs w:val="20"/>
              </w:rPr>
              <w:t>v okviru svojih pristojnosti vlagatelju nudila podporo tudi pri pridobivanju gradbenega dovoljenja, za katerega vlagatelj pričakuje, da bo izdano najkasneje do februarja 2026</w:t>
            </w:r>
            <w:bookmarkEnd w:id="4"/>
            <w:r w:rsidRPr="00E2073F">
              <w:rPr>
                <w:rFonts w:cs="Arial"/>
                <w:szCs w:val="20"/>
              </w:rPr>
              <w:t>.</w:t>
            </w:r>
            <w:bookmarkEnd w:id="2"/>
          </w:p>
        </w:tc>
      </w:tr>
      <w:tr w:rsidR="00EC0BBB" w:rsidRPr="00E2073F" w14:paraId="0311F81E" w14:textId="77777777" w:rsidTr="00D62BC8">
        <w:tc>
          <w:tcPr>
            <w:tcW w:w="1951" w:type="dxa"/>
            <w:tcBorders>
              <w:bottom w:val="single" w:sz="4" w:space="0" w:color="auto"/>
            </w:tcBorders>
            <w:shd w:val="clear" w:color="auto" w:fill="auto"/>
          </w:tcPr>
          <w:p w14:paraId="18EB5ED2" w14:textId="77777777" w:rsidR="00EC0BBB" w:rsidRPr="00E2073F" w:rsidRDefault="00EC0BBB" w:rsidP="00E2073F">
            <w:pPr>
              <w:pStyle w:val="Default"/>
              <w:spacing w:line="260" w:lineRule="exact"/>
              <w:rPr>
                <w:rFonts w:ascii="Arial" w:hAnsi="Arial" w:cs="Arial"/>
                <w:b/>
                <w:bCs/>
                <w:sz w:val="20"/>
                <w:szCs w:val="20"/>
              </w:rPr>
            </w:pPr>
            <w:bookmarkStart w:id="5" w:name="_Hlk160786049"/>
            <w:r w:rsidRPr="00E2073F">
              <w:rPr>
                <w:rFonts w:ascii="Arial" w:hAnsi="Arial" w:cs="Arial"/>
                <w:b/>
                <w:sz w:val="20"/>
                <w:szCs w:val="20"/>
              </w:rPr>
              <w:t>Stroški</w:t>
            </w:r>
          </w:p>
        </w:tc>
        <w:tc>
          <w:tcPr>
            <w:tcW w:w="7683" w:type="dxa"/>
            <w:tcBorders>
              <w:bottom w:val="single" w:sz="4" w:space="0" w:color="auto"/>
            </w:tcBorders>
            <w:shd w:val="clear" w:color="auto" w:fill="auto"/>
          </w:tcPr>
          <w:p w14:paraId="18A167A6" w14:textId="77777777" w:rsidR="00EC0BBB" w:rsidRPr="00E2073F" w:rsidRDefault="00EC0BBB" w:rsidP="00E2073F">
            <w:pPr>
              <w:pStyle w:val="TableParagraph"/>
              <w:spacing w:line="260" w:lineRule="exact"/>
              <w:jc w:val="both"/>
              <w:rPr>
                <w:rFonts w:ascii="Arial" w:hAnsi="Arial" w:cs="Arial"/>
                <w:sz w:val="20"/>
                <w:szCs w:val="20"/>
                <w:lang w:val="sl-SI"/>
              </w:rPr>
            </w:pPr>
            <w:r w:rsidRPr="00E2073F">
              <w:rPr>
                <w:rFonts w:ascii="Arial" w:hAnsi="Arial" w:cs="Arial"/>
                <w:sz w:val="20"/>
                <w:szCs w:val="20"/>
                <w:lang w:val="sl-SI"/>
              </w:rPr>
              <w:t>Vsak podpisnik krije svoje stroške, povezane s sklenitvijo tega memoranduma, ter druge stroške in izdatke, ki bi nastali v fazi izvajanja tega memoranduma.</w:t>
            </w:r>
          </w:p>
        </w:tc>
      </w:tr>
      <w:bookmarkEnd w:id="5"/>
      <w:tr w:rsidR="00EC0BBB" w:rsidRPr="00E2073F" w14:paraId="72F36DEB" w14:textId="77777777" w:rsidTr="00D62BC8">
        <w:tc>
          <w:tcPr>
            <w:tcW w:w="1951" w:type="dxa"/>
            <w:tcBorders>
              <w:bottom w:val="single" w:sz="4" w:space="0" w:color="auto"/>
            </w:tcBorders>
            <w:shd w:val="clear" w:color="auto" w:fill="auto"/>
          </w:tcPr>
          <w:p w14:paraId="63683BD6" w14:textId="77777777" w:rsidR="00EC0BBB" w:rsidRPr="00E2073F" w:rsidRDefault="00EC0BBB" w:rsidP="00E2073F">
            <w:pPr>
              <w:pStyle w:val="Default"/>
              <w:spacing w:line="260" w:lineRule="exact"/>
              <w:rPr>
                <w:rFonts w:ascii="Arial" w:hAnsi="Arial" w:cs="Arial"/>
                <w:b/>
                <w:bCs/>
                <w:sz w:val="20"/>
                <w:szCs w:val="20"/>
              </w:rPr>
            </w:pPr>
            <w:r w:rsidRPr="00E2073F">
              <w:rPr>
                <w:rFonts w:ascii="Arial" w:hAnsi="Arial" w:cs="Arial"/>
                <w:b/>
                <w:bCs/>
                <w:sz w:val="20"/>
                <w:szCs w:val="20"/>
              </w:rPr>
              <w:t>Pisna oblika in jezik</w:t>
            </w:r>
          </w:p>
        </w:tc>
        <w:tc>
          <w:tcPr>
            <w:tcW w:w="7683" w:type="dxa"/>
            <w:tcBorders>
              <w:bottom w:val="single" w:sz="4" w:space="0" w:color="auto"/>
            </w:tcBorders>
            <w:shd w:val="clear" w:color="auto" w:fill="auto"/>
          </w:tcPr>
          <w:p w14:paraId="30CC6FA4" w14:textId="77777777" w:rsidR="00EC0BBB" w:rsidRPr="00E2073F" w:rsidRDefault="00EC0BBB" w:rsidP="00E2073F">
            <w:pPr>
              <w:pStyle w:val="Navadensplet"/>
              <w:spacing w:before="0" w:beforeAutospacing="0" w:after="0" w:afterAutospacing="0" w:line="260" w:lineRule="exact"/>
              <w:jc w:val="both"/>
              <w:rPr>
                <w:rFonts w:ascii="Arial" w:hAnsi="Arial" w:cs="Arial"/>
                <w:color w:val="000000"/>
                <w:sz w:val="20"/>
                <w:szCs w:val="20"/>
              </w:rPr>
            </w:pPr>
            <w:r w:rsidRPr="00E2073F">
              <w:rPr>
                <w:rFonts w:ascii="Arial" w:hAnsi="Arial" w:cs="Arial"/>
                <w:color w:val="000000"/>
                <w:sz w:val="20"/>
                <w:szCs w:val="20"/>
              </w:rPr>
              <w:t xml:space="preserve">Ta memorandum je sklenjen v pisni obliki in vsaka sprememba tega memoranduma se izvede v enaki obliki. </w:t>
            </w:r>
          </w:p>
          <w:p w14:paraId="2DE3AA77" w14:textId="77777777" w:rsidR="00EC0BBB" w:rsidRPr="00E2073F" w:rsidRDefault="00EC0BBB" w:rsidP="00E2073F">
            <w:pPr>
              <w:pStyle w:val="Navadensplet"/>
              <w:spacing w:before="0" w:beforeAutospacing="0" w:after="0" w:afterAutospacing="0" w:line="260" w:lineRule="exact"/>
              <w:jc w:val="both"/>
              <w:rPr>
                <w:rFonts w:ascii="Arial" w:hAnsi="Arial" w:cs="Arial"/>
                <w:color w:val="000000"/>
                <w:sz w:val="20"/>
                <w:szCs w:val="20"/>
              </w:rPr>
            </w:pPr>
            <w:r w:rsidRPr="00E2073F">
              <w:rPr>
                <w:rFonts w:ascii="Arial" w:hAnsi="Arial" w:cs="Arial"/>
                <w:color w:val="000000"/>
                <w:sz w:val="20"/>
                <w:szCs w:val="20"/>
              </w:rPr>
              <w:t xml:space="preserve">Ta memorandum je podpisan v slovenskem in angleškem jeziku. V primeru nejasnosti zaradi razlik v prevodih prevlada slovenska različica. </w:t>
            </w:r>
          </w:p>
          <w:p w14:paraId="120F6070" w14:textId="77777777" w:rsidR="00EC0BBB" w:rsidRPr="00E2073F" w:rsidRDefault="00EC0BBB" w:rsidP="00E2073F">
            <w:pPr>
              <w:pStyle w:val="Navadensplet"/>
              <w:spacing w:before="0" w:beforeAutospacing="0" w:after="0" w:afterAutospacing="0" w:line="260" w:lineRule="exact"/>
              <w:jc w:val="both"/>
              <w:rPr>
                <w:rFonts w:ascii="Arial" w:hAnsi="Arial" w:cs="Arial"/>
                <w:color w:val="000000"/>
                <w:sz w:val="20"/>
                <w:szCs w:val="20"/>
              </w:rPr>
            </w:pPr>
            <w:r w:rsidRPr="00E2073F">
              <w:rPr>
                <w:rFonts w:ascii="Arial" w:hAnsi="Arial" w:cs="Arial"/>
                <w:color w:val="000000"/>
                <w:sz w:val="20"/>
                <w:szCs w:val="20"/>
              </w:rPr>
              <w:t>Ta memorandum se ureja in razlaga v skladu s slovenskim pravom.</w:t>
            </w:r>
          </w:p>
        </w:tc>
      </w:tr>
      <w:tr w:rsidR="00EC0BBB" w:rsidRPr="00E2073F" w14:paraId="0B3DB2B6" w14:textId="77777777" w:rsidTr="00D62BC8">
        <w:tc>
          <w:tcPr>
            <w:tcW w:w="1951" w:type="dxa"/>
            <w:tcBorders>
              <w:bottom w:val="single" w:sz="4" w:space="0" w:color="auto"/>
            </w:tcBorders>
            <w:shd w:val="clear" w:color="auto" w:fill="auto"/>
          </w:tcPr>
          <w:p w14:paraId="7FCCCA47" w14:textId="77777777" w:rsidR="00EC0BBB" w:rsidRPr="00E2073F" w:rsidRDefault="00EC0BBB" w:rsidP="00E2073F">
            <w:pPr>
              <w:pStyle w:val="Default"/>
              <w:spacing w:line="260" w:lineRule="exact"/>
              <w:rPr>
                <w:rFonts w:ascii="Arial" w:hAnsi="Arial" w:cs="Arial"/>
                <w:b/>
                <w:bCs/>
                <w:sz w:val="20"/>
                <w:szCs w:val="20"/>
              </w:rPr>
            </w:pPr>
            <w:r w:rsidRPr="00E2073F">
              <w:rPr>
                <w:rFonts w:ascii="Arial" w:hAnsi="Arial" w:cs="Arial"/>
                <w:b/>
                <w:bCs/>
                <w:sz w:val="20"/>
                <w:szCs w:val="20"/>
              </w:rPr>
              <w:t>Značaj tega memoranduma</w:t>
            </w:r>
          </w:p>
        </w:tc>
        <w:tc>
          <w:tcPr>
            <w:tcW w:w="7683" w:type="dxa"/>
            <w:tcBorders>
              <w:bottom w:val="single" w:sz="4" w:space="0" w:color="auto"/>
            </w:tcBorders>
            <w:shd w:val="clear" w:color="auto" w:fill="auto"/>
          </w:tcPr>
          <w:p w14:paraId="6E78F403" w14:textId="77777777" w:rsidR="00EC0BBB" w:rsidRPr="00E2073F" w:rsidRDefault="00EC0BBB" w:rsidP="00E2073F">
            <w:pPr>
              <w:tabs>
                <w:tab w:val="left" w:pos="567"/>
              </w:tabs>
              <w:jc w:val="both"/>
              <w:rPr>
                <w:rFonts w:cs="Arial"/>
                <w:szCs w:val="20"/>
              </w:rPr>
            </w:pPr>
            <w:r w:rsidRPr="00E2073F">
              <w:rPr>
                <w:rFonts w:cs="Arial"/>
                <w:szCs w:val="20"/>
              </w:rPr>
              <w:t>Podpisniki se strinjajo, da si bodo prizadevali izpolniti namen tega memoranduma.</w:t>
            </w:r>
          </w:p>
          <w:p w14:paraId="3135F86C" w14:textId="77777777" w:rsidR="00EC0BBB" w:rsidRPr="00E2073F" w:rsidRDefault="00EC0BBB" w:rsidP="00E2073F">
            <w:pPr>
              <w:tabs>
                <w:tab w:val="left" w:pos="567"/>
              </w:tabs>
              <w:jc w:val="both"/>
              <w:rPr>
                <w:rFonts w:cs="Arial"/>
                <w:szCs w:val="20"/>
              </w:rPr>
            </w:pPr>
            <w:r w:rsidRPr="00E2073F">
              <w:rPr>
                <w:rFonts w:cs="Arial"/>
                <w:szCs w:val="20"/>
              </w:rPr>
              <w:t>Podpisniki potrjujejo, da je ta memorandum nezavezujoče narave.</w:t>
            </w:r>
          </w:p>
          <w:p w14:paraId="7E881F46" w14:textId="77777777" w:rsidR="00EC0BBB" w:rsidRPr="00E2073F" w:rsidRDefault="00EC0BBB" w:rsidP="00E2073F">
            <w:pPr>
              <w:tabs>
                <w:tab w:val="left" w:pos="567"/>
              </w:tabs>
              <w:jc w:val="both"/>
              <w:rPr>
                <w:rFonts w:cs="Arial"/>
                <w:szCs w:val="20"/>
              </w:rPr>
            </w:pPr>
          </w:p>
          <w:p w14:paraId="4724AAAE" w14:textId="77777777" w:rsidR="00EC0BBB" w:rsidRPr="00E2073F" w:rsidRDefault="00EC0BBB" w:rsidP="00E2073F">
            <w:pPr>
              <w:tabs>
                <w:tab w:val="left" w:pos="567"/>
              </w:tabs>
              <w:jc w:val="both"/>
              <w:rPr>
                <w:rFonts w:cs="Arial"/>
                <w:szCs w:val="20"/>
              </w:rPr>
            </w:pPr>
            <w:r w:rsidRPr="00E2073F">
              <w:rPr>
                <w:rFonts w:cs="Arial"/>
                <w:szCs w:val="20"/>
              </w:rPr>
              <w:t>V primeru bistveno spremenjenih okoliščin, povezanih z vsebino tega memoranduma, se podpisniki tega memoranduma strinjajo, da bo stranka, ki jo sprememba zadeva, o tem pravočasno obvestila druge stranke. Stranke se posvetujejo in si v dobri veri prizadevajo najti vsestransko sprejemljivo rešitev za dosego ciljev tega memoranduma kljub spremenjenim okoliščinam.</w:t>
            </w:r>
          </w:p>
          <w:p w14:paraId="64B49E90" w14:textId="77777777" w:rsidR="00EC0BBB" w:rsidRPr="00E2073F" w:rsidRDefault="00EC0BBB" w:rsidP="00E2073F">
            <w:pPr>
              <w:tabs>
                <w:tab w:val="left" w:pos="567"/>
              </w:tabs>
              <w:jc w:val="both"/>
              <w:rPr>
                <w:rFonts w:cs="Arial"/>
                <w:szCs w:val="20"/>
              </w:rPr>
            </w:pPr>
            <w:r w:rsidRPr="00E2073F">
              <w:rPr>
                <w:rFonts w:cs="Arial"/>
                <w:szCs w:val="20"/>
              </w:rPr>
              <w:t>Če se ena od določb tega memoranduma šteje za neveljavno, nezakonito ali neizvršljivo, ostale določbe memoranduma ostanejo v veljavi med strankami. V tem primeru se stranke zavezujejo, da se bodo v dobri veri pogajale, da bi se dogovorile o novi vzajemno zadovoljivi določbi, ki bo nadomestila neveljavno, nezakonito ali neizvršljivo določbo in ki bo, kolikor je mogoče, veljavno izpolnila namere, izražene v memorandumu.</w:t>
            </w:r>
          </w:p>
          <w:p w14:paraId="0033F3DA" w14:textId="77777777" w:rsidR="00EC0BBB" w:rsidRPr="00E2073F" w:rsidRDefault="00EC0BBB" w:rsidP="00E2073F">
            <w:pPr>
              <w:widowControl w:val="0"/>
              <w:jc w:val="both"/>
              <w:rPr>
                <w:rFonts w:cs="Arial"/>
                <w:szCs w:val="20"/>
              </w:rPr>
            </w:pPr>
          </w:p>
          <w:p w14:paraId="641E9722" w14:textId="77777777" w:rsidR="00EC0BBB" w:rsidRPr="00E2073F" w:rsidRDefault="00EC0BBB" w:rsidP="00E2073F">
            <w:pPr>
              <w:widowControl w:val="0"/>
              <w:jc w:val="both"/>
              <w:rPr>
                <w:rFonts w:cs="Arial"/>
                <w:szCs w:val="20"/>
              </w:rPr>
            </w:pPr>
          </w:p>
          <w:p w14:paraId="0498E240" w14:textId="77777777" w:rsidR="00EC0BBB" w:rsidRPr="00E2073F" w:rsidRDefault="00EC0BBB" w:rsidP="00E2073F">
            <w:pPr>
              <w:widowControl w:val="0"/>
              <w:jc w:val="both"/>
              <w:rPr>
                <w:rFonts w:cs="Arial"/>
                <w:szCs w:val="20"/>
              </w:rPr>
            </w:pPr>
            <w:r w:rsidRPr="00E2073F">
              <w:rPr>
                <w:rFonts w:cs="Arial"/>
                <w:szCs w:val="20"/>
              </w:rPr>
              <w:t>Določbe tega memoranduma nadomeščajo vse prejšnje sporazume, vključno z vsemi predhodnimi pisnimi ali ustnimi revizijami tega memoranduma med podpisniki v zvezi z njegovo vsebino.</w:t>
            </w:r>
          </w:p>
          <w:p w14:paraId="782C6C84" w14:textId="77777777" w:rsidR="00EC0BBB" w:rsidRPr="00E2073F" w:rsidRDefault="00EC0BBB" w:rsidP="00E2073F">
            <w:pPr>
              <w:widowControl w:val="0"/>
              <w:jc w:val="both"/>
              <w:rPr>
                <w:rFonts w:cs="Arial"/>
                <w:szCs w:val="20"/>
              </w:rPr>
            </w:pPr>
          </w:p>
          <w:p w14:paraId="5B4BF7CA" w14:textId="77777777" w:rsidR="00EC0BBB" w:rsidRPr="00E2073F" w:rsidRDefault="00EC0BBB" w:rsidP="00E2073F">
            <w:pPr>
              <w:tabs>
                <w:tab w:val="left" w:pos="567"/>
              </w:tabs>
              <w:jc w:val="both"/>
              <w:rPr>
                <w:rFonts w:cs="Arial"/>
                <w:szCs w:val="20"/>
              </w:rPr>
            </w:pPr>
            <w:r w:rsidRPr="00E2073F">
              <w:rPr>
                <w:rFonts w:cs="Arial"/>
                <w:szCs w:val="20"/>
              </w:rPr>
              <w:t>Ta memorandum začne veljati na dan, ko ga podpišejo vse stranke.</w:t>
            </w:r>
          </w:p>
          <w:p w14:paraId="0C6DF9B2" w14:textId="77777777" w:rsidR="00EC0BBB" w:rsidRPr="00E2073F" w:rsidRDefault="00EC0BBB" w:rsidP="00E2073F">
            <w:pPr>
              <w:tabs>
                <w:tab w:val="left" w:pos="567"/>
              </w:tabs>
              <w:jc w:val="both"/>
              <w:rPr>
                <w:rFonts w:cs="Arial"/>
                <w:szCs w:val="20"/>
              </w:rPr>
            </w:pPr>
            <w:r w:rsidRPr="00E2073F">
              <w:rPr>
                <w:rFonts w:cs="Arial"/>
                <w:szCs w:val="20"/>
              </w:rPr>
              <w:t>Ta memorandum je podpisan v ____ (____) izvodih, od katerih vsaka stranka prejme dva izvoda.</w:t>
            </w:r>
          </w:p>
          <w:p w14:paraId="7210D80F" w14:textId="77777777" w:rsidR="00EC0BBB" w:rsidRPr="00E2073F" w:rsidRDefault="00EC0BBB" w:rsidP="00E2073F">
            <w:pPr>
              <w:tabs>
                <w:tab w:val="left" w:pos="567"/>
              </w:tabs>
              <w:jc w:val="both"/>
              <w:rPr>
                <w:rFonts w:cs="Arial"/>
                <w:szCs w:val="20"/>
              </w:rPr>
            </w:pPr>
          </w:p>
        </w:tc>
      </w:tr>
    </w:tbl>
    <w:p w14:paraId="58FD9BF3" w14:textId="77777777" w:rsidR="00EC0BBB" w:rsidRPr="00E2073F" w:rsidRDefault="00EC0BBB" w:rsidP="00E2073F">
      <w:pPr>
        <w:rPr>
          <w:rFonts w:eastAsia="Calibri" w:cs="Arial"/>
          <w:szCs w:val="20"/>
        </w:rPr>
      </w:pPr>
    </w:p>
    <w:p w14:paraId="14549D16" w14:textId="77777777" w:rsidR="00EC0BBB" w:rsidRDefault="00EC0BBB" w:rsidP="00E2073F">
      <w:pPr>
        <w:rPr>
          <w:rFonts w:cs="Arial"/>
          <w:szCs w:val="20"/>
        </w:rPr>
      </w:pPr>
    </w:p>
    <w:p w14:paraId="7506550C" w14:textId="77777777" w:rsidR="00062750" w:rsidRDefault="00062750" w:rsidP="00E2073F">
      <w:pPr>
        <w:rPr>
          <w:rFonts w:cs="Arial"/>
          <w:szCs w:val="20"/>
        </w:rPr>
      </w:pPr>
    </w:p>
    <w:p w14:paraId="0EF99F54" w14:textId="77777777" w:rsidR="00062750" w:rsidRDefault="00062750" w:rsidP="00E2073F">
      <w:pPr>
        <w:rPr>
          <w:rFonts w:cs="Arial"/>
          <w:szCs w:val="20"/>
        </w:rPr>
      </w:pPr>
    </w:p>
    <w:p w14:paraId="196217A2" w14:textId="77777777" w:rsidR="00062750" w:rsidRPr="00E2073F" w:rsidRDefault="00062750" w:rsidP="00E2073F">
      <w:pPr>
        <w:rPr>
          <w:rFonts w:cs="Arial"/>
          <w:szCs w:val="20"/>
        </w:rPr>
      </w:pPr>
    </w:p>
    <w:p w14:paraId="60D038E3" w14:textId="77777777" w:rsidR="00EC0BBB" w:rsidRPr="00E2073F" w:rsidRDefault="00EC0BBB" w:rsidP="00E2073F">
      <w:pPr>
        <w:rPr>
          <w:rFonts w:cs="Arial"/>
          <w:szCs w:val="20"/>
        </w:rPr>
      </w:pPr>
      <w:r w:rsidRPr="00E2073F">
        <w:rPr>
          <w:rFonts w:cs="Arial"/>
          <w:szCs w:val="20"/>
        </w:rPr>
        <w:t>Kraj in datum: Ormož, __ november 2024</w:t>
      </w:r>
      <w:r w:rsidRPr="00E2073F">
        <w:rPr>
          <w:rFonts w:cs="Arial"/>
          <w:szCs w:val="20"/>
        </w:rPr>
        <w:tab/>
      </w:r>
    </w:p>
    <w:p w14:paraId="63316B94" w14:textId="77777777" w:rsidR="00062750" w:rsidRDefault="00062750" w:rsidP="00E2073F">
      <w:pPr>
        <w:rPr>
          <w:rFonts w:cs="Arial"/>
          <w:szCs w:val="20"/>
        </w:rPr>
      </w:pPr>
    </w:p>
    <w:p w14:paraId="2F233628" w14:textId="77777777" w:rsidR="00EC0BBB" w:rsidRPr="00E2073F" w:rsidRDefault="00EC0BBB" w:rsidP="00E2073F">
      <w:pPr>
        <w:rPr>
          <w:rFonts w:cs="Arial"/>
          <w:szCs w:val="20"/>
        </w:rPr>
      </w:pPr>
      <w:r w:rsidRPr="00E2073F">
        <w:rPr>
          <w:rFonts w:cs="Arial"/>
          <w:szCs w:val="20"/>
        </w:rPr>
        <w:tab/>
      </w:r>
      <w:r w:rsidRPr="00E2073F">
        <w:rPr>
          <w:rFonts w:cs="Arial"/>
          <w:szCs w:val="20"/>
        </w:rPr>
        <w:tab/>
      </w:r>
      <w:r w:rsidRPr="00E2073F">
        <w:rPr>
          <w:rFonts w:cs="Arial"/>
          <w:szCs w:val="20"/>
        </w:rPr>
        <w:tab/>
      </w:r>
      <w:r w:rsidRPr="00E2073F">
        <w:rPr>
          <w:rFonts w:cs="Arial"/>
          <w:szCs w:val="20"/>
        </w:rPr>
        <w:tab/>
      </w:r>
    </w:p>
    <w:p w14:paraId="74E16043" w14:textId="77777777" w:rsidR="00EC0BBB" w:rsidRPr="00E2073F" w:rsidRDefault="00EC0BBB" w:rsidP="00E2073F">
      <w:pPr>
        <w:rPr>
          <w:rFonts w:cs="Arial"/>
          <w:b/>
          <w:bCs/>
          <w:szCs w:val="20"/>
        </w:rPr>
      </w:pPr>
      <w:r w:rsidRPr="00E2073F">
        <w:rPr>
          <w:rFonts w:cs="Arial"/>
          <w:b/>
          <w:bCs/>
          <w:szCs w:val="20"/>
        </w:rPr>
        <w:t>Republika Slovenija</w:t>
      </w:r>
    </w:p>
    <w:p w14:paraId="0536F257" w14:textId="77777777" w:rsidR="00EC0BBB" w:rsidRPr="00E2073F" w:rsidRDefault="00EC0BBB" w:rsidP="00E2073F">
      <w:pPr>
        <w:rPr>
          <w:rFonts w:cs="Arial"/>
          <w:b/>
          <w:bCs/>
          <w:szCs w:val="20"/>
        </w:rPr>
      </w:pPr>
      <w:r w:rsidRPr="00E2073F">
        <w:rPr>
          <w:rFonts w:cs="Arial"/>
          <w:b/>
          <w:bCs/>
          <w:szCs w:val="20"/>
        </w:rPr>
        <w:t>Vlada Republike Slovenije</w:t>
      </w:r>
      <w:r w:rsidRPr="00E2073F">
        <w:rPr>
          <w:rFonts w:cs="Arial"/>
          <w:b/>
          <w:bCs/>
          <w:szCs w:val="20"/>
        </w:rPr>
        <w:tab/>
      </w:r>
      <w:r w:rsidRPr="00E2073F">
        <w:rPr>
          <w:rFonts w:cs="Arial"/>
          <w:b/>
          <w:bCs/>
          <w:szCs w:val="20"/>
        </w:rPr>
        <w:tab/>
      </w:r>
      <w:r w:rsidRPr="00E2073F">
        <w:rPr>
          <w:rFonts w:cs="Arial"/>
          <w:b/>
          <w:bCs/>
          <w:szCs w:val="20"/>
        </w:rPr>
        <w:tab/>
      </w:r>
      <w:r w:rsidRPr="00E2073F">
        <w:rPr>
          <w:rFonts w:cs="Arial"/>
          <w:b/>
          <w:bCs/>
          <w:szCs w:val="20"/>
        </w:rPr>
        <w:tab/>
      </w:r>
    </w:p>
    <w:p w14:paraId="27FB9ACB" w14:textId="77777777" w:rsidR="00EC0BBB" w:rsidRPr="00E2073F" w:rsidRDefault="00EC0BBB" w:rsidP="00E2073F">
      <w:pPr>
        <w:rPr>
          <w:rFonts w:cs="Arial"/>
          <w:szCs w:val="20"/>
        </w:rPr>
      </w:pPr>
      <w:r w:rsidRPr="00E2073F">
        <w:rPr>
          <w:rFonts w:cs="Arial"/>
          <w:b/>
          <w:bCs/>
          <w:szCs w:val="20"/>
        </w:rPr>
        <w:t xml:space="preserve">po pooblastilu Matjaž Han, </w:t>
      </w:r>
      <w:r w:rsidRPr="00E2073F">
        <w:rPr>
          <w:rFonts w:eastAsia="SimSun" w:cs="Arial"/>
          <w:b/>
          <w:szCs w:val="20"/>
          <w:lang w:eastAsia="sl-SI"/>
        </w:rPr>
        <w:t>minister za gospodarstvo, turizem in šport</w:t>
      </w:r>
      <w:r w:rsidRPr="00E2073F">
        <w:rPr>
          <w:rFonts w:eastAsia="SimSun" w:cs="Arial"/>
          <w:szCs w:val="20"/>
          <w:lang w:eastAsia="sl-SI"/>
        </w:rPr>
        <w:t xml:space="preserve"> </w:t>
      </w:r>
      <w:r w:rsidRPr="00E2073F">
        <w:rPr>
          <w:rFonts w:cs="Arial"/>
          <w:b/>
          <w:bCs/>
          <w:szCs w:val="20"/>
        </w:rPr>
        <w:tab/>
      </w:r>
      <w:r w:rsidRPr="00E2073F">
        <w:rPr>
          <w:rFonts w:cs="Arial"/>
          <w:szCs w:val="20"/>
        </w:rPr>
        <w:tab/>
      </w:r>
    </w:p>
    <w:p w14:paraId="7A6E3782" w14:textId="77777777" w:rsidR="00EC0BBB" w:rsidRPr="00E2073F" w:rsidRDefault="00EC0BBB" w:rsidP="00E2073F">
      <w:pPr>
        <w:rPr>
          <w:rFonts w:cs="Arial"/>
          <w:szCs w:val="20"/>
        </w:rPr>
      </w:pPr>
    </w:p>
    <w:p w14:paraId="7154674A" w14:textId="77777777" w:rsidR="00EC0BBB" w:rsidRPr="00E2073F" w:rsidRDefault="00EC0BBB" w:rsidP="00E2073F">
      <w:pPr>
        <w:rPr>
          <w:rFonts w:cs="Arial"/>
          <w:szCs w:val="20"/>
        </w:rPr>
      </w:pPr>
      <w:r w:rsidRPr="00E2073F">
        <w:rPr>
          <w:rFonts w:cs="Arial"/>
          <w:szCs w:val="20"/>
        </w:rPr>
        <w:t>________________________________</w:t>
      </w:r>
      <w:r w:rsidRPr="00E2073F">
        <w:rPr>
          <w:rFonts w:cs="Arial"/>
          <w:szCs w:val="20"/>
        </w:rPr>
        <w:tab/>
      </w:r>
    </w:p>
    <w:p w14:paraId="4E0B85D5" w14:textId="77777777" w:rsidR="00EC0BBB" w:rsidRPr="00E2073F" w:rsidRDefault="00EC0BBB" w:rsidP="00E2073F">
      <w:pPr>
        <w:rPr>
          <w:rFonts w:cs="Arial"/>
          <w:b/>
          <w:szCs w:val="20"/>
        </w:rPr>
      </w:pPr>
    </w:p>
    <w:p w14:paraId="2B1A1146" w14:textId="77777777" w:rsidR="00EC0BBB" w:rsidRPr="00E2073F" w:rsidRDefault="00EC0BBB" w:rsidP="00E2073F">
      <w:pPr>
        <w:rPr>
          <w:rFonts w:cs="Arial"/>
          <w:b/>
          <w:szCs w:val="20"/>
        </w:rPr>
      </w:pPr>
    </w:p>
    <w:p w14:paraId="22157C8E" w14:textId="77777777" w:rsidR="00EC0BBB" w:rsidRPr="00E2073F" w:rsidRDefault="00EC0BBB" w:rsidP="00E2073F">
      <w:pPr>
        <w:rPr>
          <w:rFonts w:cs="Arial"/>
          <w:b/>
          <w:szCs w:val="20"/>
        </w:rPr>
      </w:pPr>
      <w:r w:rsidRPr="00E2073F">
        <w:rPr>
          <w:rFonts w:cs="Arial"/>
          <w:b/>
          <w:szCs w:val="20"/>
        </w:rPr>
        <w:t>Palfinger AG</w:t>
      </w:r>
    </w:p>
    <w:p w14:paraId="2D580A0F" w14:textId="72756B55" w:rsidR="00EC0BBB" w:rsidRPr="00E2073F" w:rsidRDefault="00DB1D67" w:rsidP="00E2073F">
      <w:pPr>
        <w:rPr>
          <w:rFonts w:cs="Arial"/>
          <w:b/>
          <w:szCs w:val="20"/>
        </w:rPr>
      </w:pPr>
      <w:r>
        <w:rPr>
          <w:rFonts w:cs="Arial"/>
          <w:b/>
          <w:szCs w:val="20"/>
        </w:rPr>
        <w:t>Alexander Susanek</w:t>
      </w:r>
      <w:bookmarkStart w:id="6" w:name="_GoBack"/>
      <w:bookmarkEnd w:id="6"/>
      <w:r w:rsidR="00EC0BBB" w:rsidRPr="00E2073F">
        <w:rPr>
          <w:rFonts w:cs="Arial"/>
          <w:b/>
          <w:szCs w:val="20"/>
        </w:rPr>
        <w:t>, član uprave</w:t>
      </w:r>
      <w:r w:rsidR="00EC0BBB" w:rsidRPr="00E2073F" w:rsidDel="005B5A54">
        <w:rPr>
          <w:rFonts w:cs="Arial"/>
          <w:b/>
          <w:szCs w:val="20"/>
        </w:rPr>
        <w:t xml:space="preserve"> </w:t>
      </w:r>
    </w:p>
    <w:p w14:paraId="2586BD50" w14:textId="77777777" w:rsidR="00EC0BBB" w:rsidRPr="00E2073F" w:rsidRDefault="00EC0BBB" w:rsidP="00E2073F">
      <w:pPr>
        <w:rPr>
          <w:rFonts w:cs="Arial"/>
          <w:szCs w:val="20"/>
        </w:rPr>
      </w:pPr>
    </w:p>
    <w:p w14:paraId="3D197410" w14:textId="77777777" w:rsidR="00EC0BBB" w:rsidRPr="00E2073F" w:rsidRDefault="00EC0BBB" w:rsidP="00E2073F">
      <w:pPr>
        <w:rPr>
          <w:rFonts w:cs="Arial"/>
          <w:b/>
          <w:szCs w:val="20"/>
        </w:rPr>
      </w:pPr>
      <w:r w:rsidRPr="00E2073F">
        <w:rPr>
          <w:rFonts w:cs="Arial"/>
          <w:szCs w:val="20"/>
        </w:rPr>
        <w:t>_______________________________</w:t>
      </w:r>
    </w:p>
    <w:p w14:paraId="14866707" w14:textId="77777777" w:rsidR="00EC0BBB" w:rsidRPr="00E2073F" w:rsidRDefault="00EC0BBB" w:rsidP="00E2073F">
      <w:pPr>
        <w:rPr>
          <w:rFonts w:cs="Arial"/>
          <w:b/>
          <w:szCs w:val="20"/>
        </w:rPr>
      </w:pPr>
    </w:p>
    <w:p w14:paraId="032B2986" w14:textId="77777777" w:rsidR="00EC0BBB" w:rsidRPr="00E2073F" w:rsidRDefault="00EC0BBB" w:rsidP="00E2073F">
      <w:pPr>
        <w:rPr>
          <w:rFonts w:cs="Arial"/>
          <w:b/>
          <w:szCs w:val="20"/>
        </w:rPr>
      </w:pPr>
    </w:p>
    <w:p w14:paraId="29E4B314" w14:textId="77777777" w:rsidR="00EC0BBB" w:rsidRPr="00E2073F" w:rsidRDefault="00EC0BBB" w:rsidP="00E2073F">
      <w:pPr>
        <w:rPr>
          <w:rFonts w:cs="Arial"/>
          <w:b/>
          <w:szCs w:val="20"/>
        </w:rPr>
      </w:pPr>
      <w:r w:rsidRPr="00E2073F">
        <w:rPr>
          <w:rFonts w:cs="Arial"/>
          <w:b/>
          <w:szCs w:val="20"/>
        </w:rPr>
        <w:t>Občina Ormož</w:t>
      </w:r>
    </w:p>
    <w:p w14:paraId="45B6BEFD" w14:textId="77777777" w:rsidR="00EC0BBB" w:rsidRPr="00E2073F" w:rsidRDefault="00EC0BBB" w:rsidP="00E2073F">
      <w:pPr>
        <w:rPr>
          <w:rFonts w:cs="Arial"/>
          <w:b/>
          <w:szCs w:val="20"/>
        </w:rPr>
      </w:pPr>
      <w:r w:rsidRPr="00E2073F">
        <w:rPr>
          <w:rFonts w:cs="Arial"/>
          <w:b/>
          <w:szCs w:val="20"/>
        </w:rPr>
        <w:t>Danijel Vrbnjak, župan</w:t>
      </w:r>
    </w:p>
    <w:p w14:paraId="0EC9CDA6" w14:textId="77777777" w:rsidR="005E4A26" w:rsidRPr="00E2073F" w:rsidRDefault="005E4A26" w:rsidP="00E2073F">
      <w:pPr>
        <w:rPr>
          <w:rFonts w:cs="Arial"/>
          <w:szCs w:val="20"/>
        </w:rPr>
      </w:pPr>
    </w:p>
    <w:p w14:paraId="6EE315B2" w14:textId="77777777" w:rsidR="00EC0BBB" w:rsidRPr="00E2073F" w:rsidRDefault="00EC0BBB" w:rsidP="00E2073F">
      <w:pPr>
        <w:rPr>
          <w:rFonts w:cs="Arial"/>
          <w:szCs w:val="20"/>
        </w:rPr>
      </w:pPr>
      <w:r w:rsidRPr="00E2073F">
        <w:rPr>
          <w:rFonts w:cs="Arial"/>
          <w:szCs w:val="20"/>
        </w:rPr>
        <w:t>________________________________</w:t>
      </w:r>
    </w:p>
    <w:p w14:paraId="34258C88" w14:textId="77777777" w:rsidR="00342B38" w:rsidRPr="00E2073F" w:rsidRDefault="00342B38">
      <w:pPr>
        <w:rPr>
          <w:rFonts w:cs="Arial"/>
          <w:szCs w:val="20"/>
        </w:rPr>
      </w:pPr>
    </w:p>
    <w:sectPr w:rsidR="00342B38" w:rsidRPr="00E2073F" w:rsidSect="00264A13">
      <w:headerReference w:type="first" r:id="rId8"/>
      <w:pgSz w:w="11906" w:h="16838"/>
      <w:pgMar w:top="15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D31FD" w14:textId="77777777" w:rsidR="009F69A1" w:rsidRDefault="009F69A1">
      <w:pPr>
        <w:spacing w:line="240" w:lineRule="auto"/>
      </w:pPr>
      <w:r>
        <w:separator/>
      </w:r>
    </w:p>
  </w:endnote>
  <w:endnote w:type="continuationSeparator" w:id="0">
    <w:p w14:paraId="2946EDBF" w14:textId="77777777" w:rsidR="009F69A1" w:rsidRDefault="009F6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ova">
    <w:altName w:val="Arial"/>
    <w:charset w:val="00"/>
    <w:family w:val="swiss"/>
    <w:pitch w:val="variable"/>
    <w:sig w:usb0="00000001" w:usb1="00000002"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81BB" w14:textId="77777777" w:rsidR="009F69A1" w:rsidRDefault="009F69A1">
      <w:pPr>
        <w:spacing w:line="240" w:lineRule="auto"/>
      </w:pPr>
      <w:r>
        <w:separator/>
      </w:r>
    </w:p>
  </w:footnote>
  <w:footnote w:type="continuationSeparator" w:id="0">
    <w:p w14:paraId="3FD5E149" w14:textId="77777777" w:rsidR="009F69A1" w:rsidRDefault="009F69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33F9" w14:textId="77777777" w:rsidR="000918F3" w:rsidRPr="008F3500" w:rsidRDefault="00062750" w:rsidP="005F456B">
    <w:pPr>
      <w:pStyle w:val="Glava"/>
      <w:tabs>
        <w:tab w:val="clear" w:pos="4320"/>
        <w:tab w:val="clear" w:pos="8640"/>
        <w:tab w:val="left" w:pos="5112"/>
      </w:tabs>
      <w:spacing w:line="240" w:lineRule="exact"/>
      <w:rPr>
        <w:rFonts w:cs="Arial"/>
        <w:sz w:val="16"/>
      </w:rPr>
    </w:pPr>
    <w:r w:rsidRPr="008F3500">
      <w:rPr>
        <w:rFonts w:cs="Arial"/>
        <w:sz w:val="16"/>
      </w:rPr>
      <w:tab/>
    </w:r>
  </w:p>
  <w:p w14:paraId="059092CE" w14:textId="77777777" w:rsidR="000918F3" w:rsidRPr="008F3500" w:rsidRDefault="009F69A1" w:rsidP="005F456B">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3FB"/>
    <w:multiLevelType w:val="hybridMultilevel"/>
    <w:tmpl w:val="060673BC"/>
    <w:lvl w:ilvl="0" w:tplc="4C08433E">
      <w:numFmt w:val="bullet"/>
      <w:lvlText w:val="-"/>
      <w:lvlJc w:val="left"/>
      <w:pPr>
        <w:ind w:left="720" w:hanging="360"/>
      </w:pPr>
      <w:rPr>
        <w:rFonts w:ascii="Arial Nova" w:eastAsia="SimSu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4141E6"/>
    <w:multiLevelType w:val="hybridMultilevel"/>
    <w:tmpl w:val="9FF4FBFC"/>
    <w:lvl w:ilvl="0" w:tplc="BEFC76A2">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25373C7"/>
    <w:multiLevelType w:val="hybridMultilevel"/>
    <w:tmpl w:val="CE842B04"/>
    <w:lvl w:ilvl="0" w:tplc="BEFC76A2">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D7E03B1"/>
    <w:multiLevelType w:val="hybridMultilevel"/>
    <w:tmpl w:val="75049D8E"/>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F0530F"/>
    <w:multiLevelType w:val="hybridMultilevel"/>
    <w:tmpl w:val="5B96F76A"/>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4721E5"/>
    <w:multiLevelType w:val="hybridMultilevel"/>
    <w:tmpl w:val="EFBCA318"/>
    <w:lvl w:ilvl="0" w:tplc="4C08433E">
      <w:numFmt w:val="bullet"/>
      <w:lvlText w:val="-"/>
      <w:lvlJc w:val="left"/>
      <w:pPr>
        <w:ind w:left="720" w:hanging="360"/>
      </w:pPr>
      <w:rPr>
        <w:rFonts w:ascii="Arial Nova" w:eastAsia="SimSu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44"/>
    <w:rsid w:val="00034FA5"/>
    <w:rsid w:val="0005671D"/>
    <w:rsid w:val="00062750"/>
    <w:rsid w:val="00073D29"/>
    <w:rsid w:val="00117E2D"/>
    <w:rsid w:val="001705E8"/>
    <w:rsid w:val="00186D83"/>
    <w:rsid w:val="001C4B96"/>
    <w:rsid w:val="00342B38"/>
    <w:rsid w:val="00391E43"/>
    <w:rsid w:val="003C341A"/>
    <w:rsid w:val="003D0232"/>
    <w:rsid w:val="00414D44"/>
    <w:rsid w:val="005E4A26"/>
    <w:rsid w:val="00817C38"/>
    <w:rsid w:val="00861353"/>
    <w:rsid w:val="008A6929"/>
    <w:rsid w:val="009F69A1"/>
    <w:rsid w:val="00C348C0"/>
    <w:rsid w:val="00DB1D67"/>
    <w:rsid w:val="00E2073F"/>
    <w:rsid w:val="00EA178C"/>
    <w:rsid w:val="00EC0B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E391"/>
  <w15:chartTrackingRefBased/>
  <w15:docId w15:val="{94812456-563A-4072-B8E5-324E7D4F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4D4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14D44"/>
    <w:pPr>
      <w:spacing w:after="200" w:line="276" w:lineRule="auto"/>
      <w:ind w:left="720"/>
      <w:contextualSpacing/>
    </w:pPr>
    <w:rPr>
      <w:rFonts w:ascii="Calibri" w:eastAsia="SimSun" w:hAnsi="Calibri"/>
      <w:sz w:val="22"/>
      <w:szCs w:val="22"/>
      <w:lang w:val="de-DE" w:eastAsia="de-DE"/>
    </w:rPr>
  </w:style>
  <w:style w:type="paragraph" w:customStyle="1" w:styleId="TableParagraph">
    <w:name w:val="Table Paragraph"/>
    <w:basedOn w:val="Navaden"/>
    <w:uiPriority w:val="1"/>
    <w:qFormat/>
    <w:rsid w:val="00414D44"/>
    <w:pPr>
      <w:widowControl w:val="0"/>
      <w:spacing w:line="240" w:lineRule="auto"/>
    </w:pPr>
    <w:rPr>
      <w:rFonts w:ascii="Calibri" w:eastAsia="SimSun" w:hAnsi="Calibri"/>
      <w:sz w:val="22"/>
      <w:szCs w:val="22"/>
      <w:lang w:val="en-US" w:eastAsia="de-DE"/>
    </w:rPr>
  </w:style>
  <w:style w:type="paragraph" w:customStyle="1" w:styleId="Default">
    <w:name w:val="Default"/>
    <w:rsid w:val="00414D44"/>
    <w:pPr>
      <w:autoSpaceDE w:val="0"/>
      <w:autoSpaceDN w:val="0"/>
      <w:adjustRightInd w:val="0"/>
      <w:spacing w:after="0" w:line="240" w:lineRule="auto"/>
    </w:pPr>
    <w:rPr>
      <w:rFonts w:ascii="Republika" w:eastAsia="Times New Roman" w:hAnsi="Republika" w:cs="Republika"/>
      <w:color w:val="000000"/>
      <w:sz w:val="24"/>
      <w:szCs w:val="24"/>
      <w:lang w:eastAsia="sl-SI"/>
    </w:rPr>
  </w:style>
  <w:style w:type="paragraph" w:styleId="Navadensplet">
    <w:name w:val="Normal (Web)"/>
    <w:basedOn w:val="Navaden"/>
    <w:uiPriority w:val="99"/>
    <w:unhideWhenUsed/>
    <w:rsid w:val="00414D44"/>
    <w:pPr>
      <w:spacing w:before="100" w:beforeAutospacing="1" w:after="100" w:afterAutospacing="1" w:line="240" w:lineRule="auto"/>
    </w:pPr>
    <w:rPr>
      <w:rFonts w:ascii="Times New Roman" w:hAnsi="Times New Roman"/>
      <w:sz w:val="24"/>
      <w:lang w:eastAsia="sl-SI"/>
    </w:rPr>
  </w:style>
  <w:style w:type="paragraph" w:customStyle="1" w:styleId="Standard">
    <w:name w:val="Standard"/>
    <w:rsid w:val="00414D44"/>
    <w:pPr>
      <w:suppressAutoHyphens/>
      <w:autoSpaceDN w:val="0"/>
      <w:spacing w:line="254" w:lineRule="auto"/>
      <w:textAlignment w:val="baseline"/>
    </w:pPr>
    <w:rPr>
      <w:rFonts w:ascii="Calibri" w:eastAsia="Calibri" w:hAnsi="Calibri" w:cs="Times New Roman"/>
      <w:lang w:val="de-DE"/>
    </w:rPr>
  </w:style>
  <w:style w:type="paragraph" w:styleId="Glava">
    <w:name w:val="header"/>
    <w:basedOn w:val="Navaden"/>
    <w:link w:val="GlavaZnak"/>
    <w:rsid w:val="00EC0BBB"/>
    <w:pPr>
      <w:tabs>
        <w:tab w:val="center" w:pos="4320"/>
        <w:tab w:val="right" w:pos="8640"/>
      </w:tabs>
    </w:pPr>
  </w:style>
  <w:style w:type="character" w:customStyle="1" w:styleId="GlavaZnak">
    <w:name w:val="Glava Znak"/>
    <w:basedOn w:val="Privzetapisavaodstavka"/>
    <w:link w:val="Glava"/>
    <w:rsid w:val="00EC0BBB"/>
    <w:rPr>
      <w:rFonts w:ascii="Arial" w:eastAsia="Times New Roman" w:hAnsi="Arial" w:cs="Times New Roman"/>
      <w:sz w:val="20"/>
      <w:szCs w:val="24"/>
    </w:rPr>
  </w:style>
  <w:style w:type="character" w:styleId="Pripombasklic">
    <w:name w:val="annotation reference"/>
    <w:uiPriority w:val="99"/>
    <w:rsid w:val="00EC0BBB"/>
    <w:rPr>
      <w:sz w:val="16"/>
      <w:szCs w:val="16"/>
    </w:rPr>
  </w:style>
  <w:style w:type="paragraph" w:styleId="Pripombabesedilo">
    <w:name w:val="annotation text"/>
    <w:basedOn w:val="Navaden"/>
    <w:link w:val="PripombabesediloZnak"/>
    <w:uiPriority w:val="99"/>
    <w:rsid w:val="00EC0BBB"/>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uiPriority w:val="99"/>
    <w:rsid w:val="00EC0BBB"/>
    <w:rPr>
      <w:rFonts w:ascii="Times New Roman" w:eastAsia="Times New Roman" w:hAnsi="Times New Roman" w:cs="Times New Roman"/>
      <w:sz w:val="20"/>
      <w:szCs w:val="20"/>
    </w:rPr>
  </w:style>
  <w:style w:type="character" w:styleId="Poudarek">
    <w:name w:val="Emphasis"/>
    <w:basedOn w:val="Privzetapisavaodstavka"/>
    <w:uiPriority w:val="20"/>
    <w:qFormat/>
    <w:rsid w:val="00EC0BBB"/>
    <w:rPr>
      <w:i/>
      <w:iCs/>
    </w:rPr>
  </w:style>
  <w:style w:type="paragraph" w:styleId="Besedilooblaka">
    <w:name w:val="Balloon Text"/>
    <w:basedOn w:val="Navaden"/>
    <w:link w:val="BesedilooblakaZnak"/>
    <w:uiPriority w:val="99"/>
    <w:semiHidden/>
    <w:unhideWhenUsed/>
    <w:rsid w:val="00EC0BB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0BBB"/>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E2073F"/>
    <w:pPr>
      <w:overflowPunct/>
      <w:autoSpaceDE/>
      <w:autoSpaceDN/>
      <w:adjustRightInd/>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E2073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230667-6B84-414A-AFFC-CCBD7839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1556</Words>
  <Characters>8871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17</cp:revision>
  <dcterms:created xsi:type="dcterms:W3CDTF">2024-11-06T12:12:00Z</dcterms:created>
  <dcterms:modified xsi:type="dcterms:W3CDTF">2024-11-07T13:27:00Z</dcterms:modified>
</cp:coreProperties>
</file>